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12C" w:rsidRPr="003F1C49" w:rsidRDefault="00DE412C" w:rsidP="00DE412C">
      <w:pPr>
        <w:rPr>
          <w:sz w:val="22"/>
          <w:szCs w:val="22"/>
        </w:rPr>
      </w:pPr>
    </w:p>
    <w:p w:rsidR="00DE412C" w:rsidRDefault="00DE412C" w:rsidP="00DE412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DE412C" w:rsidRDefault="00DE412C" w:rsidP="00DE412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DE412C" w:rsidRPr="00C15137" w:rsidRDefault="00DE412C" w:rsidP="00DE412C">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A638FF">
        <w:rPr>
          <w:rFonts w:ascii="Arial" w:hAnsi="Arial" w:cs="Arial"/>
          <w:sz w:val="22"/>
          <w:szCs w:val="22"/>
        </w:rPr>
        <w:t>STATE PERSONNEL COMMISSION</w:t>
      </w:r>
    </w:p>
    <w:p w:rsidR="00DE412C" w:rsidRDefault="00C64320" w:rsidP="00DE412C">
      <w:pPr>
        <w:pStyle w:val="Agencynames"/>
        <w:tabs>
          <w:tab w:val="left" w:pos="1260"/>
        </w:tabs>
        <w:spacing w:before="0" w:after="0" w:line="360" w:lineRule="auto"/>
        <w:rPr>
          <w:rFonts w:ascii="Arial" w:hAnsi="Arial"/>
          <w:b w:val="0"/>
          <w:smallCaps/>
          <w:sz w:val="22"/>
        </w:rPr>
      </w:pPr>
      <w:r>
        <w:rPr>
          <w:rFonts w:ascii="Arial" w:hAnsi="Arial"/>
          <w:b w:val="0"/>
          <w:smallCaps/>
          <w:sz w:val="22"/>
        </w:rPr>
        <w:t>R</w:t>
      </w:r>
      <w:r w:rsidR="003160D2">
        <w:rPr>
          <w:rFonts w:ascii="Arial" w:hAnsi="Arial"/>
          <w:b w:val="0"/>
          <w:smallCaps/>
          <w:sz w:val="22"/>
        </w:rPr>
        <w:t>ULE CITATION:</w:t>
      </w:r>
      <w:r w:rsidR="003160D2">
        <w:rPr>
          <w:rFonts w:ascii="Arial" w:hAnsi="Arial"/>
          <w:b w:val="0"/>
          <w:smallCaps/>
          <w:sz w:val="22"/>
        </w:rPr>
        <w:tab/>
      </w:r>
      <w:r w:rsidR="00ED0D11">
        <w:rPr>
          <w:rFonts w:ascii="Arial" w:hAnsi="Arial"/>
          <w:b w:val="0"/>
          <w:smallCaps/>
          <w:sz w:val="22"/>
        </w:rPr>
        <w:t>25 NCAC 01J .1101</w:t>
      </w:r>
    </w:p>
    <w:p w:rsidR="00DE412C" w:rsidRDefault="00DE412C" w:rsidP="00DE412C">
      <w:pPr>
        <w:pStyle w:val="Agencynames"/>
        <w:spacing w:before="0" w:after="0" w:line="360" w:lineRule="auto"/>
        <w:rPr>
          <w:rFonts w:ascii="Arial" w:hAnsi="Arial"/>
          <w:b w:val="0"/>
          <w:smallCaps/>
          <w:sz w:val="22"/>
        </w:rPr>
      </w:pPr>
      <w:r>
        <w:rPr>
          <w:rFonts w:ascii="Arial" w:hAnsi="Arial"/>
          <w:b w:val="0"/>
          <w:smallCaps/>
          <w:sz w:val="22"/>
        </w:rPr>
        <w:t>RECOMMENDED ACTION:</w:t>
      </w:r>
    </w:p>
    <w:p w:rsidR="00DE412C" w:rsidRDefault="00DE412C" w:rsidP="00DE412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DE412C" w:rsidRDefault="00DE412C" w:rsidP="00DE412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DE412C" w:rsidRDefault="00DE412C" w:rsidP="00DE412C">
      <w:pPr>
        <w:pStyle w:val="Agencynames"/>
        <w:spacing w:before="0" w:after="0" w:line="360" w:lineRule="auto"/>
        <w:ind w:firstLine="720"/>
        <w:rPr>
          <w:rFonts w:ascii="Arial" w:hAnsi="Arial"/>
          <w:b w:val="0"/>
          <w:sz w:val="22"/>
        </w:rPr>
      </w:pPr>
      <w:r>
        <w:rPr>
          <w:rFonts w:ascii="Arial" w:hAnsi="Arial"/>
          <w:b w:val="0"/>
          <w:sz w:val="22"/>
        </w:rPr>
        <w:tab/>
      </w:r>
      <w:r w:rsidR="001B0E89">
        <w:rPr>
          <w:rFonts w:ascii="Arial" w:hAnsi="Arial"/>
          <w:b w:val="0"/>
          <w:sz w:val="22"/>
        </w:rPr>
        <w:t>X</w:t>
      </w:r>
      <w:r>
        <w:rPr>
          <w:rFonts w:ascii="Arial" w:hAnsi="Arial"/>
          <w:b w:val="0"/>
          <w:sz w:val="22"/>
        </w:rPr>
        <w:tab/>
        <w:t>Lack of statutory authority</w:t>
      </w:r>
    </w:p>
    <w:p w:rsidR="00DE412C" w:rsidRDefault="00DE412C" w:rsidP="00DE412C">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DE412C" w:rsidRDefault="00DE412C" w:rsidP="00DE412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DE412C" w:rsidRDefault="00DE412C" w:rsidP="00DE412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DE412C" w:rsidRDefault="00DE412C" w:rsidP="00DE412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DE412C" w:rsidRDefault="00DE412C" w:rsidP="00DE412C">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291E13" w:rsidRDefault="00AB1FAD" w:rsidP="008448A8">
      <w:pPr>
        <w:jc w:val="both"/>
        <w:rPr>
          <w:sz w:val="22"/>
          <w:szCs w:val="22"/>
        </w:rPr>
      </w:pPr>
      <w:r>
        <w:rPr>
          <w:sz w:val="22"/>
          <w:szCs w:val="22"/>
        </w:rPr>
        <w:t>There is no authority cited for Paragraph (e) as written.  The addition of "genetic information" to the classifications of unlawful workplace harassment makes Paragraph (e) inconsistent with G.S. 126-34.1. G.S. 126-34.1(a)(10) limits filing a workplace harassment case to harassment based upon age, sex, race, color, national origin, religion, creed, and handicapping (disabling) condition.  While harassment based on genetic information may violate federal law, it does not give rise to a contested case under Article 3 of G.S. 150B.  G.S. 126-34.1(e) specifically states that "[a]ny issue for which appeal to the State Personnel Commission through the filing of a contested case under Article 3 of Chapter 150B of the General Statutes has not been specifically authorized by [G.S. 126-34.1] shall not be grounds for a contested case under G.S. 126."  Harassment based on genetic information is not specifically authorized as a ground for a contested case.</w:t>
      </w:r>
    </w:p>
    <w:p w:rsidR="008448A8" w:rsidRDefault="008448A8" w:rsidP="008448A8">
      <w:pPr>
        <w:jc w:val="both"/>
        <w:rPr>
          <w:sz w:val="22"/>
          <w:szCs w:val="22"/>
        </w:rPr>
      </w:pPr>
    </w:p>
    <w:p w:rsidR="00DE412C" w:rsidRDefault="00DE412C" w:rsidP="00DE412C">
      <w:pPr>
        <w:rPr>
          <w:sz w:val="22"/>
          <w:szCs w:val="22"/>
        </w:rPr>
      </w:pPr>
    </w:p>
    <w:p w:rsidR="00DE412C" w:rsidRDefault="00DE412C" w:rsidP="00DE412C">
      <w:pPr>
        <w:rPr>
          <w:sz w:val="22"/>
          <w:szCs w:val="22"/>
        </w:rPr>
      </w:pPr>
    </w:p>
    <w:p w:rsidR="00DE412C" w:rsidRDefault="00DE412C"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DE412C" w:rsidRDefault="00DE412C" w:rsidP="00DE412C">
      <w:pPr>
        <w:rPr>
          <w:sz w:val="22"/>
          <w:szCs w:val="22"/>
        </w:rPr>
      </w:pPr>
    </w:p>
    <w:p w:rsidR="00DE412C" w:rsidRPr="00817581" w:rsidRDefault="00DE412C" w:rsidP="00DE412C">
      <w:pPr>
        <w:pStyle w:val="Agencynames"/>
        <w:spacing w:before="0" w:after="0"/>
        <w:rPr>
          <w:rFonts w:ascii="Arial" w:hAnsi="Arial"/>
          <w:b w:val="0"/>
          <w:smallCaps/>
          <w:sz w:val="22"/>
        </w:rPr>
      </w:pPr>
      <w:r w:rsidRPr="00817581">
        <w:rPr>
          <w:rFonts w:ascii="Arial" w:hAnsi="Arial"/>
          <w:b w:val="0"/>
          <w:smallCaps/>
          <w:sz w:val="22"/>
        </w:rPr>
        <w:t>Robert A. Bryan, Jr.</w:t>
      </w:r>
    </w:p>
    <w:p w:rsidR="00DE412C" w:rsidRDefault="00DE412C" w:rsidP="00DE412C">
      <w:pPr>
        <w:pStyle w:val="Agencynames"/>
        <w:spacing w:before="0" w:after="0"/>
        <w:rPr>
          <w:rFonts w:ascii="Arial" w:hAnsi="Arial"/>
          <w:b w:val="0"/>
          <w:smallCaps/>
          <w:sz w:val="22"/>
        </w:rPr>
      </w:pPr>
      <w:r w:rsidRPr="00817581">
        <w:rPr>
          <w:rFonts w:ascii="Arial" w:hAnsi="Arial"/>
          <w:b w:val="0"/>
          <w:smallCaps/>
          <w:sz w:val="22"/>
        </w:rPr>
        <w:t>Commission Counsel</w:t>
      </w:r>
    </w:p>
    <w:p w:rsidR="00DE412C" w:rsidRDefault="00DE412C" w:rsidP="00DE412C">
      <w:pPr>
        <w:rPr>
          <w:sz w:val="22"/>
          <w:szCs w:val="22"/>
        </w:rPr>
      </w:pPr>
    </w:p>
    <w:p w:rsidR="00DE412C" w:rsidRDefault="00DE412C" w:rsidP="00DE412C">
      <w:pPr>
        <w:rPr>
          <w:sz w:val="22"/>
          <w:szCs w:val="22"/>
        </w:rPr>
      </w:pPr>
    </w:p>
    <w:p w:rsidR="003B078A" w:rsidRDefault="003B078A" w:rsidP="00DE412C">
      <w:pPr>
        <w:rPr>
          <w:sz w:val="22"/>
          <w:szCs w:val="22"/>
        </w:rPr>
      </w:pPr>
      <w:r>
        <w:rPr>
          <w:sz w:val="22"/>
          <w:szCs w:val="22"/>
        </w:rPr>
        <w:br w:type="page"/>
      </w:r>
    </w:p>
    <w:p w:rsidR="00675817" w:rsidRDefault="00AB7B6E" w:rsidP="00675817">
      <w:pPr>
        <w:pStyle w:val="aSection0"/>
      </w:pPr>
      <w:bookmarkStart w:id="0" w:name="GSDocumentHeader"/>
      <w:bookmarkEnd w:id="0"/>
      <w:r>
        <w:rPr>
          <w:sz w:val="24"/>
          <w:szCs w:val="24"/>
        </w:rPr>
        <w:t>§ 126</w:t>
      </w:r>
      <w:r>
        <w:rPr>
          <w:sz w:val="24"/>
          <w:szCs w:val="24"/>
        </w:rPr>
        <w:noBreakHyphen/>
        <w:t>4.</w:t>
      </w:r>
      <w:r w:rsidR="00675817">
        <w:rPr>
          <w:sz w:val="24"/>
          <w:szCs w:val="24"/>
        </w:rPr>
        <w:t xml:space="preserve"> Powers and duties of State Personnel Commission.</w:t>
      </w:r>
    </w:p>
    <w:p w:rsidR="00675817" w:rsidRDefault="00675817" w:rsidP="00675817">
      <w:pPr>
        <w:pStyle w:val="aMargin10"/>
      </w:pPr>
      <w:r>
        <w:rPr>
          <w:sz w:val="24"/>
          <w:szCs w:val="24"/>
        </w:rPr>
        <w:t>Subject to the approval of the Governor, the State Personnel Commission shall establish policies and rules governing each of the following:</w:t>
      </w:r>
    </w:p>
    <w:p w:rsidR="00675817" w:rsidRDefault="00675817" w:rsidP="00675817">
      <w:pPr>
        <w:pStyle w:val="aBlock10"/>
      </w:pPr>
      <w:r>
        <w:rPr>
          <w:sz w:val="24"/>
          <w:szCs w:val="24"/>
        </w:rPr>
        <w:t>(1)        Position classification plans which shall provide for the classification and reclassification of all positions subject to this Chapter according to the duties and responsibilities of the positions.</w:t>
      </w:r>
    </w:p>
    <w:p w:rsidR="00675817" w:rsidRDefault="00675817" w:rsidP="00675817">
      <w:pPr>
        <w:pStyle w:val="aBlock10"/>
      </w:pPr>
      <w:r>
        <w:rPr>
          <w:sz w:val="24"/>
          <w:szCs w:val="24"/>
        </w:rPr>
        <w:t>(2)        Compensation plans which shall provide for minimum, maximum, and intermediate rates of pay for all employees subject to the provisions of this Chapter.</w:t>
      </w:r>
    </w:p>
    <w:p w:rsidR="00675817" w:rsidRDefault="00675817" w:rsidP="00675817">
      <w:pPr>
        <w:pStyle w:val="aBlock10"/>
      </w:pPr>
      <w:r>
        <w:rPr>
          <w:sz w:val="24"/>
          <w:szCs w:val="24"/>
        </w:rPr>
        <w:t>(3)        For each class of positions, reasonable qualifications as to education, experience, specialized training, licenses, certifications, and other job</w:t>
      </w:r>
      <w:r>
        <w:rPr>
          <w:sz w:val="24"/>
          <w:szCs w:val="24"/>
        </w:rPr>
        <w:noBreakHyphen/>
        <w:t>related requirements pertinent to the work to be performed.</w:t>
      </w:r>
    </w:p>
    <w:p w:rsidR="00675817" w:rsidRDefault="00675817" w:rsidP="00675817">
      <w:pPr>
        <w:pStyle w:val="aBlock10"/>
      </w:pPr>
      <w:r>
        <w:rPr>
          <w:sz w:val="24"/>
          <w:szCs w:val="24"/>
        </w:rPr>
        <w:t>(4)        Recruitment programs designed to promote public employment, communicate current hiring activities within State government, and attract a sufficient flow of internal and external applicants; and determine the relative fitness of applicants for the respective positions.</w:t>
      </w:r>
    </w:p>
    <w:p w:rsidR="00675817" w:rsidRDefault="00675817" w:rsidP="00675817">
      <w:pPr>
        <w:pStyle w:val="aBlock10"/>
      </w:pPr>
      <w:r>
        <w:rPr>
          <w:sz w:val="24"/>
          <w:szCs w:val="24"/>
        </w:rPr>
        <w:t>(5)        Hours and days of work, holidays, vacation, sick leave, and other matters pertaining to the conditions of employment. The legal public holidays established by the Commission as paid holidays for State employees shall include Martin Luther King, Jr.'s Birthday and Veterans Day. The Commission shall not provide for more than 11 paid holidays per year except that in those years in which Christmas Day falls on a Tuesday, Wednesday, or Thursday, the Commission shall not provide for more than 12 paid holidays.</w:t>
      </w:r>
    </w:p>
    <w:p w:rsidR="00675817" w:rsidRDefault="00675817" w:rsidP="00675817">
      <w:pPr>
        <w:pStyle w:val="aBlock10"/>
      </w:pPr>
      <w:r>
        <w:rPr>
          <w:sz w:val="24"/>
          <w:szCs w:val="24"/>
        </w:rPr>
        <w:t>(5a)      In years in which New Year's Day falls on Saturday, the Commission may designate December 31 of the previous calendar year as the New Year's holiday, provided that the number of holidays for the previous calendar year does not exceed 12 and the number of holidays for the current year does not exceed 10. When New Year's Day falls on either Saturday or Sunday, the constituent institutions of The University of North Carolina that adopt alternative dates to recognize the legal public holidays set forth in subdivision (5) of this section and established by the Commission may designate, in accordance with the rules of the Commission and the requirements of this subdivision, December 31 of the previous calendar year as the New Year's holiday.</w:t>
      </w:r>
    </w:p>
    <w:p w:rsidR="00675817" w:rsidRDefault="00675817" w:rsidP="00675817">
      <w:pPr>
        <w:pStyle w:val="aBlock10"/>
      </w:pPr>
      <w:r>
        <w:rPr>
          <w:sz w:val="24"/>
          <w:szCs w:val="24"/>
        </w:rPr>
        <w:t>(6)        The appointment, promotion, transfer, demotion and suspension of employees.</w:t>
      </w:r>
    </w:p>
    <w:p w:rsidR="00675817" w:rsidRDefault="00675817" w:rsidP="00675817">
      <w:pPr>
        <w:pStyle w:val="aBlock10"/>
      </w:pPr>
      <w:r>
        <w:rPr>
          <w:sz w:val="24"/>
          <w:szCs w:val="24"/>
        </w:rPr>
        <w:t>(7)        Cooperation with the State Board of Education, the Department of Public Instruction, the University of North Carolina, and the Community Colleges of the State and other appropriate resources in developing programs in, including but not limited to, management and supervisory skills, performance evaluation, specialized employee skills, accident prevention, equal employment opportunity awareness, and customer service; and to maintain an accredited Certified Public Manager program.</w:t>
      </w:r>
    </w:p>
    <w:p w:rsidR="00675817" w:rsidRDefault="00675817" w:rsidP="00675817">
      <w:pPr>
        <w:pStyle w:val="aBlock10"/>
      </w:pPr>
      <w:r>
        <w:rPr>
          <w:sz w:val="24"/>
          <w:szCs w:val="24"/>
        </w:rPr>
        <w:t>(7a)      The separation of employees.</w:t>
      </w:r>
    </w:p>
    <w:p w:rsidR="00675817" w:rsidRDefault="00675817" w:rsidP="00675817">
      <w:pPr>
        <w:pStyle w:val="aBlock10"/>
      </w:pPr>
      <w:r>
        <w:rPr>
          <w:sz w:val="24"/>
          <w:szCs w:val="24"/>
        </w:rPr>
        <w:t>(8)        A program of meritorious service awards.</w:t>
      </w:r>
    </w:p>
    <w:p w:rsidR="00675817" w:rsidRDefault="00675817" w:rsidP="00675817">
      <w:pPr>
        <w:pStyle w:val="aBlock10"/>
      </w:pPr>
      <w:r>
        <w:rPr>
          <w:sz w:val="24"/>
          <w:szCs w:val="24"/>
        </w:rPr>
        <w:t>(9)        The investigation of complaints and the issuing of such binding corrective orders or such other appropriate action concerning employment, promotion, demotion, transfer, discharge, reinstatement, and any other issue defined as a contested case issue by this Chapter in all cases as the Commission shall find justified.</w:t>
      </w:r>
    </w:p>
    <w:p w:rsidR="00675817" w:rsidRDefault="00675817" w:rsidP="00675817">
      <w:pPr>
        <w:pStyle w:val="aBlock10"/>
      </w:pPr>
      <w:r>
        <w:rPr>
          <w:sz w:val="24"/>
          <w:szCs w:val="24"/>
        </w:rPr>
        <w:t>(10)      Programs of employee assistance, productivity incentives, equal opportunity, safety and health as required by Part 1 of Article 63 of Chapter 143 of the General Statutes, and such other programs and procedures as may be necessary to promote efficiency of administration and provide for a fair and modern system of personnel administration. This subdivision may not be construed to authorize the establishment of an incentive pay program.</w:t>
      </w:r>
    </w:p>
    <w:p w:rsidR="00675817" w:rsidRDefault="00675817" w:rsidP="00675817">
      <w:pPr>
        <w:pStyle w:val="aBlock10"/>
      </w:pPr>
      <w:r>
        <w:rPr>
          <w:sz w:val="24"/>
          <w:szCs w:val="24"/>
        </w:rPr>
        <w:t>(11)      In cases where the Commission finds discrimination, harassment, or orders reinstatement or back pay whether (</w:t>
      </w:r>
      <w:proofErr w:type="spellStart"/>
      <w:r>
        <w:rPr>
          <w:sz w:val="24"/>
          <w:szCs w:val="24"/>
        </w:rPr>
        <w:t>i</w:t>
      </w:r>
      <w:proofErr w:type="spellEnd"/>
      <w:r>
        <w:rPr>
          <w:sz w:val="24"/>
          <w:szCs w:val="24"/>
        </w:rPr>
        <w:t>) heard by the Commission or (ii) appealed for limited review after settlement or (iii) resolved at the agency level, the assessment of reasonable attorneys' fees and witnesses' fees against the State agency involved.</w:t>
      </w:r>
    </w:p>
    <w:p w:rsidR="00675817" w:rsidRDefault="00675817" w:rsidP="00675817">
      <w:pPr>
        <w:pStyle w:val="aBlock10"/>
      </w:pPr>
      <w:r>
        <w:rPr>
          <w:sz w:val="24"/>
          <w:szCs w:val="24"/>
        </w:rPr>
        <w:t>(12)      Repealed by Session Laws 1987, c. 320, s. 2.</w:t>
      </w:r>
    </w:p>
    <w:p w:rsidR="00675817" w:rsidRDefault="00675817" w:rsidP="00675817">
      <w:pPr>
        <w:pStyle w:val="aBlock10"/>
      </w:pPr>
      <w:r>
        <w:rPr>
          <w:sz w:val="24"/>
          <w:szCs w:val="24"/>
        </w:rPr>
        <w:t>(13)      Repealed by Session Laws 1987, c. 320, s. 3.</w:t>
      </w:r>
    </w:p>
    <w:p w:rsidR="00675817" w:rsidRDefault="00675817" w:rsidP="00675817">
      <w:pPr>
        <w:pStyle w:val="aBlock10"/>
      </w:pPr>
      <w:r>
        <w:rPr>
          <w:sz w:val="24"/>
          <w:szCs w:val="24"/>
        </w:rPr>
        <w:t>(14)      The implementation of G.S. 126</w:t>
      </w:r>
      <w:r>
        <w:rPr>
          <w:sz w:val="24"/>
          <w:szCs w:val="24"/>
        </w:rPr>
        <w:noBreakHyphen/>
        <w:t>5(e).</w:t>
      </w:r>
    </w:p>
    <w:p w:rsidR="00675817" w:rsidRDefault="00675817" w:rsidP="00675817">
      <w:pPr>
        <w:pStyle w:val="aBlock10"/>
      </w:pPr>
      <w:r>
        <w:rPr>
          <w:sz w:val="24"/>
          <w:szCs w:val="24"/>
        </w:rPr>
        <w:t>(15)      Recognition of State employees, public personnel management, and management excellence.</w:t>
      </w:r>
    </w:p>
    <w:p w:rsidR="00675817" w:rsidRDefault="00675817" w:rsidP="00675817">
      <w:pPr>
        <w:pStyle w:val="aBlock10"/>
      </w:pPr>
      <w:r>
        <w:rPr>
          <w:sz w:val="24"/>
          <w:szCs w:val="24"/>
        </w:rPr>
        <w:t>(16)      The implementation of G.S. 126</w:t>
      </w:r>
      <w:r>
        <w:rPr>
          <w:sz w:val="24"/>
          <w:szCs w:val="24"/>
        </w:rPr>
        <w:noBreakHyphen/>
        <w:t>7.</w:t>
      </w:r>
    </w:p>
    <w:p w:rsidR="00675817" w:rsidRDefault="00675817" w:rsidP="00675817">
      <w:pPr>
        <w:pStyle w:val="aBlock10"/>
      </w:pPr>
      <w:r>
        <w:rPr>
          <w:sz w:val="24"/>
          <w:szCs w:val="24"/>
        </w:rPr>
        <w:t>(17)      An alternative dispute resolution procedure.</w:t>
      </w:r>
    </w:p>
    <w:p w:rsidR="00675817" w:rsidRDefault="00675817" w:rsidP="00675817">
      <w:pPr>
        <w:pStyle w:val="aBlock10"/>
      </w:pPr>
      <w:r>
        <w:rPr>
          <w:sz w:val="24"/>
          <w:szCs w:val="24"/>
        </w:rPr>
        <w:t>(18)      Delegation of authority for approval of personnel actions through decentralization agreements with the heads of State agencies, departments, and institutions.</w:t>
      </w:r>
    </w:p>
    <w:p w:rsidR="00675817" w:rsidRDefault="00675817" w:rsidP="00675817">
      <w:pPr>
        <w:pStyle w:val="aBlock20"/>
      </w:pPr>
      <w:r>
        <w:rPr>
          <w:sz w:val="24"/>
          <w:szCs w:val="24"/>
        </w:rPr>
        <w:t>a.         Decentralization agreements with Executive Branch agencies shall require a person, designated in the agency, to be accountable to the State Personnel Director for the compliance of all personnel actions taken pursuant to the delegated authority of the agency. Such agreements shall specify the required rules and standards for agency personnel administration.</w:t>
      </w:r>
    </w:p>
    <w:p w:rsidR="00675817" w:rsidRDefault="00675817" w:rsidP="00675817">
      <w:pPr>
        <w:pStyle w:val="aBlock20"/>
      </w:pPr>
      <w:r>
        <w:rPr>
          <w:sz w:val="24"/>
          <w:szCs w:val="24"/>
        </w:rPr>
        <w:t>b.         The State Personnel Director shall have the authority to take appropriate corrective actions including adjusting employee salaries and changing employee classifications that are not in compliance with policy or standards and to suspend decentralization agreements for agency noncompliance with the required personnel administration standards.</w:t>
      </w:r>
    </w:p>
    <w:p w:rsidR="00675817" w:rsidRDefault="00675817" w:rsidP="00675817">
      <w:pPr>
        <w:pStyle w:val="aMargin10"/>
      </w:pPr>
      <w:r>
        <w:rPr>
          <w:sz w:val="24"/>
          <w:szCs w:val="24"/>
        </w:rPr>
        <w:t xml:space="preserve">The policies and rules of the Commission shall not limit the power of any elected or appointed department head, in the department head's discretion and upon the department head's determination that it is in the best interest of the Department, to transfer, demote, or separate a State employee who is not a career State employee as defined by this Chapter. </w:t>
      </w:r>
      <w:bookmarkStart w:id="1" w:name="HistoryNote"/>
      <w:r>
        <w:rPr>
          <w:rStyle w:val="cHistoryNote0"/>
          <w:sz w:val="24"/>
          <w:szCs w:val="24"/>
        </w:rPr>
        <w:t>(1965, c. 640, s. 2; 1971, c. 1244, s. 14; 1975, c. 667, ss. 6, 7; 1977, c. 288, s. 1; c. 866, ss. 1, 17, 20; 1985, c. 617, ss. 2, 3; c. 791, s. 50(b); 1985 (Reg. Sess., 1986), c. 1028, s. 6; 1987, c. 25, s. 2; c. 320, ss. 1</w:t>
      </w:r>
      <w:r>
        <w:rPr>
          <w:rStyle w:val="cHistoryNote0"/>
          <w:sz w:val="24"/>
          <w:szCs w:val="24"/>
        </w:rPr>
        <w:noBreakHyphen/>
        <w:t>3; 1991, c. 65, s. 1; c. 354, s. 2; c. 750, s. 1; 1991 (Reg. Sess., 1992), c. 994, s. 2; 1993, c. 388, s. 2; c. 522, s. 10; 1995, c. 141, s. 4; 1997</w:t>
      </w:r>
      <w:r>
        <w:rPr>
          <w:rStyle w:val="cHistoryNote0"/>
          <w:sz w:val="24"/>
          <w:szCs w:val="24"/>
        </w:rPr>
        <w:noBreakHyphen/>
        <w:t>349, s. 3; 1998</w:t>
      </w:r>
      <w:r>
        <w:rPr>
          <w:rStyle w:val="cHistoryNote0"/>
          <w:sz w:val="24"/>
          <w:szCs w:val="24"/>
        </w:rPr>
        <w:noBreakHyphen/>
        <w:t>135, s. 1.)</w:t>
      </w:r>
      <w:bookmarkEnd w:id="1"/>
    </w:p>
    <w:p w:rsidR="003B078A" w:rsidRDefault="003B078A" w:rsidP="00DE412C">
      <w:pPr>
        <w:rPr>
          <w:sz w:val="22"/>
          <w:szCs w:val="22"/>
        </w:rPr>
      </w:pPr>
    </w:p>
    <w:p w:rsidR="0009630F" w:rsidRDefault="0009630F" w:rsidP="00DE412C">
      <w:pPr>
        <w:rPr>
          <w:sz w:val="22"/>
          <w:szCs w:val="22"/>
        </w:rPr>
      </w:pPr>
    </w:p>
    <w:p w:rsidR="003B078A" w:rsidRDefault="003B078A" w:rsidP="00DE412C">
      <w:pPr>
        <w:rPr>
          <w:sz w:val="22"/>
          <w:szCs w:val="22"/>
        </w:rPr>
      </w:pPr>
      <w:bookmarkStart w:id="2" w:name="_GoBack"/>
      <w:bookmarkEnd w:id="2"/>
      <w:r>
        <w:rPr>
          <w:sz w:val="22"/>
          <w:szCs w:val="22"/>
        </w:rPr>
        <w:br w:type="page"/>
      </w:r>
    </w:p>
    <w:p w:rsidR="00675817" w:rsidRDefault="00675817" w:rsidP="00675817">
      <w:pPr>
        <w:pStyle w:val="aArticle0"/>
      </w:pPr>
      <w:r>
        <w:rPr>
          <w:sz w:val="24"/>
          <w:szCs w:val="24"/>
        </w:rPr>
        <w:t>Article 6.</w:t>
      </w:r>
    </w:p>
    <w:p w:rsidR="00675817" w:rsidRDefault="00675817" w:rsidP="00675817">
      <w:pPr>
        <w:pStyle w:val="aArticleTitle0"/>
      </w:pPr>
      <w:r>
        <w:rPr>
          <w:sz w:val="24"/>
          <w:szCs w:val="24"/>
        </w:rPr>
        <w:t>Equal Employment and Compensation Opportunity; Assisting in Obtaining State Employment.</w:t>
      </w:r>
    </w:p>
    <w:p w:rsidR="00675817" w:rsidRDefault="00675817" w:rsidP="00675817">
      <w:pPr>
        <w:pStyle w:val="aSection0"/>
      </w:pPr>
      <w:r>
        <w:rPr>
          <w:sz w:val="24"/>
          <w:szCs w:val="24"/>
        </w:rPr>
        <w:t>§ 126</w:t>
      </w:r>
      <w:r>
        <w:rPr>
          <w:sz w:val="24"/>
          <w:szCs w:val="24"/>
        </w:rPr>
        <w:noBreakHyphen/>
        <w:t>16. Equal opportunity for employment and compensation by State departments and agencies and local political subdivisions.</w:t>
      </w:r>
    </w:p>
    <w:p w:rsidR="00675817" w:rsidRDefault="00675817" w:rsidP="00675817">
      <w:pPr>
        <w:pStyle w:val="aMargin10"/>
      </w:pPr>
      <w:r>
        <w:rPr>
          <w:sz w:val="24"/>
          <w:szCs w:val="24"/>
        </w:rPr>
        <w:t>All State departments and agencies and all local political subdivisions of North Carolina shall give equal opportunity for employment and compensation, without regard to race, religion, color, creed, national origin, sex, age, or handicapping condition as defined in G.S. 168A</w:t>
      </w:r>
      <w:r>
        <w:rPr>
          <w:sz w:val="24"/>
          <w:szCs w:val="24"/>
        </w:rPr>
        <w:noBreakHyphen/>
        <w:t xml:space="preserve">3 to all persons otherwise qualified, except where specific age, sex or physical requirements constitute bona fide occupational qualifications necessary to proper and efficient administration.  This section with respect to equal opportunity as to age shall be limited to individuals who are at least 40 years of age. </w:t>
      </w:r>
      <w:r>
        <w:rPr>
          <w:rStyle w:val="cHistoryNote0"/>
          <w:sz w:val="24"/>
          <w:szCs w:val="24"/>
        </w:rPr>
        <w:t>(1971, c. 823; 1975, c. 158; 1977, c. 866, s. 7; 1979, c. 862, s. 3; 1983 (Reg. Sess., 1984), c. 1116, s. 111; 1985, c. 571, s. 2; 1991, c. 65, s. 6.)</w:t>
      </w:r>
    </w:p>
    <w:p w:rsidR="003B078A" w:rsidRDefault="003B078A" w:rsidP="00DE412C">
      <w:pPr>
        <w:rPr>
          <w:sz w:val="22"/>
          <w:szCs w:val="22"/>
        </w:rPr>
      </w:pPr>
    </w:p>
    <w:p w:rsidR="00675817" w:rsidRDefault="00675817" w:rsidP="00DE412C">
      <w:pPr>
        <w:rPr>
          <w:sz w:val="22"/>
          <w:szCs w:val="22"/>
        </w:rPr>
      </w:pPr>
    </w:p>
    <w:p w:rsidR="00675817" w:rsidRDefault="00675817" w:rsidP="00675817">
      <w:pPr>
        <w:pStyle w:val="aSection0"/>
      </w:pPr>
      <w:r>
        <w:rPr>
          <w:sz w:val="24"/>
          <w:szCs w:val="24"/>
        </w:rPr>
        <w:t>§ 126</w:t>
      </w:r>
      <w:r>
        <w:rPr>
          <w:sz w:val="24"/>
          <w:szCs w:val="24"/>
        </w:rPr>
        <w:noBreakHyphen/>
        <w:t>17. Retaliation by State departments and agencies and local political subdivisions.</w:t>
      </w:r>
    </w:p>
    <w:p w:rsidR="00675817" w:rsidRDefault="00675817" w:rsidP="00675817">
      <w:pPr>
        <w:pStyle w:val="aMargin10"/>
      </w:pPr>
      <w:r>
        <w:rPr>
          <w:sz w:val="24"/>
          <w:szCs w:val="24"/>
        </w:rPr>
        <w:t>No State department, agency, or local political subdivision of North Carolina shall retaliate against an employee for protesting alleged violations of G.S. 126</w:t>
      </w:r>
      <w:r>
        <w:rPr>
          <w:sz w:val="24"/>
          <w:szCs w:val="24"/>
        </w:rPr>
        <w:noBreakHyphen/>
        <w:t xml:space="preserve">16. </w:t>
      </w:r>
      <w:r>
        <w:rPr>
          <w:rStyle w:val="cHistoryNote0"/>
          <w:sz w:val="24"/>
          <w:szCs w:val="24"/>
        </w:rPr>
        <w:t>(1977, c. 866, s. 8.)</w:t>
      </w:r>
    </w:p>
    <w:p w:rsidR="00675817" w:rsidRDefault="00675817" w:rsidP="00DE412C">
      <w:pPr>
        <w:rPr>
          <w:sz w:val="22"/>
          <w:szCs w:val="22"/>
        </w:rPr>
      </w:pPr>
    </w:p>
    <w:p w:rsidR="00675817" w:rsidRDefault="00675817" w:rsidP="00DE412C">
      <w:pPr>
        <w:rPr>
          <w:sz w:val="22"/>
          <w:szCs w:val="22"/>
        </w:rPr>
      </w:pPr>
    </w:p>
    <w:p w:rsidR="00675817" w:rsidRDefault="00675817" w:rsidP="00675817">
      <w:pPr>
        <w:pStyle w:val="aArticle0"/>
      </w:pPr>
      <w:r>
        <w:rPr>
          <w:sz w:val="24"/>
          <w:szCs w:val="24"/>
        </w:rPr>
        <w:t>Article 8.</w:t>
      </w:r>
    </w:p>
    <w:p w:rsidR="00675817" w:rsidRDefault="00675817" w:rsidP="00675817">
      <w:pPr>
        <w:pStyle w:val="aArticleTitle0"/>
      </w:pPr>
      <w:r>
        <w:rPr>
          <w:sz w:val="24"/>
          <w:szCs w:val="24"/>
        </w:rPr>
        <w:t>Employee Appeals of Grievances and Disciplinary Action.</w:t>
      </w:r>
    </w:p>
    <w:p w:rsidR="00675817" w:rsidRDefault="00675817" w:rsidP="00675817">
      <w:pPr>
        <w:pStyle w:val="aSection0"/>
      </w:pPr>
      <w:r>
        <w:rPr>
          <w:sz w:val="24"/>
          <w:szCs w:val="24"/>
        </w:rPr>
        <w:t>§ 126</w:t>
      </w:r>
      <w:r>
        <w:rPr>
          <w:sz w:val="24"/>
          <w:szCs w:val="24"/>
        </w:rPr>
        <w:noBreakHyphen/>
        <w:t>34. Grievance appeal for career State employees.</w:t>
      </w:r>
    </w:p>
    <w:p w:rsidR="00675817" w:rsidRDefault="00675817" w:rsidP="00675817">
      <w:pPr>
        <w:pStyle w:val="aMargin10"/>
      </w:pPr>
      <w:r>
        <w:rPr>
          <w:sz w:val="24"/>
          <w:szCs w:val="24"/>
        </w:rPr>
        <w:t>Unless otherwise provided in this Chapter, any career State employee having a grievance arising out of or due to the employee's employment and who does not allege unlawful harassment or discrimination because of the employee's age, sex, race, color, national origin, religion, creed, handicapping condition as defined by G.S. 168A</w:t>
      </w:r>
      <w:r>
        <w:rPr>
          <w:sz w:val="24"/>
          <w:szCs w:val="24"/>
        </w:rPr>
        <w:noBreakHyphen/>
        <w:t>3, or political affiliation shall first discuss the problem or grievance with the employee's supervisor and follow the grievance procedure established by the employee's department or agency. Any State employee having a grievance arising out of or due to the employee's employment who alleges unlawful harassment because of the employee's age, sex, race, color, national origin, religion, creed, or handicapping condition as defined by G.S. 168A</w:t>
      </w:r>
      <w:r>
        <w:rPr>
          <w:sz w:val="24"/>
          <w:szCs w:val="24"/>
        </w:rPr>
        <w:noBreakHyphen/>
        <w:t xml:space="preserve">3 shall submit a written complaint to the employee's department or agency. The department or agency shall have 60 days within which to take appropriate remedial action. If the employee is not satisfied with the department or agency's response to the complaint, the employee shall have the right to appeal directly to the State Personnel Commission. </w:t>
      </w:r>
      <w:r>
        <w:rPr>
          <w:rStyle w:val="cHistoryNote0"/>
          <w:sz w:val="24"/>
          <w:szCs w:val="24"/>
        </w:rPr>
        <w:t>(1975. c. 667, s. 10; 1987, c. 320, s. 6; 1991, c. 354, s. 4; 1998</w:t>
      </w:r>
      <w:r>
        <w:rPr>
          <w:rStyle w:val="cHistoryNote0"/>
          <w:sz w:val="24"/>
          <w:szCs w:val="24"/>
        </w:rPr>
        <w:noBreakHyphen/>
        <w:t>135, s. 2.)</w:t>
      </w:r>
    </w:p>
    <w:p w:rsidR="00675817" w:rsidRDefault="00675817" w:rsidP="00DE412C">
      <w:pPr>
        <w:rPr>
          <w:sz w:val="22"/>
          <w:szCs w:val="22"/>
        </w:rPr>
      </w:pPr>
    </w:p>
    <w:p w:rsidR="00675817" w:rsidRDefault="00675817" w:rsidP="00DE412C">
      <w:pPr>
        <w:rPr>
          <w:sz w:val="22"/>
          <w:szCs w:val="22"/>
        </w:rPr>
      </w:pPr>
    </w:p>
    <w:p w:rsidR="00AB7B6E" w:rsidRDefault="00AB7B6E" w:rsidP="00AB7B6E">
      <w:pPr>
        <w:pStyle w:val="aSection0"/>
      </w:pPr>
      <w:r>
        <w:rPr>
          <w:sz w:val="24"/>
          <w:szCs w:val="24"/>
        </w:rPr>
        <w:t>§ 126</w:t>
      </w:r>
      <w:r>
        <w:rPr>
          <w:sz w:val="24"/>
          <w:szCs w:val="24"/>
        </w:rPr>
        <w:noBreakHyphen/>
        <w:t>34.1.</w:t>
      </w:r>
      <w:r>
        <w:rPr>
          <w:sz w:val="24"/>
          <w:szCs w:val="24"/>
        </w:rPr>
        <w:t xml:space="preserve"> Grounds for contested case under the State Personnel Act defined.</w:t>
      </w:r>
    </w:p>
    <w:p w:rsidR="00AB7B6E" w:rsidRDefault="00AB7B6E" w:rsidP="00AB7B6E">
      <w:pPr>
        <w:pStyle w:val="aMargin10"/>
      </w:pPr>
      <w:r>
        <w:rPr>
          <w:sz w:val="24"/>
          <w:szCs w:val="24"/>
        </w:rPr>
        <w:t>(a)        A State employee or former State employee may file in the Office of Administrative Hearings a contested case under Article 3 of Chapter 150B of the General Statutes only as to the following personnel actions or issues:</w:t>
      </w:r>
    </w:p>
    <w:p w:rsidR="00AB7B6E" w:rsidRDefault="00AB7B6E" w:rsidP="00AB7B6E">
      <w:pPr>
        <w:pStyle w:val="aBlock10"/>
      </w:pPr>
      <w:r>
        <w:rPr>
          <w:sz w:val="24"/>
          <w:szCs w:val="24"/>
        </w:rPr>
        <w:t>(1)        Dismissal, demotion, or suspension without pay based upon an alleged violation of G.S. 126</w:t>
      </w:r>
      <w:r>
        <w:rPr>
          <w:sz w:val="24"/>
          <w:szCs w:val="24"/>
        </w:rPr>
        <w:noBreakHyphen/>
        <w:t>35, if the employee is a career State employee.</w:t>
      </w:r>
    </w:p>
    <w:p w:rsidR="00AB7B6E" w:rsidRDefault="00AB7B6E" w:rsidP="00AB7B6E">
      <w:pPr>
        <w:pStyle w:val="aBlock10"/>
      </w:pPr>
      <w:r>
        <w:rPr>
          <w:sz w:val="24"/>
          <w:szCs w:val="24"/>
        </w:rPr>
        <w:t>(2)        An alleged unlawful State employment practice constituting discrimination, as proscribed by G.S. 126</w:t>
      </w:r>
      <w:r>
        <w:rPr>
          <w:sz w:val="24"/>
          <w:szCs w:val="24"/>
        </w:rPr>
        <w:noBreakHyphen/>
        <w:t>36, including:</w:t>
      </w:r>
    </w:p>
    <w:p w:rsidR="00AB7B6E" w:rsidRDefault="00AB7B6E" w:rsidP="00AB7B6E">
      <w:pPr>
        <w:pStyle w:val="aBlock20"/>
      </w:pPr>
      <w:r>
        <w:rPr>
          <w:sz w:val="24"/>
          <w:szCs w:val="24"/>
        </w:rPr>
        <w:t>a.         Denial of promotion, transfer, or training, on account of the employee's age, sex, race, color, national origin, religion, creed, political affiliation, or handicapping condition as defined by Chapter 168A of the General Statutes.</w:t>
      </w:r>
    </w:p>
    <w:p w:rsidR="00AB7B6E" w:rsidRDefault="00AB7B6E" w:rsidP="00AB7B6E">
      <w:pPr>
        <w:pStyle w:val="aBlock20"/>
      </w:pPr>
      <w:r>
        <w:rPr>
          <w:sz w:val="24"/>
          <w:szCs w:val="24"/>
        </w:rPr>
        <w:t>b.         Demotion, reduction in force, or termination of an employee in retaliation for the employee's opposition to alleged discrimination on account of the employee's age, sex, race, color, national origin, religion, creed, political affiliation, or handicapping condition as defined by Chapter 168A of the General Statutes.</w:t>
      </w:r>
    </w:p>
    <w:p w:rsidR="00AB7B6E" w:rsidRDefault="00AB7B6E" w:rsidP="00AB7B6E">
      <w:pPr>
        <w:pStyle w:val="aBlock10"/>
      </w:pPr>
      <w:r>
        <w:rPr>
          <w:sz w:val="24"/>
          <w:szCs w:val="24"/>
        </w:rPr>
        <w:t>(3)        Retaliation against an employee, as proscribed by G.S 126</w:t>
      </w:r>
      <w:r>
        <w:rPr>
          <w:sz w:val="24"/>
          <w:szCs w:val="24"/>
        </w:rPr>
        <w:noBreakHyphen/>
        <w:t>17, for protesting an alleged violation of G.S. 126</w:t>
      </w:r>
      <w:r>
        <w:rPr>
          <w:sz w:val="24"/>
          <w:szCs w:val="24"/>
        </w:rPr>
        <w:noBreakHyphen/>
        <w:t>16.</w:t>
      </w:r>
    </w:p>
    <w:p w:rsidR="00AB7B6E" w:rsidRDefault="00AB7B6E" w:rsidP="00AB7B6E">
      <w:pPr>
        <w:pStyle w:val="aBlock10"/>
      </w:pPr>
      <w:r>
        <w:rPr>
          <w:sz w:val="24"/>
          <w:szCs w:val="24"/>
        </w:rPr>
        <w:t>(4)        Denial of the veteran's preference granted in accordance with Article 13 of this Chapter in initial State employment or in connection with a reduction in force, for an eligible veteran as defined by G.S. 126</w:t>
      </w:r>
      <w:r>
        <w:rPr>
          <w:sz w:val="24"/>
          <w:szCs w:val="24"/>
        </w:rPr>
        <w:noBreakHyphen/>
        <w:t>81.</w:t>
      </w:r>
    </w:p>
    <w:p w:rsidR="00AB7B6E" w:rsidRDefault="00AB7B6E" w:rsidP="00AB7B6E">
      <w:pPr>
        <w:pStyle w:val="aBlock10"/>
      </w:pPr>
      <w:r>
        <w:rPr>
          <w:sz w:val="24"/>
          <w:szCs w:val="24"/>
        </w:rPr>
        <w:t>(5)        Denial of promotion for failure to post or failure to give priority consideration for promotion or reemployment, to a career State employee as required by G.S. 126</w:t>
      </w:r>
      <w:r>
        <w:rPr>
          <w:sz w:val="24"/>
          <w:szCs w:val="24"/>
        </w:rPr>
        <w:noBreakHyphen/>
        <w:t>7.1 and G.S. 126</w:t>
      </w:r>
      <w:r>
        <w:rPr>
          <w:sz w:val="24"/>
          <w:szCs w:val="24"/>
        </w:rPr>
        <w:noBreakHyphen/>
        <w:t>36.2.</w:t>
      </w:r>
    </w:p>
    <w:p w:rsidR="00AB7B6E" w:rsidRDefault="00AB7B6E" w:rsidP="00AB7B6E">
      <w:pPr>
        <w:pStyle w:val="aBlock10"/>
      </w:pPr>
      <w:r>
        <w:rPr>
          <w:sz w:val="24"/>
          <w:szCs w:val="24"/>
        </w:rPr>
        <w:t>(6)        Denial of an employee's request for removal of allegedly inaccurate or misleading information from the employee's personnel file as provided by G.S. 126</w:t>
      </w:r>
      <w:r>
        <w:rPr>
          <w:sz w:val="24"/>
          <w:szCs w:val="24"/>
        </w:rPr>
        <w:noBreakHyphen/>
        <w:t>25.</w:t>
      </w:r>
    </w:p>
    <w:p w:rsidR="00AB7B6E" w:rsidRDefault="00AB7B6E" w:rsidP="00AB7B6E">
      <w:pPr>
        <w:pStyle w:val="aBlock10"/>
      </w:pPr>
      <w:r>
        <w:rPr>
          <w:sz w:val="24"/>
          <w:szCs w:val="24"/>
        </w:rPr>
        <w:t>(7)        Any retaliatory personnel action that violates G.S. 126</w:t>
      </w:r>
      <w:r>
        <w:rPr>
          <w:sz w:val="24"/>
          <w:szCs w:val="24"/>
        </w:rPr>
        <w:noBreakHyphen/>
        <w:t>85.</w:t>
      </w:r>
    </w:p>
    <w:p w:rsidR="00AB7B6E" w:rsidRDefault="00AB7B6E" w:rsidP="00AB7B6E">
      <w:pPr>
        <w:pStyle w:val="aBlock10"/>
      </w:pPr>
      <w:r>
        <w:rPr>
          <w:sz w:val="24"/>
          <w:szCs w:val="24"/>
        </w:rPr>
        <w:t>(8)        Denial of promotion in violation of G.S. 126</w:t>
      </w:r>
      <w:r>
        <w:rPr>
          <w:sz w:val="24"/>
          <w:szCs w:val="24"/>
        </w:rPr>
        <w:noBreakHyphen/>
        <w:t>14.2, where an initial determination found probable cause to believe there has been a violation of G.S. 126</w:t>
      </w:r>
      <w:r>
        <w:rPr>
          <w:sz w:val="24"/>
          <w:szCs w:val="24"/>
        </w:rPr>
        <w:noBreakHyphen/>
        <w:t>14.2.</w:t>
      </w:r>
    </w:p>
    <w:p w:rsidR="00AB7B6E" w:rsidRDefault="00AB7B6E" w:rsidP="00AB7B6E">
      <w:pPr>
        <w:pStyle w:val="aBlock10"/>
      </w:pPr>
      <w:r>
        <w:rPr>
          <w:sz w:val="24"/>
          <w:szCs w:val="24"/>
        </w:rPr>
        <w:t>(9)        Denial of employment in violation of G.S. 126</w:t>
      </w:r>
      <w:r>
        <w:rPr>
          <w:sz w:val="24"/>
          <w:szCs w:val="24"/>
        </w:rPr>
        <w:noBreakHyphen/>
        <w:t>14.2, where an initial determination found probable cause to believe that there has been a violation of G.S. 126</w:t>
      </w:r>
      <w:r>
        <w:rPr>
          <w:sz w:val="24"/>
          <w:szCs w:val="24"/>
        </w:rPr>
        <w:noBreakHyphen/>
        <w:t>14.2.</w:t>
      </w:r>
    </w:p>
    <w:p w:rsidR="00AB7B6E" w:rsidRDefault="00AB7B6E" w:rsidP="00AB7B6E">
      <w:pPr>
        <w:pStyle w:val="aBlock10"/>
      </w:pPr>
      <w:r>
        <w:rPr>
          <w:sz w:val="24"/>
          <w:szCs w:val="24"/>
        </w:rPr>
        <w:t>(10)      Harassment in the workplace based upon age, sex, race, color, national origin, religion, creed, or handicapping condition, whether the harassment is based upon the creation of a hostile work environment or upon a quid pro quo.</w:t>
      </w:r>
    </w:p>
    <w:p w:rsidR="00AB7B6E" w:rsidRDefault="00AB7B6E" w:rsidP="00AB7B6E">
      <w:pPr>
        <w:pStyle w:val="aBlock10"/>
      </w:pPr>
      <w:r>
        <w:rPr>
          <w:sz w:val="24"/>
          <w:szCs w:val="24"/>
        </w:rPr>
        <w:t>(11)      Violation of any of the following federal statutes as applied to the employee:</w:t>
      </w:r>
    </w:p>
    <w:p w:rsidR="00AB7B6E" w:rsidRDefault="00AB7B6E" w:rsidP="00AB7B6E">
      <w:pPr>
        <w:pStyle w:val="aBlock20"/>
      </w:pPr>
      <w:r>
        <w:rPr>
          <w:sz w:val="24"/>
          <w:szCs w:val="24"/>
        </w:rPr>
        <w:t>a.         The Fair Labor Standards Act, 29 U.S.C. § 201, et seq.</w:t>
      </w:r>
    </w:p>
    <w:p w:rsidR="00AB7B6E" w:rsidRDefault="00AB7B6E" w:rsidP="00AB7B6E">
      <w:pPr>
        <w:pStyle w:val="aBlock20"/>
      </w:pPr>
      <w:r>
        <w:rPr>
          <w:sz w:val="24"/>
          <w:szCs w:val="24"/>
        </w:rPr>
        <w:t>b.         The Age Discrimination in Employment Act, 29 U.S.C. § 621, et seq.</w:t>
      </w:r>
    </w:p>
    <w:p w:rsidR="00AB7B6E" w:rsidRDefault="00AB7B6E" w:rsidP="00AB7B6E">
      <w:pPr>
        <w:pStyle w:val="aBlock20"/>
      </w:pPr>
      <w:r>
        <w:rPr>
          <w:sz w:val="24"/>
          <w:szCs w:val="24"/>
        </w:rPr>
        <w:t>c.         The Family Medical Leave Act, 29 U.S.C. § 2601, et seq.</w:t>
      </w:r>
    </w:p>
    <w:p w:rsidR="00AB7B6E" w:rsidRDefault="00AB7B6E" w:rsidP="00AB7B6E">
      <w:pPr>
        <w:pStyle w:val="aBlock20"/>
      </w:pPr>
      <w:r>
        <w:rPr>
          <w:sz w:val="24"/>
          <w:szCs w:val="24"/>
        </w:rPr>
        <w:t>d.         The Americans with Disabilities Act, 42 U.S.C. § 12101, et seq.</w:t>
      </w:r>
    </w:p>
    <w:p w:rsidR="00AB7B6E" w:rsidRDefault="00AB7B6E" w:rsidP="00AB7B6E">
      <w:pPr>
        <w:pStyle w:val="aMargin10"/>
      </w:pPr>
      <w:r>
        <w:rPr>
          <w:sz w:val="24"/>
          <w:szCs w:val="24"/>
        </w:rPr>
        <w:t>(b)        An applicant for initial State employment may file in the Office of Administrative Hearings a contested case under Article 3 of Chapter 150B of the General Statutes based upon:</w:t>
      </w:r>
    </w:p>
    <w:p w:rsidR="00AB7B6E" w:rsidRDefault="00AB7B6E" w:rsidP="00AB7B6E">
      <w:pPr>
        <w:pStyle w:val="aBlock10"/>
      </w:pPr>
      <w:r>
        <w:rPr>
          <w:sz w:val="24"/>
          <w:szCs w:val="24"/>
        </w:rPr>
        <w:t>(1)        Alleged denial of employment in violation of G.S. 126</w:t>
      </w:r>
      <w:r>
        <w:rPr>
          <w:sz w:val="24"/>
          <w:szCs w:val="24"/>
        </w:rPr>
        <w:noBreakHyphen/>
        <w:t>16.</w:t>
      </w:r>
    </w:p>
    <w:p w:rsidR="00AB7B6E" w:rsidRDefault="00AB7B6E" w:rsidP="00AB7B6E">
      <w:pPr>
        <w:pStyle w:val="aBlock10"/>
      </w:pPr>
      <w:r>
        <w:rPr>
          <w:sz w:val="24"/>
          <w:szCs w:val="24"/>
        </w:rPr>
        <w:t>(2)        Denial of the applicant's request for removal of allegedly inaccurate or misleading information from the personnel file as provided by G.S. 126</w:t>
      </w:r>
      <w:r>
        <w:rPr>
          <w:sz w:val="24"/>
          <w:szCs w:val="24"/>
        </w:rPr>
        <w:noBreakHyphen/>
        <w:t>25.</w:t>
      </w:r>
    </w:p>
    <w:p w:rsidR="00AB7B6E" w:rsidRDefault="00AB7B6E" w:rsidP="00AB7B6E">
      <w:pPr>
        <w:pStyle w:val="aBlock10"/>
      </w:pPr>
      <w:r>
        <w:rPr>
          <w:sz w:val="24"/>
          <w:szCs w:val="24"/>
        </w:rPr>
        <w:t xml:space="preserve">(3)        Denial of equal opportunity for employment and compensation on account of the employee's age, sex, race, color, national origin, religion, creed, political affiliation, or handicapping condition as defined by Chapter 168A of the General Statutes. This subsection with respect to equal opportunity as to age shall be limited to persons who are at least 40 years of age. An applicant may not, however, file a contested case where political affiliation was the reason for the person's </w:t>
      </w:r>
      <w:proofErr w:type="spellStart"/>
      <w:r>
        <w:rPr>
          <w:sz w:val="24"/>
          <w:szCs w:val="24"/>
        </w:rPr>
        <w:t>nonselection</w:t>
      </w:r>
      <w:proofErr w:type="spellEnd"/>
      <w:r>
        <w:rPr>
          <w:sz w:val="24"/>
          <w:szCs w:val="24"/>
        </w:rPr>
        <w:t xml:space="preserve"> for (</w:t>
      </w:r>
      <w:proofErr w:type="spellStart"/>
      <w:r>
        <w:rPr>
          <w:sz w:val="24"/>
          <w:szCs w:val="24"/>
        </w:rPr>
        <w:t>i</w:t>
      </w:r>
      <w:proofErr w:type="spellEnd"/>
      <w:r>
        <w:rPr>
          <w:sz w:val="24"/>
          <w:szCs w:val="24"/>
        </w:rPr>
        <w:t>) an exempt policymaking position as defined in G.S. 126</w:t>
      </w:r>
      <w:r>
        <w:rPr>
          <w:sz w:val="24"/>
          <w:szCs w:val="24"/>
        </w:rPr>
        <w:noBreakHyphen/>
        <w:t>5(b)(3), (ii) a chief deputy or chief administrative assistant position under G.S. 126</w:t>
      </w:r>
      <w:r>
        <w:rPr>
          <w:sz w:val="24"/>
          <w:szCs w:val="24"/>
        </w:rPr>
        <w:noBreakHyphen/>
        <w:t>5(c)(4), or (iii) a confidential assistant or confidential secretary position under G.S. 126</w:t>
      </w:r>
      <w:r>
        <w:rPr>
          <w:sz w:val="24"/>
          <w:szCs w:val="24"/>
        </w:rPr>
        <w:noBreakHyphen/>
        <w:t>5(c)(2).</w:t>
      </w:r>
    </w:p>
    <w:p w:rsidR="00AB7B6E" w:rsidRDefault="00AB7B6E" w:rsidP="00AB7B6E">
      <w:pPr>
        <w:pStyle w:val="aBlock10"/>
      </w:pPr>
      <w:r>
        <w:rPr>
          <w:sz w:val="24"/>
          <w:szCs w:val="24"/>
        </w:rPr>
        <w:t>(4)        Denial of the veteran's preference in initial State employment provided by Article 13 of this Chapter, for an eligible veteran as defined by G.S. 126</w:t>
      </w:r>
      <w:r>
        <w:rPr>
          <w:sz w:val="24"/>
          <w:szCs w:val="24"/>
        </w:rPr>
        <w:noBreakHyphen/>
        <w:t>81.</w:t>
      </w:r>
    </w:p>
    <w:p w:rsidR="00AB7B6E" w:rsidRDefault="00AB7B6E" w:rsidP="00AB7B6E">
      <w:pPr>
        <w:pStyle w:val="aBlock10"/>
      </w:pPr>
      <w:r>
        <w:rPr>
          <w:sz w:val="24"/>
          <w:szCs w:val="24"/>
        </w:rPr>
        <w:t>(5)        Denial of employment in violation of G.S. 126</w:t>
      </w:r>
      <w:r>
        <w:rPr>
          <w:sz w:val="24"/>
          <w:szCs w:val="24"/>
        </w:rPr>
        <w:noBreakHyphen/>
        <w:t>14.2, where an initial determination found probable cause to believe that there has been a violation of G.S. 126</w:t>
      </w:r>
      <w:r>
        <w:rPr>
          <w:sz w:val="24"/>
          <w:szCs w:val="24"/>
        </w:rPr>
        <w:noBreakHyphen/>
        <w:t>14.2.</w:t>
      </w:r>
    </w:p>
    <w:p w:rsidR="00AB7B6E" w:rsidRDefault="00AB7B6E" w:rsidP="00AB7B6E">
      <w:pPr>
        <w:pStyle w:val="aMargin10"/>
      </w:pPr>
      <w:r>
        <w:rPr>
          <w:sz w:val="24"/>
          <w:szCs w:val="24"/>
        </w:rPr>
        <w:t>(c)        In the case of a dispute as to whether a State employee's position is properly exempted from the State Personnel Act under G.S. 126</w:t>
      </w:r>
      <w:r>
        <w:rPr>
          <w:sz w:val="24"/>
          <w:szCs w:val="24"/>
        </w:rPr>
        <w:noBreakHyphen/>
        <w:t>5, the employee may file in the Office of Administrative Hearings a contested case under Article 3 of Chapter 150B of the General Statutes.</w:t>
      </w:r>
    </w:p>
    <w:p w:rsidR="00AB7B6E" w:rsidRDefault="00AB7B6E" w:rsidP="00AB7B6E">
      <w:pPr>
        <w:pStyle w:val="aMargin10"/>
      </w:pPr>
      <w:r>
        <w:rPr>
          <w:sz w:val="24"/>
          <w:szCs w:val="24"/>
        </w:rPr>
        <w:t>(d)       A State employee or applicant for State employment may file in the Office of Administrative Hearings a contested case under Article 3 of Chapter 150B of the General Statutes based upon a false accusation regarding, or disciplinary action relating to, the employee's alleged violation of G.S. 126</w:t>
      </w:r>
      <w:r>
        <w:rPr>
          <w:sz w:val="24"/>
          <w:szCs w:val="24"/>
        </w:rPr>
        <w:noBreakHyphen/>
        <w:t>14 or G.S. 126</w:t>
      </w:r>
      <w:r>
        <w:rPr>
          <w:sz w:val="24"/>
          <w:szCs w:val="24"/>
        </w:rPr>
        <w:noBreakHyphen/>
        <w:t>14.1.</w:t>
      </w:r>
    </w:p>
    <w:p w:rsidR="00AB7B6E" w:rsidRDefault="00AB7B6E" w:rsidP="00AB7B6E">
      <w:pPr>
        <w:pStyle w:val="aMargin10"/>
      </w:pPr>
      <w:r>
        <w:rPr>
          <w:sz w:val="24"/>
          <w:szCs w:val="24"/>
        </w:rPr>
        <w:t xml:space="preserve">(e)        Any issue for which appeal to the State Personnel Commission through the filing of a contested case under Article 3 of Chapter 150B of the General Statutes has not been specifically authorized by this section shall not be grounds for a contested case under Chapter 126. </w:t>
      </w:r>
      <w:r>
        <w:rPr>
          <w:rStyle w:val="cHistoryNote0"/>
          <w:sz w:val="24"/>
          <w:szCs w:val="24"/>
        </w:rPr>
        <w:t>(1995, c. 141, s. 7; 1997</w:t>
      </w:r>
      <w:r>
        <w:rPr>
          <w:rStyle w:val="cHistoryNote0"/>
          <w:sz w:val="24"/>
          <w:szCs w:val="24"/>
        </w:rPr>
        <w:noBreakHyphen/>
        <w:t>520, s. 4; 1998</w:t>
      </w:r>
      <w:r>
        <w:rPr>
          <w:rStyle w:val="cHistoryNote0"/>
          <w:sz w:val="24"/>
          <w:szCs w:val="24"/>
        </w:rPr>
        <w:noBreakHyphen/>
        <w:t>135, s. 3; 2001</w:t>
      </w:r>
      <w:r>
        <w:rPr>
          <w:rStyle w:val="cHistoryNote0"/>
          <w:sz w:val="24"/>
          <w:szCs w:val="24"/>
        </w:rPr>
        <w:noBreakHyphen/>
        <w:t>467, s. 2.)</w:t>
      </w:r>
    </w:p>
    <w:p w:rsidR="00675817" w:rsidRDefault="00675817" w:rsidP="00DE412C">
      <w:pPr>
        <w:rPr>
          <w:sz w:val="22"/>
          <w:szCs w:val="22"/>
        </w:rPr>
      </w:pPr>
    </w:p>
    <w:p w:rsidR="00675817" w:rsidRDefault="00675817" w:rsidP="00DE412C">
      <w:pPr>
        <w:rPr>
          <w:sz w:val="22"/>
          <w:szCs w:val="22"/>
        </w:rPr>
      </w:pPr>
    </w:p>
    <w:p w:rsidR="00AB7B6E" w:rsidRDefault="00AB7B6E" w:rsidP="00AB7B6E">
      <w:pPr>
        <w:pStyle w:val="aSection0"/>
      </w:pPr>
      <w:r>
        <w:rPr>
          <w:sz w:val="24"/>
          <w:szCs w:val="24"/>
        </w:rPr>
        <w:t>§ 126</w:t>
      </w:r>
      <w:r>
        <w:rPr>
          <w:sz w:val="24"/>
          <w:szCs w:val="24"/>
        </w:rPr>
        <w:noBreakHyphen/>
        <w:t>36.</w:t>
      </w:r>
      <w:r>
        <w:rPr>
          <w:sz w:val="24"/>
          <w:szCs w:val="24"/>
        </w:rPr>
        <w:t xml:space="preserve"> Appeal of unlawful State employment practice.</w:t>
      </w:r>
    </w:p>
    <w:p w:rsidR="00AB7B6E" w:rsidRDefault="00AB7B6E" w:rsidP="00AB7B6E">
      <w:pPr>
        <w:pStyle w:val="aMargin10"/>
      </w:pPr>
      <w:r>
        <w:rPr>
          <w:sz w:val="24"/>
          <w:szCs w:val="24"/>
        </w:rPr>
        <w:t>(a)        Any State employee or former State employee who has reason to believe that employment, promotion, training, or transfer was denied the employee or that demotion, layoff, transfer, or termination of employment was forced upon the employee in retaliation for opposition to alleged discrimination or because of the employee's age, sex, race, color, national origin, religion, creed, political affiliation, or handicapping condition as defined by G.S. 168A</w:t>
      </w:r>
      <w:r>
        <w:rPr>
          <w:sz w:val="24"/>
          <w:szCs w:val="24"/>
        </w:rPr>
        <w:noBreakHyphen/>
        <w:t>3 except where specific age, sex or physical requirements constitute a bona fide occupational qualification necessary to proper and efficient administration, shall have the right to appeal directly to the State Personnel Commission.</w:t>
      </w:r>
    </w:p>
    <w:p w:rsidR="00AB7B6E" w:rsidRDefault="00AB7B6E" w:rsidP="00AB7B6E">
      <w:pPr>
        <w:pStyle w:val="aMargin10"/>
      </w:pPr>
      <w:r>
        <w:rPr>
          <w:sz w:val="24"/>
          <w:szCs w:val="24"/>
        </w:rPr>
        <w:t>(b)        Subject to the requirements of G.S. 126</w:t>
      </w:r>
      <w:r>
        <w:rPr>
          <w:sz w:val="24"/>
          <w:szCs w:val="24"/>
        </w:rPr>
        <w:noBreakHyphen/>
        <w:t>34, any State employee or former State employee who has reason to believe that the employee has been subjected to any of the following shall have the right to appeal directly to the State Personnel Commission:</w:t>
      </w:r>
    </w:p>
    <w:p w:rsidR="00AB7B6E" w:rsidRDefault="00AB7B6E" w:rsidP="00AB7B6E">
      <w:pPr>
        <w:pStyle w:val="aBlock10"/>
      </w:pPr>
      <w:r>
        <w:rPr>
          <w:sz w:val="24"/>
          <w:szCs w:val="24"/>
        </w:rPr>
        <w:t>(1)        Harassment in the workplace based upon age, sex, race, color, national origin, religion, creed, or handicapping condition, whether the harassment is based upon the creation of a hostile work environment or upon a quid pro quo.</w:t>
      </w:r>
    </w:p>
    <w:p w:rsidR="00AB7B6E" w:rsidRDefault="00AB7B6E" w:rsidP="00AB7B6E">
      <w:pPr>
        <w:pStyle w:val="aBlock10"/>
      </w:pPr>
      <w:r>
        <w:rPr>
          <w:sz w:val="24"/>
          <w:szCs w:val="24"/>
        </w:rPr>
        <w:t xml:space="preserve">(2)        Retaliation for opposition to harassment in the workplace based upon age, sex, race, color, national origin, religion, creed, or handicapping condition, whether the harassment is based upon the creation of a hostile work environment or upon a quid pro quo. </w:t>
      </w:r>
      <w:r>
        <w:rPr>
          <w:rStyle w:val="cHistoryNote0"/>
          <w:sz w:val="24"/>
          <w:szCs w:val="24"/>
        </w:rPr>
        <w:t>(1975, c. 667, s. 10; 1977, c. 866, ss. 13, 16; 1987, c. 320, s. 7; 1998</w:t>
      </w:r>
      <w:r>
        <w:rPr>
          <w:rStyle w:val="cHistoryNote0"/>
          <w:sz w:val="24"/>
          <w:szCs w:val="24"/>
        </w:rPr>
        <w:noBreakHyphen/>
        <w:t>135, s. 4.)</w:t>
      </w:r>
    </w:p>
    <w:p w:rsidR="00675817" w:rsidRDefault="00675817" w:rsidP="00DE412C">
      <w:pPr>
        <w:rPr>
          <w:sz w:val="22"/>
          <w:szCs w:val="22"/>
        </w:rPr>
      </w:pPr>
    </w:p>
    <w:p w:rsidR="00675817" w:rsidRDefault="00675817" w:rsidP="00DE412C">
      <w:pPr>
        <w:rPr>
          <w:sz w:val="22"/>
          <w:szCs w:val="22"/>
        </w:rPr>
      </w:pPr>
    </w:p>
    <w:p w:rsidR="00AB7B6E" w:rsidRDefault="00AB7B6E" w:rsidP="00AB7B6E">
      <w:pPr>
        <w:pStyle w:val="aSection0"/>
      </w:pPr>
      <w:r>
        <w:rPr>
          <w:sz w:val="24"/>
          <w:szCs w:val="24"/>
        </w:rPr>
        <w:t>§ 126</w:t>
      </w:r>
      <w:r>
        <w:rPr>
          <w:sz w:val="24"/>
          <w:szCs w:val="24"/>
        </w:rPr>
        <w:noBreakHyphen/>
        <w:t>36.1.</w:t>
      </w:r>
      <w:r>
        <w:rPr>
          <w:sz w:val="24"/>
          <w:szCs w:val="24"/>
        </w:rPr>
        <w:t xml:space="preserve"> Appeal to Personnel Commission by applicant for employment.</w:t>
      </w:r>
    </w:p>
    <w:p w:rsidR="00AB7B6E" w:rsidRDefault="00AB7B6E" w:rsidP="00AB7B6E">
      <w:pPr>
        <w:pStyle w:val="aMargin10"/>
      </w:pPr>
      <w:r>
        <w:rPr>
          <w:sz w:val="24"/>
          <w:szCs w:val="24"/>
        </w:rPr>
        <w:t>Any applicant for State employment who has reason to believe that employment was denied in violation of G.S. 126</w:t>
      </w:r>
      <w:r>
        <w:rPr>
          <w:sz w:val="24"/>
          <w:szCs w:val="24"/>
        </w:rPr>
        <w:noBreakHyphen/>
        <w:t xml:space="preserve">16 shall have the right to appeal directly to the State Personnel Commission. </w:t>
      </w:r>
      <w:r>
        <w:rPr>
          <w:rStyle w:val="cHistoryNote0"/>
          <w:sz w:val="24"/>
          <w:szCs w:val="24"/>
        </w:rPr>
        <w:t>(1977, c. 866, s. 16.)</w:t>
      </w:r>
    </w:p>
    <w:p w:rsidR="00AB7B6E" w:rsidRDefault="00AB7B6E" w:rsidP="00DE412C">
      <w:pPr>
        <w:rPr>
          <w:sz w:val="22"/>
          <w:szCs w:val="22"/>
        </w:rPr>
      </w:pPr>
    </w:p>
    <w:sectPr w:rsidR="00AB7B6E" w:rsidSect="002E5598">
      <w:pgSz w:w="12240" w:h="15840" w:code="1"/>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817" w:rsidRDefault="00675817">
      <w:r>
        <w:separator/>
      </w:r>
    </w:p>
  </w:endnote>
  <w:endnote w:type="continuationSeparator" w:id="0">
    <w:p w:rsidR="00675817" w:rsidRDefault="0067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817" w:rsidRDefault="00675817">
      <w:r>
        <w:separator/>
      </w:r>
    </w:p>
  </w:footnote>
  <w:footnote w:type="continuationSeparator" w:id="0">
    <w:p w:rsidR="00675817" w:rsidRDefault="00675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7B"/>
    <w:rsid w:val="00003122"/>
    <w:rsid w:val="000035F5"/>
    <w:rsid w:val="000142D8"/>
    <w:rsid w:val="00021008"/>
    <w:rsid w:val="000232D2"/>
    <w:rsid w:val="000366CD"/>
    <w:rsid w:val="000441F3"/>
    <w:rsid w:val="0005501F"/>
    <w:rsid w:val="0005731D"/>
    <w:rsid w:val="00057D2A"/>
    <w:rsid w:val="00066409"/>
    <w:rsid w:val="00067D6B"/>
    <w:rsid w:val="00092F86"/>
    <w:rsid w:val="0009630F"/>
    <w:rsid w:val="000A593A"/>
    <w:rsid w:val="000B2394"/>
    <w:rsid w:val="000B3493"/>
    <w:rsid w:val="000B3EF6"/>
    <w:rsid w:val="000B51EF"/>
    <w:rsid w:val="000C4B0B"/>
    <w:rsid w:val="000E0D5F"/>
    <w:rsid w:val="000E2EBA"/>
    <w:rsid w:val="000E3D60"/>
    <w:rsid w:val="0010165F"/>
    <w:rsid w:val="00103BB3"/>
    <w:rsid w:val="00107253"/>
    <w:rsid w:val="001143DA"/>
    <w:rsid w:val="00115E3B"/>
    <w:rsid w:val="00115F81"/>
    <w:rsid w:val="00120E97"/>
    <w:rsid w:val="00125A89"/>
    <w:rsid w:val="00127979"/>
    <w:rsid w:val="001333E4"/>
    <w:rsid w:val="00135BD9"/>
    <w:rsid w:val="001516A2"/>
    <w:rsid w:val="0015677B"/>
    <w:rsid w:val="0016298E"/>
    <w:rsid w:val="00171FA2"/>
    <w:rsid w:val="0018347D"/>
    <w:rsid w:val="0019405F"/>
    <w:rsid w:val="001A3725"/>
    <w:rsid w:val="001A3A13"/>
    <w:rsid w:val="001A3DD9"/>
    <w:rsid w:val="001A5C15"/>
    <w:rsid w:val="001B0E89"/>
    <w:rsid w:val="001B48B1"/>
    <w:rsid w:val="001C569B"/>
    <w:rsid w:val="001C7213"/>
    <w:rsid w:val="001D46F6"/>
    <w:rsid w:val="001D5915"/>
    <w:rsid w:val="001E4C04"/>
    <w:rsid w:val="001E5616"/>
    <w:rsid w:val="001F2BA1"/>
    <w:rsid w:val="002005D6"/>
    <w:rsid w:val="002173A4"/>
    <w:rsid w:val="00221754"/>
    <w:rsid w:val="0022295F"/>
    <w:rsid w:val="00226657"/>
    <w:rsid w:val="00226B01"/>
    <w:rsid w:val="0023013C"/>
    <w:rsid w:val="0023129E"/>
    <w:rsid w:val="00251888"/>
    <w:rsid w:val="00257FE3"/>
    <w:rsid w:val="00264CBE"/>
    <w:rsid w:val="00267E10"/>
    <w:rsid w:val="00270A22"/>
    <w:rsid w:val="00284262"/>
    <w:rsid w:val="002909FD"/>
    <w:rsid w:val="00291579"/>
    <w:rsid w:val="00291E13"/>
    <w:rsid w:val="00292767"/>
    <w:rsid w:val="002978A1"/>
    <w:rsid w:val="002A25A7"/>
    <w:rsid w:val="002B7557"/>
    <w:rsid w:val="002C5F0D"/>
    <w:rsid w:val="002D1201"/>
    <w:rsid w:val="002D3D54"/>
    <w:rsid w:val="002D5D39"/>
    <w:rsid w:val="002E5598"/>
    <w:rsid w:val="002E7F8E"/>
    <w:rsid w:val="002F01C5"/>
    <w:rsid w:val="002F0A75"/>
    <w:rsid w:val="002F5334"/>
    <w:rsid w:val="002F5D3A"/>
    <w:rsid w:val="003035CF"/>
    <w:rsid w:val="0031353E"/>
    <w:rsid w:val="00314B30"/>
    <w:rsid w:val="003160D2"/>
    <w:rsid w:val="00331D87"/>
    <w:rsid w:val="00332F2D"/>
    <w:rsid w:val="00335B11"/>
    <w:rsid w:val="00340FC0"/>
    <w:rsid w:val="00376678"/>
    <w:rsid w:val="00383F0C"/>
    <w:rsid w:val="003847E7"/>
    <w:rsid w:val="003901B9"/>
    <w:rsid w:val="003A1034"/>
    <w:rsid w:val="003A1D08"/>
    <w:rsid w:val="003A1D88"/>
    <w:rsid w:val="003A1EB6"/>
    <w:rsid w:val="003A3AD3"/>
    <w:rsid w:val="003B078A"/>
    <w:rsid w:val="003B0C1F"/>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517F9"/>
    <w:rsid w:val="004616F5"/>
    <w:rsid w:val="00464B63"/>
    <w:rsid w:val="004662C3"/>
    <w:rsid w:val="0047127D"/>
    <w:rsid w:val="00477F0C"/>
    <w:rsid w:val="00492134"/>
    <w:rsid w:val="004A65B7"/>
    <w:rsid w:val="004A6AA0"/>
    <w:rsid w:val="004B2627"/>
    <w:rsid w:val="004C269E"/>
    <w:rsid w:val="004E4B74"/>
    <w:rsid w:val="005017D6"/>
    <w:rsid w:val="00507F8F"/>
    <w:rsid w:val="00514185"/>
    <w:rsid w:val="00516EBE"/>
    <w:rsid w:val="00525DD8"/>
    <w:rsid w:val="00526DAC"/>
    <w:rsid w:val="0052738B"/>
    <w:rsid w:val="00534F70"/>
    <w:rsid w:val="00535197"/>
    <w:rsid w:val="00553789"/>
    <w:rsid w:val="00554ED6"/>
    <w:rsid w:val="00572AAA"/>
    <w:rsid w:val="00575083"/>
    <w:rsid w:val="005D2A20"/>
    <w:rsid w:val="005E25B1"/>
    <w:rsid w:val="006058D2"/>
    <w:rsid w:val="006129F0"/>
    <w:rsid w:val="006234EC"/>
    <w:rsid w:val="00630449"/>
    <w:rsid w:val="00645F1E"/>
    <w:rsid w:val="0065348B"/>
    <w:rsid w:val="00656C12"/>
    <w:rsid w:val="00661FD2"/>
    <w:rsid w:val="00673C73"/>
    <w:rsid w:val="00675817"/>
    <w:rsid w:val="00680500"/>
    <w:rsid w:val="006928FA"/>
    <w:rsid w:val="006A31C8"/>
    <w:rsid w:val="006A6D09"/>
    <w:rsid w:val="006C305B"/>
    <w:rsid w:val="006C41F8"/>
    <w:rsid w:val="006C471C"/>
    <w:rsid w:val="006E14A4"/>
    <w:rsid w:val="006E1C52"/>
    <w:rsid w:val="006E23FA"/>
    <w:rsid w:val="006E4EA1"/>
    <w:rsid w:val="006F44F2"/>
    <w:rsid w:val="006F7952"/>
    <w:rsid w:val="00703859"/>
    <w:rsid w:val="007168C4"/>
    <w:rsid w:val="00717410"/>
    <w:rsid w:val="00721FD1"/>
    <w:rsid w:val="007269F3"/>
    <w:rsid w:val="00734B04"/>
    <w:rsid w:val="00734E2F"/>
    <w:rsid w:val="00736584"/>
    <w:rsid w:val="007443D3"/>
    <w:rsid w:val="00754053"/>
    <w:rsid w:val="0077431D"/>
    <w:rsid w:val="007752D0"/>
    <w:rsid w:val="00783FC1"/>
    <w:rsid w:val="007902EE"/>
    <w:rsid w:val="00791C52"/>
    <w:rsid w:val="007B2F85"/>
    <w:rsid w:val="007B6E9E"/>
    <w:rsid w:val="007C119E"/>
    <w:rsid w:val="007C17FF"/>
    <w:rsid w:val="007C5B18"/>
    <w:rsid w:val="007D4234"/>
    <w:rsid w:val="007F3DDC"/>
    <w:rsid w:val="007F5683"/>
    <w:rsid w:val="007F5AD9"/>
    <w:rsid w:val="007F6D23"/>
    <w:rsid w:val="007F702A"/>
    <w:rsid w:val="008066D6"/>
    <w:rsid w:val="00814A4B"/>
    <w:rsid w:val="00817581"/>
    <w:rsid w:val="0081769C"/>
    <w:rsid w:val="0082113A"/>
    <w:rsid w:val="0082143D"/>
    <w:rsid w:val="008274A5"/>
    <w:rsid w:val="00844466"/>
    <w:rsid w:val="008448A8"/>
    <w:rsid w:val="008549BA"/>
    <w:rsid w:val="00854C93"/>
    <w:rsid w:val="00856925"/>
    <w:rsid w:val="00864394"/>
    <w:rsid w:val="0087041B"/>
    <w:rsid w:val="00871A60"/>
    <w:rsid w:val="00880EAC"/>
    <w:rsid w:val="00884B70"/>
    <w:rsid w:val="008852D8"/>
    <w:rsid w:val="008858CD"/>
    <w:rsid w:val="0089318A"/>
    <w:rsid w:val="0089346E"/>
    <w:rsid w:val="008A605E"/>
    <w:rsid w:val="008A7C53"/>
    <w:rsid w:val="008B247E"/>
    <w:rsid w:val="008C6AA1"/>
    <w:rsid w:val="008D4A14"/>
    <w:rsid w:val="008D5C2F"/>
    <w:rsid w:val="008E1548"/>
    <w:rsid w:val="008E1EB2"/>
    <w:rsid w:val="008E5B57"/>
    <w:rsid w:val="008F7FE7"/>
    <w:rsid w:val="00917A0B"/>
    <w:rsid w:val="009231FA"/>
    <w:rsid w:val="00930DFB"/>
    <w:rsid w:val="009375E1"/>
    <w:rsid w:val="00941994"/>
    <w:rsid w:val="0095438B"/>
    <w:rsid w:val="00957479"/>
    <w:rsid w:val="00960755"/>
    <w:rsid w:val="0096336F"/>
    <w:rsid w:val="009764F2"/>
    <w:rsid w:val="00977036"/>
    <w:rsid w:val="009770F4"/>
    <w:rsid w:val="0098051E"/>
    <w:rsid w:val="00996037"/>
    <w:rsid w:val="00996D45"/>
    <w:rsid w:val="009A2DDF"/>
    <w:rsid w:val="009B59C5"/>
    <w:rsid w:val="009C5A04"/>
    <w:rsid w:val="009D1601"/>
    <w:rsid w:val="009D24AB"/>
    <w:rsid w:val="009E3B20"/>
    <w:rsid w:val="009F116A"/>
    <w:rsid w:val="00A03465"/>
    <w:rsid w:val="00A04A0F"/>
    <w:rsid w:val="00A05FC1"/>
    <w:rsid w:val="00A06921"/>
    <w:rsid w:val="00A1428B"/>
    <w:rsid w:val="00A145F9"/>
    <w:rsid w:val="00A1602E"/>
    <w:rsid w:val="00A25C50"/>
    <w:rsid w:val="00A45647"/>
    <w:rsid w:val="00A4686B"/>
    <w:rsid w:val="00A523E3"/>
    <w:rsid w:val="00A5244A"/>
    <w:rsid w:val="00A54CBF"/>
    <w:rsid w:val="00A57CDF"/>
    <w:rsid w:val="00A638FF"/>
    <w:rsid w:val="00A70FF3"/>
    <w:rsid w:val="00A720AF"/>
    <w:rsid w:val="00A74BBB"/>
    <w:rsid w:val="00A74F0F"/>
    <w:rsid w:val="00A80AEA"/>
    <w:rsid w:val="00A8130F"/>
    <w:rsid w:val="00A93648"/>
    <w:rsid w:val="00AA282B"/>
    <w:rsid w:val="00AB1EB8"/>
    <w:rsid w:val="00AB1FAD"/>
    <w:rsid w:val="00AB370B"/>
    <w:rsid w:val="00AB5231"/>
    <w:rsid w:val="00AB5CCA"/>
    <w:rsid w:val="00AB7B6E"/>
    <w:rsid w:val="00AC114B"/>
    <w:rsid w:val="00AC5C78"/>
    <w:rsid w:val="00AD03B4"/>
    <w:rsid w:val="00AD74AE"/>
    <w:rsid w:val="00AF1C39"/>
    <w:rsid w:val="00AF641A"/>
    <w:rsid w:val="00B00786"/>
    <w:rsid w:val="00B01200"/>
    <w:rsid w:val="00B055B0"/>
    <w:rsid w:val="00B20E84"/>
    <w:rsid w:val="00B22DB8"/>
    <w:rsid w:val="00B46445"/>
    <w:rsid w:val="00B51A5D"/>
    <w:rsid w:val="00B57F12"/>
    <w:rsid w:val="00B66701"/>
    <w:rsid w:val="00B67048"/>
    <w:rsid w:val="00B70D59"/>
    <w:rsid w:val="00B779EF"/>
    <w:rsid w:val="00B808B9"/>
    <w:rsid w:val="00BB0911"/>
    <w:rsid w:val="00BB570D"/>
    <w:rsid w:val="00BB7C0B"/>
    <w:rsid w:val="00BC42B9"/>
    <w:rsid w:val="00BC52CC"/>
    <w:rsid w:val="00BD0C26"/>
    <w:rsid w:val="00BD3A45"/>
    <w:rsid w:val="00BD7A5B"/>
    <w:rsid w:val="00BE113F"/>
    <w:rsid w:val="00BE33F7"/>
    <w:rsid w:val="00BE470B"/>
    <w:rsid w:val="00BF316B"/>
    <w:rsid w:val="00C0301E"/>
    <w:rsid w:val="00C15137"/>
    <w:rsid w:val="00C30866"/>
    <w:rsid w:val="00C30DE5"/>
    <w:rsid w:val="00C37DB0"/>
    <w:rsid w:val="00C44B71"/>
    <w:rsid w:val="00C5085E"/>
    <w:rsid w:val="00C535E9"/>
    <w:rsid w:val="00C64320"/>
    <w:rsid w:val="00C71338"/>
    <w:rsid w:val="00C72544"/>
    <w:rsid w:val="00C756F9"/>
    <w:rsid w:val="00C77A37"/>
    <w:rsid w:val="00C861F4"/>
    <w:rsid w:val="00C96B6B"/>
    <w:rsid w:val="00CA293B"/>
    <w:rsid w:val="00CA305C"/>
    <w:rsid w:val="00CA5BAE"/>
    <w:rsid w:val="00CB48EE"/>
    <w:rsid w:val="00CB6CCA"/>
    <w:rsid w:val="00CB7FEC"/>
    <w:rsid w:val="00CC2E04"/>
    <w:rsid w:val="00CD0E29"/>
    <w:rsid w:val="00CD69F3"/>
    <w:rsid w:val="00CE4AB5"/>
    <w:rsid w:val="00CF1291"/>
    <w:rsid w:val="00D01FE5"/>
    <w:rsid w:val="00D03B71"/>
    <w:rsid w:val="00D11C55"/>
    <w:rsid w:val="00D20F7E"/>
    <w:rsid w:val="00D21862"/>
    <w:rsid w:val="00D2654A"/>
    <w:rsid w:val="00D3511F"/>
    <w:rsid w:val="00D40253"/>
    <w:rsid w:val="00D47C5B"/>
    <w:rsid w:val="00D5336D"/>
    <w:rsid w:val="00D53F64"/>
    <w:rsid w:val="00D558DE"/>
    <w:rsid w:val="00D636DA"/>
    <w:rsid w:val="00D63AEA"/>
    <w:rsid w:val="00D663CC"/>
    <w:rsid w:val="00D71CA6"/>
    <w:rsid w:val="00D760C8"/>
    <w:rsid w:val="00D8066B"/>
    <w:rsid w:val="00D84837"/>
    <w:rsid w:val="00D86DB7"/>
    <w:rsid w:val="00D87ED4"/>
    <w:rsid w:val="00D952E5"/>
    <w:rsid w:val="00D967AF"/>
    <w:rsid w:val="00DA00E4"/>
    <w:rsid w:val="00DA0811"/>
    <w:rsid w:val="00DA0E0F"/>
    <w:rsid w:val="00DC6949"/>
    <w:rsid w:val="00DE3F71"/>
    <w:rsid w:val="00DE412C"/>
    <w:rsid w:val="00DE4D32"/>
    <w:rsid w:val="00DE5099"/>
    <w:rsid w:val="00DE661F"/>
    <w:rsid w:val="00E1658D"/>
    <w:rsid w:val="00E20C6F"/>
    <w:rsid w:val="00E243BF"/>
    <w:rsid w:val="00E26744"/>
    <w:rsid w:val="00E32543"/>
    <w:rsid w:val="00E35DF5"/>
    <w:rsid w:val="00E52958"/>
    <w:rsid w:val="00E53BD5"/>
    <w:rsid w:val="00E67223"/>
    <w:rsid w:val="00E67970"/>
    <w:rsid w:val="00E72825"/>
    <w:rsid w:val="00E73AA2"/>
    <w:rsid w:val="00E73BE0"/>
    <w:rsid w:val="00E8017B"/>
    <w:rsid w:val="00E8377A"/>
    <w:rsid w:val="00E874A7"/>
    <w:rsid w:val="00E9784E"/>
    <w:rsid w:val="00EA41EF"/>
    <w:rsid w:val="00EB482B"/>
    <w:rsid w:val="00EB68A8"/>
    <w:rsid w:val="00EC4662"/>
    <w:rsid w:val="00ED0365"/>
    <w:rsid w:val="00ED0D11"/>
    <w:rsid w:val="00ED0F75"/>
    <w:rsid w:val="00ED1492"/>
    <w:rsid w:val="00ED5B21"/>
    <w:rsid w:val="00EE2325"/>
    <w:rsid w:val="00EE4450"/>
    <w:rsid w:val="00EE791E"/>
    <w:rsid w:val="00EE7F30"/>
    <w:rsid w:val="00EF03E7"/>
    <w:rsid w:val="00EF42C9"/>
    <w:rsid w:val="00EF6383"/>
    <w:rsid w:val="00F00780"/>
    <w:rsid w:val="00F03F51"/>
    <w:rsid w:val="00F05FA0"/>
    <w:rsid w:val="00F212F8"/>
    <w:rsid w:val="00F46184"/>
    <w:rsid w:val="00F47A04"/>
    <w:rsid w:val="00F47CD5"/>
    <w:rsid w:val="00F6215C"/>
    <w:rsid w:val="00F6273C"/>
    <w:rsid w:val="00F64432"/>
    <w:rsid w:val="00F8034C"/>
    <w:rsid w:val="00F80BC0"/>
    <w:rsid w:val="00F82963"/>
    <w:rsid w:val="00F85DCD"/>
    <w:rsid w:val="00F87330"/>
    <w:rsid w:val="00F906F0"/>
    <w:rsid w:val="00F94828"/>
    <w:rsid w:val="00FA1202"/>
    <w:rsid w:val="00FB0F03"/>
    <w:rsid w:val="00FB5743"/>
    <w:rsid w:val="00FC6BD0"/>
    <w:rsid w:val="00FE29F7"/>
    <w:rsid w:val="00FE562D"/>
    <w:rsid w:val="00FF1B79"/>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pPr>
      <w:spacing w:before="120" w:after="120"/>
    </w:pPr>
    <w:rPr>
      <w:b/>
      <w:sz w:val="24"/>
    </w:rPr>
  </w:style>
  <w:style w:type="paragraph" w:customStyle="1" w:styleId="BoardorDivision">
    <w:name w:val="Board or Division"/>
    <w:basedOn w:val="Agencynames"/>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rsid w:val="00AF641A"/>
    <w:pPr>
      <w:ind w:left="1080" w:hanging="1080"/>
      <w:jc w:val="both"/>
    </w:pPr>
    <w:rPr>
      <w:b/>
      <w:bCs/>
      <w:sz w:val="26"/>
      <w:szCs w:val="26"/>
    </w:rPr>
  </w:style>
  <w:style w:type="paragraph" w:customStyle="1" w:styleId="aMargin10">
    <w:name w:val="aMargin1"/>
    <w:basedOn w:val="Normal"/>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rsid w:val="00A8130F"/>
    <w:pPr>
      <w:spacing w:after="120"/>
      <w:jc w:val="center"/>
    </w:pPr>
    <w:rPr>
      <w:sz w:val="26"/>
      <w:szCs w:val="26"/>
    </w:rPr>
  </w:style>
  <w:style w:type="paragraph" w:customStyle="1" w:styleId="aArticleTitle0">
    <w:name w:val="aArticleTitle"/>
    <w:basedOn w:val="Normal"/>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paragraph" w:customStyle="1" w:styleId="aPart">
    <w:name w:val="aPart"/>
    <w:basedOn w:val="Normal"/>
    <w:rsid w:val="00A05FC1"/>
    <w:pPr>
      <w:spacing w:after="120"/>
      <w:jc w:val="center"/>
    </w:pPr>
    <w:rPr>
      <w:sz w:val="26"/>
      <w:szCs w:val="26"/>
    </w:rPr>
  </w:style>
  <w:style w:type="paragraph" w:customStyle="1" w:styleId="aBase">
    <w:name w:val="aBase"/>
    <w:basedOn w:val="Normal"/>
    <w:rsid w:val="006A31C8"/>
    <w:pPr>
      <w:jc w:val="both"/>
    </w:pPr>
    <w:rPr>
      <w:sz w:val="24"/>
      <w:szCs w:val="24"/>
    </w:rPr>
  </w:style>
  <w:style w:type="paragraph" w:customStyle="1" w:styleId="aBlock4">
    <w:name w:val="aBlock4"/>
    <w:basedOn w:val="Normal"/>
    <w:rsid w:val="00B00786"/>
    <w:pPr>
      <w:ind w:left="3960" w:hanging="720"/>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017">
      <w:bodyDiv w:val="1"/>
      <w:marLeft w:val="0"/>
      <w:marRight w:val="0"/>
      <w:marTop w:val="0"/>
      <w:marBottom w:val="0"/>
      <w:divBdr>
        <w:top w:val="none" w:sz="0" w:space="0" w:color="auto"/>
        <w:left w:val="none" w:sz="0" w:space="0" w:color="auto"/>
        <w:bottom w:val="none" w:sz="0" w:space="0" w:color="auto"/>
        <w:right w:val="none" w:sz="0" w:space="0" w:color="auto"/>
      </w:divBdr>
    </w:div>
    <w:div w:id="12807559">
      <w:bodyDiv w:val="1"/>
      <w:marLeft w:val="0"/>
      <w:marRight w:val="0"/>
      <w:marTop w:val="0"/>
      <w:marBottom w:val="0"/>
      <w:divBdr>
        <w:top w:val="none" w:sz="0" w:space="0" w:color="auto"/>
        <w:left w:val="none" w:sz="0" w:space="0" w:color="auto"/>
        <w:bottom w:val="none" w:sz="0" w:space="0" w:color="auto"/>
        <w:right w:val="none" w:sz="0" w:space="0" w:color="auto"/>
      </w:divBdr>
    </w:div>
    <w:div w:id="36588062">
      <w:bodyDiv w:val="1"/>
      <w:marLeft w:val="0"/>
      <w:marRight w:val="0"/>
      <w:marTop w:val="0"/>
      <w:marBottom w:val="0"/>
      <w:divBdr>
        <w:top w:val="none" w:sz="0" w:space="0" w:color="auto"/>
        <w:left w:val="none" w:sz="0" w:space="0" w:color="auto"/>
        <w:bottom w:val="none" w:sz="0" w:space="0" w:color="auto"/>
        <w:right w:val="none" w:sz="0" w:space="0" w:color="auto"/>
      </w:divBdr>
    </w:div>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49914486">
      <w:bodyDiv w:val="1"/>
      <w:marLeft w:val="0"/>
      <w:marRight w:val="0"/>
      <w:marTop w:val="0"/>
      <w:marBottom w:val="0"/>
      <w:divBdr>
        <w:top w:val="none" w:sz="0" w:space="0" w:color="auto"/>
        <w:left w:val="none" w:sz="0" w:space="0" w:color="auto"/>
        <w:bottom w:val="none" w:sz="0" w:space="0" w:color="auto"/>
        <w:right w:val="none" w:sz="0" w:space="0" w:color="auto"/>
      </w:divBdr>
    </w:div>
    <w:div w:id="349987518">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375546894">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472217678">
      <w:bodyDiv w:val="1"/>
      <w:marLeft w:val="0"/>
      <w:marRight w:val="0"/>
      <w:marTop w:val="0"/>
      <w:marBottom w:val="0"/>
      <w:divBdr>
        <w:top w:val="none" w:sz="0" w:space="0" w:color="auto"/>
        <w:left w:val="none" w:sz="0" w:space="0" w:color="auto"/>
        <w:bottom w:val="none" w:sz="0" w:space="0" w:color="auto"/>
        <w:right w:val="none" w:sz="0" w:space="0" w:color="auto"/>
      </w:divBdr>
    </w:div>
    <w:div w:id="496580628">
      <w:bodyDiv w:val="1"/>
      <w:marLeft w:val="0"/>
      <w:marRight w:val="0"/>
      <w:marTop w:val="0"/>
      <w:marBottom w:val="0"/>
      <w:divBdr>
        <w:top w:val="none" w:sz="0" w:space="0" w:color="auto"/>
        <w:left w:val="none" w:sz="0" w:space="0" w:color="auto"/>
        <w:bottom w:val="none" w:sz="0" w:space="0" w:color="auto"/>
        <w:right w:val="none" w:sz="0" w:space="0" w:color="auto"/>
      </w:divBdr>
    </w:div>
    <w:div w:id="543297890">
      <w:bodyDiv w:val="1"/>
      <w:marLeft w:val="0"/>
      <w:marRight w:val="0"/>
      <w:marTop w:val="0"/>
      <w:marBottom w:val="0"/>
      <w:divBdr>
        <w:top w:val="none" w:sz="0" w:space="0" w:color="auto"/>
        <w:left w:val="none" w:sz="0" w:space="0" w:color="auto"/>
        <w:bottom w:val="none" w:sz="0" w:space="0" w:color="auto"/>
        <w:right w:val="none" w:sz="0" w:space="0" w:color="auto"/>
      </w:divBdr>
    </w:div>
    <w:div w:id="650526953">
      <w:bodyDiv w:val="1"/>
      <w:marLeft w:val="0"/>
      <w:marRight w:val="0"/>
      <w:marTop w:val="0"/>
      <w:marBottom w:val="0"/>
      <w:divBdr>
        <w:top w:val="none" w:sz="0" w:space="0" w:color="auto"/>
        <w:left w:val="none" w:sz="0" w:space="0" w:color="auto"/>
        <w:bottom w:val="none" w:sz="0" w:space="0" w:color="auto"/>
        <w:right w:val="none" w:sz="0" w:space="0" w:color="auto"/>
      </w:divBdr>
    </w:div>
    <w:div w:id="666178879">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44367157">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31342114">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213230342">
      <w:bodyDiv w:val="1"/>
      <w:marLeft w:val="0"/>
      <w:marRight w:val="0"/>
      <w:marTop w:val="0"/>
      <w:marBottom w:val="0"/>
      <w:divBdr>
        <w:top w:val="none" w:sz="0" w:space="0" w:color="auto"/>
        <w:left w:val="none" w:sz="0" w:space="0" w:color="auto"/>
        <w:bottom w:val="none" w:sz="0" w:space="0" w:color="auto"/>
        <w:right w:val="none" w:sz="0" w:space="0" w:color="auto"/>
      </w:divBdr>
    </w:div>
    <w:div w:id="1246956661">
      <w:bodyDiv w:val="1"/>
      <w:marLeft w:val="0"/>
      <w:marRight w:val="0"/>
      <w:marTop w:val="0"/>
      <w:marBottom w:val="0"/>
      <w:divBdr>
        <w:top w:val="none" w:sz="0" w:space="0" w:color="auto"/>
        <w:left w:val="none" w:sz="0" w:space="0" w:color="auto"/>
        <w:bottom w:val="none" w:sz="0" w:space="0" w:color="auto"/>
        <w:right w:val="none" w:sz="0" w:space="0" w:color="auto"/>
      </w:divBdr>
    </w:div>
    <w:div w:id="1320572297">
      <w:bodyDiv w:val="1"/>
      <w:marLeft w:val="0"/>
      <w:marRight w:val="0"/>
      <w:marTop w:val="0"/>
      <w:marBottom w:val="0"/>
      <w:divBdr>
        <w:top w:val="none" w:sz="0" w:space="0" w:color="auto"/>
        <w:left w:val="none" w:sz="0" w:space="0" w:color="auto"/>
        <w:bottom w:val="none" w:sz="0" w:space="0" w:color="auto"/>
        <w:right w:val="none" w:sz="0" w:space="0" w:color="auto"/>
      </w:divBdr>
    </w:div>
    <w:div w:id="1397971731">
      <w:bodyDiv w:val="1"/>
      <w:marLeft w:val="0"/>
      <w:marRight w:val="0"/>
      <w:marTop w:val="0"/>
      <w:marBottom w:val="0"/>
      <w:divBdr>
        <w:top w:val="none" w:sz="0" w:space="0" w:color="auto"/>
        <w:left w:val="none" w:sz="0" w:space="0" w:color="auto"/>
        <w:bottom w:val="none" w:sz="0" w:space="0" w:color="auto"/>
        <w:right w:val="none" w:sz="0" w:space="0" w:color="auto"/>
      </w:divBdr>
    </w:div>
    <w:div w:id="1419983668">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574314068">
      <w:bodyDiv w:val="1"/>
      <w:marLeft w:val="0"/>
      <w:marRight w:val="0"/>
      <w:marTop w:val="0"/>
      <w:marBottom w:val="0"/>
      <w:divBdr>
        <w:top w:val="none" w:sz="0" w:space="0" w:color="auto"/>
        <w:left w:val="none" w:sz="0" w:space="0" w:color="auto"/>
        <w:bottom w:val="none" w:sz="0" w:space="0" w:color="auto"/>
        <w:right w:val="none" w:sz="0" w:space="0" w:color="auto"/>
      </w:divBdr>
    </w:div>
    <w:div w:id="1598977560">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846240388">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11889204">
      <w:bodyDiv w:val="1"/>
      <w:marLeft w:val="0"/>
      <w:marRight w:val="0"/>
      <w:marTop w:val="0"/>
      <w:marBottom w:val="0"/>
      <w:divBdr>
        <w:top w:val="none" w:sz="0" w:space="0" w:color="auto"/>
        <w:left w:val="none" w:sz="0" w:space="0" w:color="auto"/>
        <w:bottom w:val="none" w:sz="0" w:space="0" w:color="auto"/>
        <w:right w:val="none" w:sz="0" w:space="0" w:color="auto"/>
      </w:divBdr>
    </w:div>
    <w:div w:id="1947616199">
      <w:bodyDiv w:val="1"/>
      <w:marLeft w:val="0"/>
      <w:marRight w:val="0"/>
      <w:marTop w:val="0"/>
      <w:marBottom w:val="0"/>
      <w:divBdr>
        <w:top w:val="none" w:sz="0" w:space="0" w:color="auto"/>
        <w:left w:val="none" w:sz="0" w:space="0" w:color="auto"/>
        <w:bottom w:val="none" w:sz="0" w:space="0" w:color="auto"/>
        <w:right w:val="none" w:sz="0" w:space="0" w:color="auto"/>
      </w:divBdr>
    </w:div>
    <w:div w:id="1981959144">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14989106">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050182205">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17691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NC Register</cp:lastModifiedBy>
  <cp:revision>6</cp:revision>
  <cp:lastPrinted>2011-12-23T15:13:00Z</cp:lastPrinted>
  <dcterms:created xsi:type="dcterms:W3CDTF">2012-03-26T17:19:00Z</dcterms:created>
  <dcterms:modified xsi:type="dcterms:W3CDTF">2012-03-26T19:10:00Z</dcterms:modified>
</cp:coreProperties>
</file>