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BF" w:rsidRPr="00D605F6" w:rsidRDefault="00364EBF" w:rsidP="00364EBF">
      <w:pPr>
        <w:pStyle w:val="Paragraph"/>
        <w:jc w:val="center"/>
        <w:rPr>
          <w:rFonts w:ascii="Arial Black" w:hAnsi="Arial Black"/>
          <w:b/>
          <w:u w:val="single"/>
        </w:rPr>
      </w:pPr>
      <w:r w:rsidRPr="00D605F6">
        <w:rPr>
          <w:rFonts w:ascii="Arial Black" w:hAnsi="Arial Black"/>
          <w:b/>
          <w:u w:val="single"/>
        </w:rPr>
        <w:t>RRC STAFF OPINION</w:t>
      </w:r>
    </w:p>
    <w:p w:rsidR="00364EBF" w:rsidRDefault="00364EBF" w:rsidP="00364EBF">
      <w:pPr>
        <w:pStyle w:val="Paragraph"/>
        <w:jc w:val="center"/>
        <w:rPr>
          <w:b/>
          <w:u w:val="single"/>
        </w:rPr>
      </w:pPr>
    </w:p>
    <w:p w:rsidR="00364EBF" w:rsidRPr="00364EBF" w:rsidRDefault="00364EBF" w:rsidP="00364EBF">
      <w:pPr>
        <w:pStyle w:val="Paragraph"/>
        <w:jc w:val="center"/>
        <w:rPr>
          <w:b/>
          <w:u w:val="single"/>
        </w:rPr>
      </w:pPr>
    </w:p>
    <w:p w:rsidR="00364EBF" w:rsidRPr="00F10C6D" w:rsidRDefault="00364EBF" w:rsidP="00364EBF">
      <w:pPr>
        <w:pStyle w:val="Paragraph"/>
        <w:rPr>
          <w:rFonts w:ascii="Arial" w:hAnsi="Arial" w:cs="Arial"/>
          <w:i/>
          <w:smallCaps/>
        </w:rPr>
      </w:pPr>
      <w:r w:rsidRPr="00F10C6D">
        <w:rPr>
          <w:rFonts w:ascii="Arial" w:hAnsi="Arial" w:cs="Arial"/>
          <w:i/>
          <w:smallCaps/>
        </w:rPr>
        <w:tab/>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0857C5" w:rsidRDefault="000857C5" w:rsidP="00364EBF">
      <w:pPr>
        <w:rPr>
          <w:rFonts w:ascii="Arial" w:hAnsi="Arial" w:cs="Arial"/>
        </w:rPr>
      </w:pPr>
    </w:p>
    <w:p w:rsidR="00364EBF" w:rsidRDefault="00364EBF" w:rsidP="00364EBF">
      <w:pPr>
        <w:rPr>
          <w:rFonts w:ascii="Arial" w:hAnsi="Arial" w:cs="Arial"/>
        </w:rPr>
      </w:pPr>
      <w:r w:rsidRPr="000857C5">
        <w:rPr>
          <w:rFonts w:ascii="Arial" w:hAnsi="Arial" w:cs="Arial"/>
        </w:rPr>
        <w:t>AGENCY:</w:t>
      </w:r>
      <w:r w:rsidRPr="000857C5">
        <w:rPr>
          <w:rFonts w:ascii="Arial" w:hAnsi="Arial" w:cs="Arial"/>
        </w:rPr>
        <w:tab/>
      </w:r>
      <w:r w:rsidR="001779FE">
        <w:rPr>
          <w:rFonts w:ascii="Arial" w:hAnsi="Arial" w:cs="Arial"/>
        </w:rPr>
        <w:t xml:space="preserve">N.C. </w:t>
      </w:r>
      <w:r w:rsidR="009251AE">
        <w:rPr>
          <w:rFonts w:ascii="Arial" w:hAnsi="Arial" w:cs="Arial"/>
        </w:rPr>
        <w:t>BOARD OF PODIATRY EXAMINERS</w:t>
      </w:r>
    </w:p>
    <w:p w:rsidR="000857C5" w:rsidRPr="000857C5" w:rsidRDefault="000857C5" w:rsidP="00364EBF">
      <w:pPr>
        <w:rPr>
          <w:rFonts w:ascii="Arial" w:hAnsi="Arial" w:cs="Arial"/>
        </w:rPr>
      </w:pPr>
    </w:p>
    <w:p w:rsidR="00364EBF" w:rsidRDefault="00364EBF" w:rsidP="00364EBF">
      <w:pPr>
        <w:rPr>
          <w:rFonts w:ascii="Arial" w:hAnsi="Arial" w:cs="Arial"/>
        </w:rPr>
      </w:pPr>
      <w:r w:rsidRPr="000857C5">
        <w:rPr>
          <w:rFonts w:ascii="Arial" w:hAnsi="Arial" w:cs="Arial"/>
        </w:rPr>
        <w:t xml:space="preserve">RULE CITATION:  </w:t>
      </w:r>
      <w:r w:rsidR="009251AE">
        <w:rPr>
          <w:rFonts w:ascii="Arial" w:hAnsi="Arial" w:cs="Arial"/>
        </w:rPr>
        <w:t>21 NCAC 52 .0206</w:t>
      </w:r>
    </w:p>
    <w:p w:rsidR="000857C5" w:rsidRPr="000857C5" w:rsidRDefault="000857C5" w:rsidP="00364EBF">
      <w:pPr>
        <w:rPr>
          <w:rFonts w:ascii="Arial" w:hAnsi="Arial" w:cs="Arial"/>
        </w:rPr>
      </w:pPr>
    </w:p>
    <w:p w:rsidR="00364EBF" w:rsidRPr="000857C5" w:rsidRDefault="00364EBF" w:rsidP="000857C5">
      <w:pPr>
        <w:spacing w:line="360" w:lineRule="auto"/>
        <w:rPr>
          <w:rFonts w:ascii="Arial" w:hAnsi="Arial" w:cs="Arial"/>
        </w:rPr>
      </w:pPr>
      <w:r w:rsidRPr="000857C5">
        <w:rPr>
          <w:rFonts w:ascii="Arial" w:hAnsi="Arial" w:cs="Arial"/>
        </w:rPr>
        <w:t>RECOMMENDED ACTION:</w:t>
      </w:r>
    </w:p>
    <w:p w:rsidR="00364EBF" w:rsidRPr="000857C5" w:rsidRDefault="00364EBF" w:rsidP="000857C5">
      <w:pPr>
        <w:spacing w:line="360" w:lineRule="auto"/>
        <w:rPr>
          <w:rFonts w:ascii="Arial" w:hAnsi="Arial" w:cs="Arial"/>
        </w:rPr>
      </w:pPr>
      <w:r w:rsidRPr="000857C5">
        <w:rPr>
          <w:rFonts w:ascii="Arial" w:hAnsi="Arial" w:cs="Arial"/>
        </w:rPr>
        <w:tab/>
        <w:t>Approve, but note staff’s comment</w:t>
      </w:r>
    </w:p>
    <w:p w:rsidR="00364EBF" w:rsidRPr="000857C5" w:rsidRDefault="00364EBF" w:rsidP="000857C5">
      <w:pPr>
        <w:spacing w:line="360" w:lineRule="auto"/>
        <w:rPr>
          <w:rFonts w:ascii="Arial" w:hAnsi="Arial" w:cs="Arial"/>
        </w:rPr>
      </w:pPr>
      <w:r w:rsidRPr="000857C5">
        <w:rPr>
          <w:rFonts w:ascii="Arial" w:hAnsi="Arial" w:cs="Arial"/>
        </w:rPr>
        <w:t>X</w:t>
      </w:r>
      <w:r w:rsidRPr="000857C5">
        <w:rPr>
          <w:rFonts w:ascii="Arial" w:hAnsi="Arial" w:cs="Arial"/>
        </w:rPr>
        <w:tab/>
        <w:t>Object, based on:</w:t>
      </w:r>
    </w:p>
    <w:p w:rsidR="00364EBF" w:rsidRPr="000857C5" w:rsidRDefault="00364EBF" w:rsidP="000857C5">
      <w:pPr>
        <w:spacing w:line="360" w:lineRule="auto"/>
        <w:rPr>
          <w:rFonts w:ascii="Arial" w:hAnsi="Arial" w:cs="Arial"/>
        </w:rPr>
      </w:pPr>
      <w:r w:rsidRPr="000857C5">
        <w:rPr>
          <w:rFonts w:ascii="Arial" w:hAnsi="Arial" w:cs="Arial"/>
        </w:rPr>
        <w:tab/>
      </w:r>
      <w:r w:rsidRPr="000857C5">
        <w:rPr>
          <w:rFonts w:ascii="Arial" w:hAnsi="Arial" w:cs="Arial"/>
        </w:rPr>
        <w:tab/>
        <w:t>Lack of statutory authority</w:t>
      </w:r>
    </w:p>
    <w:p w:rsidR="00364EBF" w:rsidRPr="000857C5" w:rsidRDefault="000857C5" w:rsidP="000857C5">
      <w:pPr>
        <w:spacing w:line="360" w:lineRule="auto"/>
        <w:rPr>
          <w:rFonts w:ascii="Arial" w:hAnsi="Arial" w:cs="Arial"/>
        </w:rPr>
      </w:pPr>
      <w:r>
        <w:rPr>
          <w:rFonts w:ascii="Arial" w:hAnsi="Arial" w:cs="Arial"/>
        </w:rPr>
        <w:tab/>
      </w:r>
      <w:r w:rsidR="00364EBF" w:rsidRPr="000857C5">
        <w:rPr>
          <w:rFonts w:ascii="Arial" w:hAnsi="Arial" w:cs="Arial"/>
        </w:rPr>
        <w:tab/>
        <w:t>Unclear or ambiguous</w:t>
      </w:r>
    </w:p>
    <w:p w:rsidR="00364EBF" w:rsidRPr="000857C5" w:rsidRDefault="00364EBF" w:rsidP="000857C5">
      <w:pPr>
        <w:spacing w:line="360" w:lineRule="auto"/>
        <w:rPr>
          <w:rFonts w:ascii="Arial" w:hAnsi="Arial" w:cs="Arial"/>
        </w:rPr>
      </w:pPr>
      <w:r w:rsidRPr="000857C5">
        <w:rPr>
          <w:rFonts w:ascii="Arial" w:hAnsi="Arial" w:cs="Arial"/>
        </w:rPr>
        <w:tab/>
      </w:r>
      <w:r w:rsidR="009251AE">
        <w:rPr>
          <w:rFonts w:ascii="Arial" w:hAnsi="Arial" w:cs="Arial"/>
        </w:rPr>
        <w:t>X</w:t>
      </w:r>
      <w:r w:rsidRPr="000857C5">
        <w:rPr>
          <w:rFonts w:ascii="Arial" w:hAnsi="Arial" w:cs="Arial"/>
        </w:rPr>
        <w:tab/>
        <w:t>Unnecessary</w:t>
      </w:r>
    </w:p>
    <w:p w:rsidR="00364EBF" w:rsidRPr="000857C5" w:rsidRDefault="00364EBF" w:rsidP="000857C5">
      <w:pPr>
        <w:spacing w:line="360" w:lineRule="auto"/>
        <w:rPr>
          <w:rFonts w:ascii="Arial" w:hAnsi="Arial" w:cs="Arial"/>
        </w:rPr>
      </w:pPr>
      <w:r w:rsidRPr="000857C5">
        <w:rPr>
          <w:rFonts w:ascii="Arial" w:hAnsi="Arial" w:cs="Arial"/>
        </w:rPr>
        <w:tab/>
      </w:r>
      <w:r w:rsidRPr="000857C5">
        <w:rPr>
          <w:rFonts w:ascii="Arial" w:hAnsi="Arial" w:cs="Arial"/>
        </w:rPr>
        <w:tab/>
        <w:t>Failure to comply with the APA</w:t>
      </w:r>
    </w:p>
    <w:p w:rsidR="00364EBF" w:rsidRPr="000857C5" w:rsidRDefault="00364EBF" w:rsidP="000857C5">
      <w:pPr>
        <w:spacing w:line="360" w:lineRule="auto"/>
        <w:rPr>
          <w:rFonts w:ascii="Arial" w:hAnsi="Arial" w:cs="Arial"/>
        </w:rPr>
      </w:pPr>
      <w:r w:rsidRPr="000857C5">
        <w:rPr>
          <w:rFonts w:ascii="Arial" w:hAnsi="Arial" w:cs="Arial"/>
        </w:rPr>
        <w:tab/>
        <w:t>Extend the period of review</w:t>
      </w:r>
    </w:p>
    <w:p w:rsidR="00364EBF" w:rsidRPr="000857C5" w:rsidRDefault="00364EBF" w:rsidP="00FD0E06">
      <w:pPr>
        <w:rPr>
          <w:rFonts w:ascii="Arial" w:hAnsi="Arial" w:cs="Arial"/>
          <w:i/>
        </w:rPr>
      </w:pPr>
      <w:r w:rsidRPr="000857C5">
        <w:rPr>
          <w:rFonts w:ascii="Arial" w:hAnsi="Arial" w:cs="Arial"/>
        </w:rPr>
        <w:t>COMMENT:</w:t>
      </w:r>
      <w:r w:rsidRPr="000857C5">
        <w:rPr>
          <w:rFonts w:ascii="Arial" w:hAnsi="Arial" w:cs="Arial"/>
          <w:i/>
        </w:rPr>
        <w:tab/>
      </w:r>
    </w:p>
    <w:p w:rsidR="009251AE" w:rsidRDefault="009251AE" w:rsidP="009251AE">
      <w:pPr>
        <w:pStyle w:val="Title"/>
        <w:spacing w:before="120"/>
        <w:jc w:val="left"/>
        <w:rPr>
          <w:b w:val="0"/>
          <w:i/>
          <w:smallCaps w:val="0"/>
          <w:sz w:val="22"/>
          <w:szCs w:val="22"/>
        </w:rPr>
      </w:pPr>
      <w:r w:rsidRPr="00E301EB">
        <w:rPr>
          <w:b w:val="0"/>
          <w:i/>
          <w:smallCaps w:val="0"/>
          <w:sz w:val="22"/>
          <w:szCs w:val="22"/>
        </w:rPr>
        <w:t>This rule is unnecessary and reflects internal action. G.S. 143b-10(j</w:t>
      </w:r>
      <w:proofErr w:type="gramStart"/>
      <w:r w:rsidRPr="00E301EB">
        <w:rPr>
          <w:b w:val="0"/>
          <w:i/>
          <w:smallCaps w:val="0"/>
          <w:sz w:val="22"/>
          <w:szCs w:val="22"/>
        </w:rPr>
        <w:t>)</w:t>
      </w:r>
      <w:r>
        <w:rPr>
          <w:b w:val="0"/>
          <w:i/>
          <w:smallCaps w:val="0"/>
          <w:sz w:val="22"/>
          <w:szCs w:val="22"/>
        </w:rPr>
        <w:t>(</w:t>
      </w:r>
      <w:proofErr w:type="gramEnd"/>
      <w:r>
        <w:rPr>
          <w:b w:val="0"/>
          <w:i/>
          <w:smallCaps w:val="0"/>
          <w:sz w:val="22"/>
          <w:szCs w:val="22"/>
        </w:rPr>
        <w:t xml:space="preserve">3)specifies that such policies are internal matters and “shall not be adopted or filed“ as rules under G.S. 150B. </w:t>
      </w:r>
      <w:r w:rsidRPr="00E301EB">
        <w:rPr>
          <w:b w:val="0"/>
          <w:i/>
          <w:smallCaps w:val="0"/>
          <w:sz w:val="22"/>
          <w:szCs w:val="22"/>
        </w:rPr>
        <w:t xml:space="preserve"> </w:t>
      </w:r>
      <w:r>
        <w:rPr>
          <w:b w:val="0"/>
          <w:i/>
          <w:smallCaps w:val="0"/>
          <w:sz w:val="22"/>
          <w:szCs w:val="22"/>
        </w:rPr>
        <w:t>This “rule”</w:t>
      </w:r>
      <w:r w:rsidRPr="00E301EB">
        <w:rPr>
          <w:b w:val="0"/>
          <w:i/>
          <w:smallCaps w:val="0"/>
          <w:sz w:val="22"/>
          <w:szCs w:val="22"/>
        </w:rPr>
        <w:t xml:space="preserve"> neither requires the applicant to take any action nor forbids the applicant from taking any action. To the extent that it binds the board or the agency it seems to bind them to act with common sense and take the steps an occupational licensing agency would be expected to take in issuing any license to practice that occupation.</w:t>
      </w:r>
      <w:r>
        <w:rPr>
          <w:b w:val="0"/>
          <w:i/>
          <w:smallCaps w:val="0"/>
          <w:sz w:val="22"/>
          <w:szCs w:val="22"/>
        </w:rPr>
        <w:t xml:space="preserve"> That is unnecessary and does not help the applicant.</w:t>
      </w:r>
    </w:p>
    <w:p w:rsidR="009251AE" w:rsidRDefault="009251AE" w:rsidP="009251AE">
      <w:pPr>
        <w:pStyle w:val="Title"/>
        <w:spacing w:before="120"/>
        <w:jc w:val="left"/>
        <w:rPr>
          <w:rFonts w:ascii="Times New Roman" w:hAnsi="Times New Roman"/>
          <w:sz w:val="22"/>
          <w:szCs w:val="22"/>
        </w:rPr>
      </w:pPr>
    </w:p>
    <w:p w:rsidR="009251AE" w:rsidRPr="00E301EB" w:rsidRDefault="009251AE" w:rsidP="009251AE">
      <w:pPr>
        <w:pStyle w:val="Title"/>
        <w:spacing w:before="120"/>
        <w:jc w:val="left"/>
        <w:rPr>
          <w:rFonts w:ascii="Times New Roman" w:hAnsi="Times New Roman"/>
          <w:sz w:val="22"/>
          <w:szCs w:val="22"/>
        </w:rPr>
      </w:pPr>
      <w:proofErr w:type="gramStart"/>
      <w:r w:rsidRPr="00E301EB">
        <w:rPr>
          <w:rFonts w:ascii="Times New Roman" w:hAnsi="Times New Roman"/>
          <w:sz w:val="22"/>
          <w:szCs w:val="22"/>
        </w:rPr>
        <w:t>§ 143B</w:t>
      </w:r>
      <w:r w:rsidRPr="00E301EB">
        <w:rPr>
          <w:rFonts w:ascii="Times New Roman" w:hAnsi="Times New Roman"/>
          <w:sz w:val="22"/>
          <w:szCs w:val="22"/>
        </w:rPr>
        <w:noBreakHyphen/>
        <w:t>10.</w:t>
      </w:r>
      <w:proofErr w:type="gramEnd"/>
      <w:r w:rsidRPr="00E301EB">
        <w:rPr>
          <w:rFonts w:ascii="Times New Roman" w:hAnsi="Times New Roman"/>
          <w:sz w:val="22"/>
          <w:szCs w:val="22"/>
        </w:rPr>
        <w:t xml:space="preserve">  </w:t>
      </w:r>
      <w:proofErr w:type="gramStart"/>
      <w:r w:rsidRPr="00E301EB">
        <w:rPr>
          <w:rFonts w:ascii="Times New Roman" w:hAnsi="Times New Roman"/>
          <w:sz w:val="22"/>
          <w:szCs w:val="22"/>
        </w:rPr>
        <w:t>Powers and duties of heads of principal departments.</w:t>
      </w:r>
      <w:proofErr w:type="gramEnd"/>
    </w:p>
    <w:p w:rsidR="009251AE" w:rsidRPr="00E301EB" w:rsidRDefault="009251AE" w:rsidP="009251AE">
      <w:pPr>
        <w:pStyle w:val="aMargin1"/>
        <w:rPr>
          <w:sz w:val="22"/>
          <w:szCs w:val="22"/>
        </w:rPr>
      </w:pPr>
      <w:r w:rsidRPr="00E301EB">
        <w:rPr>
          <w:sz w:val="22"/>
          <w:szCs w:val="22"/>
        </w:rPr>
        <w:t>(a) …</w:t>
      </w:r>
    </w:p>
    <w:p w:rsidR="009251AE" w:rsidRPr="00E301EB" w:rsidRDefault="009251AE" w:rsidP="009251AE">
      <w:pPr>
        <w:pStyle w:val="aMargin1"/>
        <w:rPr>
          <w:sz w:val="22"/>
          <w:szCs w:val="22"/>
        </w:rPr>
      </w:pPr>
      <w:r w:rsidRPr="00E301EB">
        <w:rPr>
          <w:sz w:val="22"/>
          <w:szCs w:val="22"/>
        </w:rPr>
        <w:t>(j)         Departmental Rules and Policies. – The head of each principal State department and the Director of the Office of State Personnel may adopt:</w:t>
      </w:r>
    </w:p>
    <w:p w:rsidR="009251AE" w:rsidRPr="00E301EB" w:rsidRDefault="009251AE" w:rsidP="009251AE">
      <w:pPr>
        <w:pStyle w:val="aBlock1"/>
        <w:rPr>
          <w:sz w:val="22"/>
          <w:szCs w:val="22"/>
        </w:rPr>
      </w:pPr>
      <w:r w:rsidRPr="00E301EB">
        <w:rPr>
          <w:sz w:val="22"/>
          <w:szCs w:val="22"/>
        </w:rPr>
        <w:t>(1)        Rules consistent with law for the custody, use, and preservation of any public records, as defined in G.S. 132</w:t>
      </w:r>
      <w:r w:rsidRPr="00E301EB">
        <w:rPr>
          <w:sz w:val="22"/>
          <w:szCs w:val="22"/>
        </w:rPr>
        <w:noBreakHyphen/>
        <w:t>1, which pertain to department business;</w:t>
      </w:r>
    </w:p>
    <w:p w:rsidR="009251AE" w:rsidRPr="00E301EB" w:rsidRDefault="009251AE" w:rsidP="009251AE">
      <w:pPr>
        <w:pStyle w:val="aBlock1"/>
        <w:rPr>
          <w:sz w:val="22"/>
          <w:szCs w:val="22"/>
        </w:rPr>
      </w:pPr>
      <w:r w:rsidRPr="00E301EB">
        <w:rPr>
          <w:sz w:val="22"/>
          <w:szCs w:val="22"/>
        </w:rPr>
        <w:t>(2)        Rules, approved by the Governor, to govern the management of the department, which shall include the functions of planning, organizing, staffing, directing, coordinating, reporting, budgeting, and budget preparation which affect private rights or procedures available to the public;</w:t>
      </w:r>
    </w:p>
    <w:p w:rsidR="009251AE" w:rsidRPr="00E301EB" w:rsidRDefault="009251AE" w:rsidP="009251AE">
      <w:pPr>
        <w:pStyle w:val="aBlock1"/>
        <w:rPr>
          <w:sz w:val="22"/>
          <w:szCs w:val="22"/>
        </w:rPr>
      </w:pPr>
      <w:r w:rsidRPr="00E301EB">
        <w:rPr>
          <w:sz w:val="22"/>
          <w:szCs w:val="22"/>
        </w:rPr>
        <w:t xml:space="preserve">(3)        </w:t>
      </w:r>
      <w:r w:rsidRPr="00E301EB">
        <w:rPr>
          <w:sz w:val="22"/>
          <w:szCs w:val="22"/>
          <w:highlight w:val="yellow"/>
        </w:rPr>
        <w:t>Policies, consistent with law and with rules established by the Governor and with rules of the State Personnel Commission, which reflect internal management procedures within the department.</w:t>
      </w:r>
      <w:r w:rsidRPr="00E301EB">
        <w:rPr>
          <w:sz w:val="22"/>
          <w:szCs w:val="22"/>
        </w:rPr>
        <w:t xml:space="preserve"> These may include policies governing the conduct of employees of the department, the distribution and performance of business and internal management procedures which do not affect private rights or procedures available to the public and which are listed in (e) of this section. </w:t>
      </w:r>
      <w:r w:rsidRPr="00E301EB">
        <w:rPr>
          <w:sz w:val="22"/>
          <w:szCs w:val="22"/>
          <w:highlight w:val="yellow"/>
        </w:rPr>
        <w:t>Policies establishing qualifications for employment shall be adopted and filed pursuant to Chapter 150B of the General Statutes; all other policies under this subdivision shall not be adopted or filed pursuant to Chapter 150B of the General Statutes</w:t>
      </w:r>
      <w:proofErr w:type="gramStart"/>
      <w:r w:rsidRPr="00E301EB">
        <w:rPr>
          <w:i/>
          <w:sz w:val="22"/>
          <w:szCs w:val="22"/>
          <w:highlight w:val="yellow"/>
        </w:rPr>
        <w:t>.</w:t>
      </w:r>
      <w:r w:rsidRPr="00E301EB">
        <w:rPr>
          <w:i/>
          <w:sz w:val="22"/>
          <w:szCs w:val="22"/>
        </w:rPr>
        <w:t>(</w:t>
      </w:r>
      <w:proofErr w:type="gramEnd"/>
      <w:r w:rsidRPr="00E301EB">
        <w:rPr>
          <w:i/>
          <w:sz w:val="22"/>
          <w:szCs w:val="22"/>
        </w:rPr>
        <w:t>Emphasis Added)</w:t>
      </w:r>
    </w:p>
    <w:p w:rsidR="00A7522C" w:rsidRDefault="009251AE" w:rsidP="00A7522C">
      <w:pPr>
        <w:pStyle w:val="aMargin1"/>
        <w:rPr>
          <w:sz w:val="22"/>
          <w:szCs w:val="22"/>
        </w:rPr>
      </w:pPr>
      <w:r w:rsidRPr="00E301EB">
        <w:rPr>
          <w:sz w:val="22"/>
          <w:szCs w:val="22"/>
        </w:rPr>
        <w:t>Rules adopted under (1) and (2) of this subsection shall be subject to the provisions of Chapter 150B of the General Statutes.</w:t>
      </w:r>
      <w:r w:rsidR="00A7522C">
        <w:rPr>
          <w:sz w:val="22"/>
          <w:szCs w:val="22"/>
        </w:rPr>
        <w:t xml:space="preserve"> </w:t>
      </w:r>
    </w:p>
    <w:p w:rsidR="00364EBF" w:rsidRPr="000857C5" w:rsidRDefault="009251AE" w:rsidP="00A7522C">
      <w:pPr>
        <w:pStyle w:val="aMargin1"/>
        <w:rPr>
          <w:rFonts w:ascii="Arial" w:hAnsi="Arial" w:cs="Arial"/>
          <w:i/>
        </w:rPr>
      </w:pPr>
      <w:r w:rsidRPr="00E301EB">
        <w:rPr>
          <w:sz w:val="22"/>
          <w:szCs w:val="22"/>
        </w:rPr>
        <w:t xml:space="preserve">This subsection shall not be construed as a legislative grant of authority to an agency to make and promulgate rules concerning any policies and procedures other than as set forth herein. </w:t>
      </w:r>
      <w:r w:rsidRPr="00E301EB">
        <w:rPr>
          <w:rStyle w:val="cHistoryNote"/>
          <w:sz w:val="22"/>
          <w:szCs w:val="22"/>
        </w:rPr>
        <w:t>(1973, c. 476, s. 10; c. 1416, ss. 1, 2; 1977, 2nd Sess., c. 1219, s. 46; 1983, c. 76, ss. 1, 2; c. 641, s. 8; c. 717, s. 78; 1985 (Reg. Sess., 1986), c. 955, ss. 97, 98; 1987, c. 738, s. 147; c. 827, s. 1; 1991 (Reg. Sess., 1992), c. 1038, s. 15; 2006</w:t>
      </w:r>
      <w:r w:rsidRPr="00E301EB">
        <w:rPr>
          <w:rStyle w:val="cHistoryNote"/>
          <w:sz w:val="22"/>
          <w:szCs w:val="22"/>
        </w:rPr>
        <w:noBreakHyphen/>
        <w:t>203, s. 101.)</w:t>
      </w:r>
    </w:p>
    <w:p w:rsidR="00C347A6" w:rsidRPr="000857C5" w:rsidRDefault="00C347A6" w:rsidP="00FD0E06">
      <w:pPr>
        <w:pStyle w:val="Base"/>
        <w:spacing w:after="120"/>
        <w:rPr>
          <w:rFonts w:ascii="Arial" w:hAnsi="Arial" w:cs="Arial"/>
          <w:i/>
        </w:rPr>
      </w:pPr>
    </w:p>
    <w:p w:rsidR="00B00E5D" w:rsidRPr="000857C5" w:rsidRDefault="00B00E5D" w:rsidP="00FD0E06">
      <w:pPr>
        <w:pStyle w:val="Base"/>
        <w:spacing w:after="120"/>
        <w:rPr>
          <w:rFonts w:ascii="Arial" w:hAnsi="Arial" w:cs="Arial"/>
          <w:i/>
        </w:rPr>
      </w:pPr>
    </w:p>
    <w:p w:rsidR="009251AE" w:rsidRDefault="009251AE" w:rsidP="009251AE">
      <w:pPr>
        <w:pStyle w:val="Paragraph"/>
        <w:jc w:val="center"/>
        <w:rPr>
          <w:rFonts w:ascii="Arial" w:hAnsi="Arial" w:cs="Arial"/>
          <w:i/>
        </w:rPr>
      </w:pPr>
    </w:p>
    <w:sectPr w:rsidR="009251AE" w:rsidSect="004432D8">
      <w:headerReference w:type="default" r:id="rId9"/>
      <w:footerReference w:type="even" r:id="rId10"/>
      <w:footerReference w:type="default" r:id="rId11"/>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59B" w:rsidRDefault="0045759B">
      <w:r>
        <w:separator/>
      </w:r>
    </w:p>
  </w:endnote>
  <w:endnote w:type="continuationSeparator" w:id="0">
    <w:p w:rsidR="0045759B" w:rsidRDefault="00457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6D" w:rsidRDefault="00F10C6D">
    <w:pPr>
      <w:pStyle w:val="Footer"/>
      <w:framePr w:wrap="around" w:vAnchor="text" w:hAnchor="margin" w:xAlign="center" w:y="1"/>
    </w:pPr>
    <w:fldSimple w:instr="PAGE  ">
      <w:r>
        <w:rPr>
          <w:noProof/>
        </w:rPr>
        <w:t>4</w:t>
      </w:r>
    </w:fldSimple>
  </w:p>
  <w:p w:rsidR="00F10C6D" w:rsidRDefault="00F10C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E9" w:rsidRPr="004432D8" w:rsidRDefault="00B171E9" w:rsidP="00B171E9">
    <w:pPr>
      <w:pStyle w:val="Footer"/>
      <w:pBdr>
        <w:top w:val="thinThickSmallGap" w:sz="24" w:space="1" w:color="622423"/>
      </w:pBdr>
      <w:tabs>
        <w:tab w:val="clear" w:pos="4320"/>
        <w:tab w:val="clear" w:pos="8640"/>
        <w:tab w:val="right" w:pos="9360"/>
      </w:tabs>
      <w:rPr>
        <w:rFonts w:ascii="Arial" w:hAnsi="Arial" w:cs="Arial"/>
      </w:rPr>
    </w:pPr>
    <w:r w:rsidRPr="004432D8">
      <w:rPr>
        <w:rFonts w:ascii="Arial" w:hAnsi="Arial" w:cs="Arial"/>
      </w:rPr>
      <w:t>Jose</w:t>
    </w:r>
    <w:r w:rsidR="004432D8">
      <w:rPr>
        <w:rFonts w:ascii="Arial" w:hAnsi="Arial" w:cs="Arial"/>
      </w:rPr>
      <w:t xml:space="preserve">ph J DeLuca, Commission Counsel                         </w:t>
    </w:r>
    <w:r w:rsidRPr="004432D8">
      <w:rPr>
        <w:rFonts w:ascii="Arial" w:hAnsi="Arial" w:cs="Arial"/>
      </w:rPr>
      <w:t xml:space="preserve"> </w:t>
    </w:r>
    <w:r w:rsidRPr="004432D8">
      <w:rPr>
        <w:rFonts w:ascii="Arial" w:hAnsi="Arial" w:cs="Arial"/>
      </w:rPr>
      <w:fldChar w:fldCharType="begin"/>
    </w:r>
    <w:r w:rsidRPr="004432D8">
      <w:rPr>
        <w:rFonts w:ascii="Arial" w:hAnsi="Arial" w:cs="Arial"/>
      </w:rPr>
      <w:instrText xml:space="preserve"> PAGE   \* MERGEFORMAT </w:instrText>
    </w:r>
    <w:r w:rsidRPr="004432D8">
      <w:rPr>
        <w:rFonts w:ascii="Arial" w:hAnsi="Arial" w:cs="Arial"/>
      </w:rPr>
      <w:fldChar w:fldCharType="separate"/>
    </w:r>
    <w:r w:rsidR="00734BE8">
      <w:rPr>
        <w:rFonts w:ascii="Arial" w:hAnsi="Arial" w:cs="Arial"/>
        <w:noProof/>
      </w:rPr>
      <w:t>1</w:t>
    </w:r>
    <w:r w:rsidRPr="004432D8">
      <w:rPr>
        <w:rFonts w:ascii="Arial" w:hAnsi="Arial" w:cs="Arial"/>
      </w:rPr>
      <w:fldChar w:fldCharType="end"/>
    </w:r>
  </w:p>
  <w:p w:rsidR="00B171E9" w:rsidRDefault="00B17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59B" w:rsidRDefault="0045759B">
      <w:r>
        <w:separator/>
      </w:r>
    </w:p>
  </w:footnote>
  <w:footnote w:type="continuationSeparator" w:id="0">
    <w:p w:rsidR="0045759B" w:rsidRDefault="00457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E9" w:rsidRDefault="00B171E9">
    <w:pPr>
      <w:pStyle w:val="Header"/>
    </w:pPr>
  </w:p>
  <w:p w:rsidR="00B171E9" w:rsidRDefault="00B171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mirrorMargin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857C5"/>
    <w:rsid w:val="000C54B0"/>
    <w:rsid w:val="000E477C"/>
    <w:rsid w:val="000F36EF"/>
    <w:rsid w:val="00113B64"/>
    <w:rsid w:val="00135714"/>
    <w:rsid w:val="00160EDD"/>
    <w:rsid w:val="001779FE"/>
    <w:rsid w:val="00187D7E"/>
    <w:rsid w:val="001A0A1C"/>
    <w:rsid w:val="001A0CD7"/>
    <w:rsid w:val="003475BD"/>
    <w:rsid w:val="00364EBF"/>
    <w:rsid w:val="003775A6"/>
    <w:rsid w:val="004432D8"/>
    <w:rsid w:val="0045759B"/>
    <w:rsid w:val="004819A8"/>
    <w:rsid w:val="005A23B9"/>
    <w:rsid w:val="005B3454"/>
    <w:rsid w:val="00641EED"/>
    <w:rsid w:val="006C6780"/>
    <w:rsid w:val="00734BE8"/>
    <w:rsid w:val="00865853"/>
    <w:rsid w:val="00907F07"/>
    <w:rsid w:val="009251AE"/>
    <w:rsid w:val="00A7522C"/>
    <w:rsid w:val="00AD244F"/>
    <w:rsid w:val="00B00E5D"/>
    <w:rsid w:val="00B171E9"/>
    <w:rsid w:val="00B36DCC"/>
    <w:rsid w:val="00B6351E"/>
    <w:rsid w:val="00B766B2"/>
    <w:rsid w:val="00B963E8"/>
    <w:rsid w:val="00C347A6"/>
    <w:rsid w:val="00C443E5"/>
    <w:rsid w:val="00CD7B2E"/>
    <w:rsid w:val="00D605F6"/>
    <w:rsid w:val="00D658BF"/>
    <w:rsid w:val="00DE29E2"/>
    <w:rsid w:val="00DF2BBF"/>
    <w:rsid w:val="00F10BF4"/>
    <w:rsid w:val="00F10C6D"/>
    <w:rsid w:val="00F20CB6"/>
    <w:rsid w:val="00FD0E06"/>
    <w:rsid w:val="00FF7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Header">
    <w:name w:val="header"/>
    <w:basedOn w:val="Normal"/>
    <w:link w:val="HeaderChar"/>
    <w:uiPriority w:val="99"/>
    <w:rsid w:val="00B171E9"/>
    <w:pPr>
      <w:tabs>
        <w:tab w:val="center" w:pos="4680"/>
        <w:tab w:val="right" w:pos="9360"/>
      </w:tabs>
    </w:pPr>
  </w:style>
  <w:style w:type="character" w:customStyle="1" w:styleId="HeaderChar">
    <w:name w:val="Header Char"/>
    <w:basedOn w:val="DefaultParagraphFont"/>
    <w:link w:val="Header"/>
    <w:uiPriority w:val="99"/>
    <w:rsid w:val="00B171E9"/>
    <w:rPr>
      <w:kern w:val="2"/>
    </w:rPr>
  </w:style>
  <w:style w:type="character" w:customStyle="1" w:styleId="FooterChar">
    <w:name w:val="Footer Char"/>
    <w:basedOn w:val="DefaultParagraphFont"/>
    <w:link w:val="Footer"/>
    <w:uiPriority w:val="99"/>
    <w:rsid w:val="00B171E9"/>
    <w:rPr>
      <w:kern w:val="2"/>
    </w:rPr>
  </w:style>
  <w:style w:type="paragraph" w:styleId="BalloonText">
    <w:name w:val="Balloon Text"/>
    <w:basedOn w:val="Normal"/>
    <w:link w:val="BalloonTextChar"/>
    <w:rsid w:val="004432D8"/>
    <w:rPr>
      <w:rFonts w:ascii="Tahoma" w:hAnsi="Tahoma" w:cs="Tahoma"/>
      <w:sz w:val="16"/>
      <w:szCs w:val="16"/>
    </w:rPr>
  </w:style>
  <w:style w:type="character" w:customStyle="1" w:styleId="BalloonTextChar">
    <w:name w:val="Balloon Text Char"/>
    <w:basedOn w:val="DefaultParagraphFont"/>
    <w:link w:val="BalloonText"/>
    <w:rsid w:val="004432D8"/>
    <w:rPr>
      <w:rFonts w:ascii="Tahoma" w:hAnsi="Tahoma" w:cs="Tahoma"/>
      <w:kern w:val="2"/>
      <w:sz w:val="16"/>
      <w:szCs w:val="16"/>
    </w:rPr>
  </w:style>
  <w:style w:type="paragraph" w:styleId="Title">
    <w:name w:val="Title"/>
    <w:basedOn w:val="Normal"/>
    <w:link w:val="TitleChar"/>
    <w:qFormat/>
    <w:rsid w:val="009251AE"/>
    <w:pPr>
      <w:jc w:val="center"/>
    </w:pPr>
    <w:rPr>
      <w:rFonts w:ascii="Arial" w:hAnsi="Arial"/>
      <w:b/>
      <w:smallCaps/>
      <w:kern w:val="0"/>
      <w:sz w:val="24"/>
    </w:rPr>
  </w:style>
  <w:style w:type="character" w:customStyle="1" w:styleId="TitleChar">
    <w:name w:val="Title Char"/>
    <w:basedOn w:val="DefaultParagraphFont"/>
    <w:link w:val="Title"/>
    <w:rsid w:val="009251AE"/>
    <w:rPr>
      <w:rFonts w:ascii="Arial" w:hAnsi="Arial"/>
      <w:b/>
      <w:smallCaps/>
      <w:sz w:val="24"/>
    </w:rPr>
  </w:style>
  <w:style w:type="paragraph" w:customStyle="1" w:styleId="aBlock1">
    <w:name w:val="aBlock1"/>
    <w:basedOn w:val="Normal"/>
    <w:rsid w:val="009251AE"/>
    <w:pPr>
      <w:ind w:left="1800" w:hanging="720"/>
    </w:pPr>
    <w:rPr>
      <w:kern w:val="0"/>
      <w:sz w:val="26"/>
      <w:szCs w:val="26"/>
    </w:rPr>
  </w:style>
  <w:style w:type="paragraph" w:customStyle="1" w:styleId="aMargin1">
    <w:name w:val="aMargin1"/>
    <w:basedOn w:val="Normal"/>
    <w:rsid w:val="009251AE"/>
    <w:pPr>
      <w:ind w:firstLine="360"/>
    </w:pPr>
    <w:rPr>
      <w:kern w:val="0"/>
      <w:sz w:val="26"/>
      <w:szCs w:val="26"/>
    </w:rPr>
  </w:style>
  <w:style w:type="character" w:customStyle="1" w:styleId="cHistoryNote">
    <w:name w:val="cHistoryNote"/>
    <w:basedOn w:val="DefaultParagraphFont"/>
    <w:rsid w:val="009251AE"/>
    <w:rPr>
      <w:rFonts w:ascii="Times New (W1)" w:hAnsi="Times New (W1)" w:hint="default"/>
    </w:rPr>
  </w:style>
</w:styles>
</file>

<file path=word/webSettings.xml><?xml version="1.0" encoding="utf-8"?>
<w:webSettings xmlns:r="http://schemas.openxmlformats.org/officeDocument/2006/relationships" xmlns:w="http://schemas.openxmlformats.org/wordprocessingml/2006/main">
  <w:divs>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178095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9973-38D6-4CD0-B5A4-188FCD69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2011-04-26T20:45:00Z</cp:lastPrinted>
  <dcterms:created xsi:type="dcterms:W3CDTF">2011-04-28T19:33:00Z</dcterms:created>
  <dcterms:modified xsi:type="dcterms:W3CDTF">2011-04-28T19:33:00Z</dcterms:modified>
</cp:coreProperties>
</file>