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D0C" w:rsidRPr="00DE0DBD" w:rsidRDefault="00FA3EA7" w:rsidP="00EB03BF">
      <w:pPr>
        <w:pStyle w:val="Title"/>
        <w:tabs>
          <w:tab w:val="left" w:pos="1080"/>
        </w:tabs>
        <w:spacing w:line="480" w:lineRule="auto"/>
        <w:outlineLvl w:val="0"/>
        <w:rPr>
          <w:rFonts w:ascii="Arial Black" w:hAnsi="Arial Black"/>
          <w:b w:val="0"/>
          <w:smallCaps w:val="0"/>
          <w:sz w:val="20"/>
          <w:u w:val="single"/>
        </w:rPr>
      </w:pPr>
      <w:r w:rsidRPr="00DE0DBD">
        <w:rPr>
          <w:rFonts w:ascii="Arial Black" w:hAnsi="Arial Black"/>
          <w:b w:val="0"/>
          <w:smallCaps w:val="0"/>
          <w:sz w:val="20"/>
          <w:u w:val="single"/>
        </w:rPr>
        <w:t>RRC STAFF OPINION</w:t>
      </w:r>
    </w:p>
    <w:p w:rsidR="00905D0C" w:rsidRPr="00DE0DBD" w:rsidRDefault="00905D0C" w:rsidP="00EB03BF">
      <w:pPr>
        <w:tabs>
          <w:tab w:val="left" w:pos="1080"/>
        </w:tabs>
        <w:spacing w:after="240" w:line="360" w:lineRule="auto"/>
        <w:jc w:val="both"/>
        <w:rPr>
          <w:rFonts w:ascii="Arial" w:hAnsi="Arial"/>
          <w:i/>
          <w:smallCaps/>
        </w:rPr>
      </w:pPr>
      <w:r w:rsidRPr="00DE0DBD">
        <w:rPr>
          <w:rFonts w:ascii="Arial" w:hAnsi="Arial"/>
          <w:b/>
          <w:smallCaps/>
        </w:rPr>
        <w:tab/>
      </w:r>
      <w:r w:rsidRPr="00DE0DBD">
        <w:rPr>
          <w:rFonts w:ascii="Arial" w:hAnsi="Arial"/>
          <w:i/>
          <w:smallCaps/>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B744CF" w:rsidRPr="00DE0DBD" w:rsidRDefault="00905D0C" w:rsidP="00EB03BF">
      <w:pPr>
        <w:pStyle w:val="Agencynames"/>
        <w:tabs>
          <w:tab w:val="left" w:pos="1080"/>
          <w:tab w:val="left" w:pos="1260"/>
        </w:tabs>
        <w:spacing w:before="0" w:after="0" w:line="360" w:lineRule="auto"/>
        <w:outlineLvl w:val="0"/>
        <w:rPr>
          <w:rFonts w:ascii="Arial" w:hAnsi="Arial"/>
          <w:b w:val="0"/>
          <w:smallCaps/>
          <w:sz w:val="20"/>
        </w:rPr>
      </w:pPr>
      <w:r w:rsidRPr="00DE0DBD">
        <w:rPr>
          <w:rFonts w:ascii="Arial" w:hAnsi="Arial"/>
          <w:b w:val="0"/>
          <w:smallCaps/>
          <w:sz w:val="20"/>
        </w:rPr>
        <w:t>AGENCY:</w:t>
      </w:r>
      <w:r w:rsidRPr="00DE0DBD">
        <w:rPr>
          <w:rFonts w:ascii="Arial" w:hAnsi="Arial"/>
          <w:b w:val="0"/>
          <w:smallCaps/>
          <w:sz w:val="20"/>
        </w:rPr>
        <w:tab/>
      </w:r>
      <w:r w:rsidR="0050538A" w:rsidRPr="00DE0DBD">
        <w:rPr>
          <w:rFonts w:ascii="Arial" w:hAnsi="Arial"/>
          <w:b w:val="0"/>
          <w:smallCaps/>
          <w:sz w:val="20"/>
        </w:rPr>
        <w:t>ENVIRONMENTAL MANAGEMENT COMMISSION</w:t>
      </w:r>
    </w:p>
    <w:p w:rsidR="00905D0C" w:rsidRPr="00DE0DBD" w:rsidRDefault="00905D0C" w:rsidP="00EB03BF">
      <w:pPr>
        <w:pStyle w:val="Agencynames"/>
        <w:tabs>
          <w:tab w:val="left" w:pos="1080"/>
          <w:tab w:val="left" w:pos="1260"/>
        </w:tabs>
        <w:spacing w:before="0" w:after="0" w:line="360" w:lineRule="auto"/>
        <w:outlineLvl w:val="0"/>
        <w:rPr>
          <w:rFonts w:ascii="Arial" w:hAnsi="Arial"/>
          <w:b w:val="0"/>
          <w:sz w:val="20"/>
        </w:rPr>
      </w:pPr>
      <w:r w:rsidRPr="00DE0DBD">
        <w:rPr>
          <w:rFonts w:ascii="Arial" w:hAnsi="Arial"/>
          <w:b w:val="0"/>
          <w:sz w:val="20"/>
        </w:rPr>
        <w:t>RULE CITATION:</w:t>
      </w:r>
      <w:r w:rsidRPr="00DE0DBD">
        <w:rPr>
          <w:rFonts w:ascii="Arial" w:hAnsi="Arial"/>
          <w:b w:val="0"/>
          <w:sz w:val="20"/>
        </w:rPr>
        <w:tab/>
      </w:r>
      <w:r w:rsidR="00DA511B">
        <w:rPr>
          <w:rFonts w:ascii="Arial" w:hAnsi="Arial"/>
          <w:b w:val="0"/>
          <w:sz w:val="20"/>
        </w:rPr>
        <w:t xml:space="preserve">15A NCAC </w:t>
      </w:r>
      <w:r w:rsidR="0050538A" w:rsidRPr="00DE0DBD">
        <w:rPr>
          <w:rFonts w:ascii="Arial" w:hAnsi="Arial"/>
          <w:b w:val="0"/>
          <w:sz w:val="20"/>
        </w:rPr>
        <w:t>0</w:t>
      </w:r>
      <w:r w:rsidR="00CA21C9" w:rsidRPr="00DE0DBD">
        <w:rPr>
          <w:rFonts w:ascii="Arial" w:hAnsi="Arial"/>
          <w:b w:val="0"/>
          <w:sz w:val="20"/>
        </w:rPr>
        <w:t>2B .0295(g)</w:t>
      </w:r>
    </w:p>
    <w:p w:rsidR="00905D0C" w:rsidRPr="00DE0DBD" w:rsidRDefault="00905D0C" w:rsidP="00EB03BF">
      <w:pPr>
        <w:pStyle w:val="Agencynames"/>
        <w:tabs>
          <w:tab w:val="left" w:pos="1080"/>
        </w:tabs>
        <w:spacing w:before="0" w:after="0" w:line="360" w:lineRule="auto"/>
        <w:outlineLvl w:val="0"/>
        <w:rPr>
          <w:rFonts w:ascii="Arial" w:hAnsi="Arial"/>
          <w:b w:val="0"/>
          <w:smallCaps/>
          <w:sz w:val="20"/>
        </w:rPr>
      </w:pPr>
      <w:r w:rsidRPr="00DE0DBD">
        <w:rPr>
          <w:rFonts w:ascii="Arial" w:hAnsi="Arial"/>
          <w:b w:val="0"/>
          <w:smallCaps/>
          <w:sz w:val="20"/>
        </w:rPr>
        <w:t>RECOMMENDED ACTION:</w:t>
      </w:r>
      <w:r w:rsidRPr="00DE0DBD">
        <w:rPr>
          <w:rFonts w:ascii="Arial" w:hAnsi="Arial"/>
          <w:b w:val="0"/>
          <w:smallCaps/>
          <w:sz w:val="20"/>
        </w:rPr>
        <w:tab/>
      </w:r>
    </w:p>
    <w:p w:rsidR="00905D0C" w:rsidRPr="00DE0DBD" w:rsidRDefault="00905D0C" w:rsidP="00EB03BF">
      <w:pPr>
        <w:pStyle w:val="Agencynames"/>
        <w:tabs>
          <w:tab w:val="left" w:pos="1080"/>
        </w:tabs>
        <w:spacing w:before="0" w:after="0" w:line="360" w:lineRule="auto"/>
        <w:rPr>
          <w:rFonts w:ascii="Arial" w:hAnsi="Arial"/>
          <w:b w:val="0"/>
          <w:smallCaps/>
          <w:sz w:val="20"/>
        </w:rPr>
      </w:pPr>
      <w:r w:rsidRPr="00DE0DBD">
        <w:rPr>
          <w:rFonts w:ascii="Arial" w:hAnsi="Arial"/>
          <w:b w:val="0"/>
          <w:smallCaps/>
          <w:sz w:val="20"/>
        </w:rPr>
        <w:tab/>
      </w:r>
      <w:r w:rsidRPr="00DE0DBD">
        <w:rPr>
          <w:rFonts w:ascii="Arial" w:hAnsi="Arial"/>
          <w:b w:val="0"/>
          <w:sz w:val="20"/>
        </w:rPr>
        <w:t>Return the rule to the agency for failure to comply with the Administrative Procedure Act</w:t>
      </w:r>
    </w:p>
    <w:p w:rsidR="00905D0C" w:rsidRPr="00DE0DBD" w:rsidRDefault="00905D0C" w:rsidP="00EB03BF">
      <w:pPr>
        <w:pStyle w:val="Agencynames"/>
        <w:tabs>
          <w:tab w:val="left" w:pos="1080"/>
        </w:tabs>
        <w:spacing w:before="0" w:after="0" w:line="360" w:lineRule="auto"/>
        <w:outlineLvl w:val="0"/>
        <w:rPr>
          <w:rFonts w:ascii="Arial" w:hAnsi="Arial"/>
          <w:b w:val="0"/>
          <w:sz w:val="20"/>
        </w:rPr>
      </w:pPr>
      <w:r w:rsidRPr="00DE0DBD">
        <w:rPr>
          <w:rFonts w:ascii="Arial" w:hAnsi="Arial"/>
          <w:b w:val="0"/>
          <w:smallCaps/>
          <w:sz w:val="20"/>
        </w:rPr>
        <w:tab/>
      </w:r>
      <w:r w:rsidRPr="00DE0DBD">
        <w:rPr>
          <w:rFonts w:ascii="Arial" w:hAnsi="Arial"/>
          <w:b w:val="0"/>
          <w:smallCaps/>
          <w:sz w:val="20"/>
        </w:rPr>
        <w:tab/>
      </w:r>
      <w:r w:rsidRPr="00DE0DBD">
        <w:rPr>
          <w:rFonts w:ascii="Arial" w:hAnsi="Arial"/>
          <w:b w:val="0"/>
          <w:sz w:val="20"/>
        </w:rPr>
        <w:t>Approve, but note staff’s comment</w:t>
      </w:r>
    </w:p>
    <w:p w:rsidR="00905D0C" w:rsidRPr="00DE0DBD" w:rsidRDefault="00905D0C" w:rsidP="00EB03BF">
      <w:pPr>
        <w:pStyle w:val="Agencynames"/>
        <w:tabs>
          <w:tab w:val="left" w:pos="1080"/>
        </w:tabs>
        <w:spacing w:before="0" w:after="0" w:line="360" w:lineRule="auto"/>
        <w:ind w:firstLine="720"/>
        <w:rPr>
          <w:rFonts w:ascii="Arial" w:hAnsi="Arial"/>
          <w:b w:val="0"/>
          <w:sz w:val="20"/>
        </w:rPr>
      </w:pPr>
      <w:r w:rsidRPr="00DE0DBD">
        <w:rPr>
          <w:rFonts w:ascii="Arial" w:hAnsi="Arial"/>
          <w:b w:val="0"/>
          <w:smallCaps/>
          <w:sz w:val="20"/>
        </w:rPr>
        <w:t>X</w:t>
      </w:r>
      <w:r w:rsidRPr="00DE0DBD">
        <w:rPr>
          <w:rFonts w:ascii="Arial" w:hAnsi="Arial"/>
          <w:b w:val="0"/>
          <w:smallCaps/>
          <w:sz w:val="20"/>
        </w:rPr>
        <w:tab/>
      </w:r>
      <w:r w:rsidRPr="00DE0DBD">
        <w:rPr>
          <w:rFonts w:ascii="Arial" w:hAnsi="Arial"/>
          <w:b w:val="0"/>
          <w:sz w:val="20"/>
        </w:rPr>
        <w:t>Object, based on:</w:t>
      </w:r>
    </w:p>
    <w:p w:rsidR="00905D0C" w:rsidRPr="00DE0DBD" w:rsidRDefault="00905D0C" w:rsidP="00EB03BF">
      <w:pPr>
        <w:pStyle w:val="Agencynames"/>
        <w:tabs>
          <w:tab w:val="left" w:pos="1080"/>
        </w:tabs>
        <w:spacing w:before="0" w:after="0" w:line="360" w:lineRule="auto"/>
        <w:ind w:firstLine="720"/>
        <w:rPr>
          <w:rFonts w:ascii="Arial" w:hAnsi="Arial"/>
          <w:b w:val="0"/>
          <w:sz w:val="20"/>
        </w:rPr>
      </w:pPr>
      <w:r w:rsidRPr="00DE0DBD">
        <w:rPr>
          <w:rFonts w:ascii="Arial" w:hAnsi="Arial"/>
          <w:b w:val="0"/>
          <w:sz w:val="20"/>
        </w:rPr>
        <w:tab/>
      </w:r>
      <w:r w:rsidRPr="00DE0DBD">
        <w:rPr>
          <w:rFonts w:ascii="Arial" w:hAnsi="Arial"/>
          <w:b w:val="0"/>
          <w:sz w:val="20"/>
        </w:rPr>
        <w:tab/>
        <w:t>Lack of statutory authority</w:t>
      </w:r>
    </w:p>
    <w:p w:rsidR="00905D0C" w:rsidRPr="00DE0DBD" w:rsidRDefault="00905D0C" w:rsidP="00EB03BF">
      <w:pPr>
        <w:pStyle w:val="Agencynames"/>
        <w:tabs>
          <w:tab w:val="left" w:pos="1080"/>
        </w:tabs>
        <w:spacing w:before="0" w:after="0" w:line="360" w:lineRule="auto"/>
        <w:ind w:left="720" w:firstLine="720"/>
        <w:rPr>
          <w:rFonts w:ascii="Arial" w:hAnsi="Arial"/>
          <w:b w:val="0"/>
          <w:sz w:val="20"/>
        </w:rPr>
      </w:pPr>
      <w:r w:rsidRPr="00DE0DBD">
        <w:rPr>
          <w:rFonts w:ascii="Arial" w:hAnsi="Arial"/>
          <w:b w:val="0"/>
          <w:sz w:val="20"/>
        </w:rPr>
        <w:t>X</w:t>
      </w:r>
      <w:r w:rsidRPr="00DE0DBD">
        <w:rPr>
          <w:rFonts w:ascii="Arial" w:hAnsi="Arial"/>
          <w:b w:val="0"/>
          <w:sz w:val="20"/>
        </w:rPr>
        <w:tab/>
        <w:t>Unclear or ambiguous</w:t>
      </w:r>
    </w:p>
    <w:p w:rsidR="00905D0C" w:rsidRPr="00DE0DBD" w:rsidRDefault="00905D0C" w:rsidP="00EB03BF">
      <w:pPr>
        <w:pStyle w:val="Agencynames"/>
        <w:tabs>
          <w:tab w:val="left" w:pos="1080"/>
        </w:tabs>
        <w:spacing w:before="0" w:after="0" w:line="360" w:lineRule="auto"/>
        <w:rPr>
          <w:rFonts w:ascii="Arial" w:hAnsi="Arial"/>
          <w:b w:val="0"/>
          <w:sz w:val="20"/>
        </w:rPr>
      </w:pPr>
      <w:r w:rsidRPr="00DE0DBD">
        <w:rPr>
          <w:rFonts w:ascii="Arial" w:hAnsi="Arial"/>
          <w:b w:val="0"/>
          <w:sz w:val="20"/>
        </w:rPr>
        <w:tab/>
      </w:r>
      <w:r w:rsidRPr="00DE0DBD">
        <w:rPr>
          <w:rFonts w:ascii="Arial" w:hAnsi="Arial"/>
          <w:b w:val="0"/>
          <w:sz w:val="20"/>
        </w:rPr>
        <w:tab/>
      </w:r>
      <w:r w:rsidRPr="00DE0DBD">
        <w:rPr>
          <w:rFonts w:ascii="Arial" w:hAnsi="Arial"/>
          <w:b w:val="0"/>
          <w:sz w:val="20"/>
        </w:rPr>
        <w:tab/>
        <w:t>Unnecessary</w:t>
      </w:r>
    </w:p>
    <w:p w:rsidR="00493F1B" w:rsidRPr="00DE0DBD" w:rsidRDefault="00493F1B" w:rsidP="00EB03BF">
      <w:pPr>
        <w:pStyle w:val="Agencynames"/>
        <w:tabs>
          <w:tab w:val="left" w:pos="1080"/>
        </w:tabs>
        <w:spacing w:before="0" w:after="0" w:line="360" w:lineRule="auto"/>
        <w:rPr>
          <w:rFonts w:ascii="Arial" w:hAnsi="Arial"/>
          <w:b w:val="0"/>
          <w:sz w:val="20"/>
        </w:rPr>
      </w:pPr>
      <w:r w:rsidRPr="00DE0DBD">
        <w:rPr>
          <w:rFonts w:ascii="Arial" w:hAnsi="Arial"/>
          <w:b w:val="0"/>
          <w:sz w:val="20"/>
        </w:rPr>
        <w:tab/>
      </w:r>
      <w:r w:rsidRPr="00DE0DBD">
        <w:rPr>
          <w:rFonts w:ascii="Arial" w:hAnsi="Arial"/>
          <w:b w:val="0"/>
          <w:sz w:val="20"/>
        </w:rPr>
        <w:tab/>
      </w:r>
      <w:r w:rsidRPr="00DE0DBD">
        <w:rPr>
          <w:rFonts w:ascii="Arial" w:hAnsi="Arial"/>
          <w:b w:val="0"/>
          <w:sz w:val="20"/>
        </w:rPr>
        <w:tab/>
        <w:t>Failure to adopt the rule in accordance with the APA</w:t>
      </w:r>
    </w:p>
    <w:p w:rsidR="00905D0C" w:rsidRPr="00DE0DBD" w:rsidRDefault="00905D0C" w:rsidP="00EB03BF">
      <w:pPr>
        <w:pStyle w:val="Agencynames"/>
        <w:tabs>
          <w:tab w:val="left" w:pos="1080"/>
        </w:tabs>
        <w:spacing w:before="0" w:after="240" w:line="360" w:lineRule="auto"/>
        <w:rPr>
          <w:rFonts w:ascii="Arial" w:hAnsi="Arial"/>
          <w:b w:val="0"/>
          <w:sz w:val="20"/>
        </w:rPr>
      </w:pPr>
      <w:r w:rsidRPr="00DE0DBD">
        <w:rPr>
          <w:rFonts w:ascii="Arial" w:hAnsi="Arial"/>
          <w:b w:val="0"/>
          <w:sz w:val="20"/>
        </w:rPr>
        <w:tab/>
      </w:r>
      <w:r w:rsidRPr="00DE0DBD">
        <w:rPr>
          <w:rFonts w:ascii="Arial" w:hAnsi="Arial"/>
          <w:b w:val="0"/>
          <w:sz w:val="20"/>
        </w:rPr>
        <w:tab/>
        <w:t>Extend the period of review</w:t>
      </w:r>
    </w:p>
    <w:p w:rsidR="00905D0C" w:rsidRPr="00DE0DBD" w:rsidRDefault="00905D0C" w:rsidP="00EB03BF">
      <w:pPr>
        <w:pStyle w:val="Title"/>
        <w:tabs>
          <w:tab w:val="left" w:pos="1080"/>
        </w:tabs>
        <w:jc w:val="left"/>
        <w:outlineLvl w:val="0"/>
        <w:rPr>
          <w:b w:val="0"/>
          <w:i/>
          <w:smallCaps w:val="0"/>
          <w:sz w:val="20"/>
        </w:rPr>
      </w:pPr>
      <w:r w:rsidRPr="00DE0DBD">
        <w:rPr>
          <w:b w:val="0"/>
          <w:sz w:val="20"/>
        </w:rPr>
        <w:t>COMMENT:</w:t>
      </w:r>
      <w:r w:rsidRPr="00DE0DBD">
        <w:rPr>
          <w:b w:val="0"/>
          <w:i/>
          <w:smallCaps w:val="0"/>
          <w:sz w:val="20"/>
        </w:rPr>
        <w:tab/>
      </w:r>
    </w:p>
    <w:p w:rsidR="00905D0C" w:rsidRPr="00DE0DBD" w:rsidRDefault="00CA21C9" w:rsidP="00EB03BF">
      <w:pPr>
        <w:pStyle w:val="Title"/>
        <w:tabs>
          <w:tab w:val="left" w:pos="1080"/>
        </w:tabs>
        <w:spacing w:before="120"/>
        <w:jc w:val="left"/>
        <w:rPr>
          <w:b w:val="0"/>
          <w:i/>
          <w:smallCaps w:val="0"/>
          <w:sz w:val="20"/>
        </w:rPr>
      </w:pPr>
      <w:r w:rsidRPr="00DE0DBD">
        <w:rPr>
          <w:b w:val="0"/>
          <w:i/>
          <w:smallCaps w:val="0"/>
          <w:sz w:val="20"/>
        </w:rPr>
        <w:t xml:space="preserve">In (g), page 6 line </w:t>
      </w:r>
      <w:proofErr w:type="gramStart"/>
      <w:r w:rsidRPr="00DE0DBD">
        <w:rPr>
          <w:b w:val="0"/>
          <w:i/>
          <w:smallCaps w:val="0"/>
          <w:sz w:val="20"/>
        </w:rPr>
        <w:t>12,</w:t>
      </w:r>
      <w:proofErr w:type="gramEnd"/>
      <w:r w:rsidRPr="00DE0DBD">
        <w:rPr>
          <w:b w:val="0"/>
          <w:i/>
          <w:smallCaps w:val="0"/>
          <w:sz w:val="20"/>
        </w:rPr>
        <w:t xml:space="preserve"> it is unclear what constitutes a “forested riparian buffer.”</w:t>
      </w:r>
      <w:r w:rsidR="004F220A" w:rsidRPr="00DE0DBD">
        <w:rPr>
          <w:b w:val="0"/>
          <w:i/>
          <w:smallCaps w:val="0"/>
          <w:sz w:val="20"/>
        </w:rPr>
        <w:t xml:space="preserve"> There is no </w:t>
      </w:r>
      <w:proofErr w:type="gramStart"/>
      <w:r w:rsidR="004F220A" w:rsidRPr="00DE0DBD">
        <w:rPr>
          <w:b w:val="0"/>
          <w:i/>
          <w:smallCaps w:val="0"/>
          <w:sz w:val="20"/>
        </w:rPr>
        <w:t>definition</w:t>
      </w:r>
      <w:proofErr w:type="gramEnd"/>
      <w:r w:rsidR="004F220A" w:rsidRPr="00DE0DBD">
        <w:rPr>
          <w:b w:val="0"/>
          <w:i/>
          <w:smallCaps w:val="0"/>
          <w:sz w:val="20"/>
        </w:rPr>
        <w:t xml:space="preserve"> for “forested” and no definition for “riparian buffer.” Since attaining this condition is one of the purposes for or goals of engaging in either “enhancement” or “restoration” it has to be clear if it is attained or at least attainable.</w:t>
      </w:r>
    </w:p>
    <w:p w:rsidR="004F220A" w:rsidRPr="00DE0DBD" w:rsidRDefault="004F220A" w:rsidP="00EB03BF">
      <w:pPr>
        <w:pStyle w:val="Title"/>
        <w:tabs>
          <w:tab w:val="left" w:pos="1080"/>
        </w:tabs>
        <w:spacing w:before="120"/>
        <w:jc w:val="left"/>
        <w:rPr>
          <w:b w:val="0"/>
          <w:i/>
          <w:smallCaps w:val="0"/>
          <w:sz w:val="20"/>
        </w:rPr>
      </w:pPr>
      <w:r w:rsidRPr="00DE0DBD">
        <w:rPr>
          <w:b w:val="0"/>
          <w:i/>
          <w:smallCaps w:val="0"/>
          <w:sz w:val="20"/>
        </w:rPr>
        <w:t>One of the dictionary definitions for “forest” is “a dense growth of trees, together with other plants, covering a large area.” Having a tree canopy of “less than 25% of the cover” is enough to make an area suitable for a “restoration site.” (Definition (b</w:t>
      </w:r>
      <w:proofErr w:type="gramStart"/>
      <w:r w:rsidRPr="00DE0DBD">
        <w:rPr>
          <w:b w:val="0"/>
          <w:i/>
          <w:smallCaps w:val="0"/>
          <w:sz w:val="20"/>
        </w:rPr>
        <w:t>)(</w:t>
      </w:r>
      <w:proofErr w:type="gramEnd"/>
      <w:r w:rsidRPr="00DE0DBD">
        <w:rPr>
          <w:b w:val="0"/>
          <w:i/>
          <w:smallCaps w:val="0"/>
          <w:sz w:val="20"/>
        </w:rPr>
        <w:t>13)) It is not clear if having a tree canopy covering 25% or more of the cover constitutes a “forested” site.</w:t>
      </w:r>
    </w:p>
    <w:p w:rsidR="00860A17" w:rsidRPr="00DE0DBD" w:rsidRDefault="00815275" w:rsidP="00EB03BF">
      <w:pPr>
        <w:pStyle w:val="Title"/>
        <w:tabs>
          <w:tab w:val="left" w:pos="1080"/>
        </w:tabs>
        <w:spacing w:before="120"/>
        <w:jc w:val="left"/>
        <w:rPr>
          <w:b w:val="0"/>
          <w:i/>
          <w:smallCaps w:val="0"/>
          <w:sz w:val="20"/>
        </w:rPr>
      </w:pPr>
      <w:r w:rsidRPr="00DE0DBD">
        <w:rPr>
          <w:b w:val="0"/>
          <w:i/>
          <w:smallCaps w:val="0"/>
          <w:sz w:val="20"/>
        </w:rPr>
        <w:t>“Riparian” by dictionary definition (there is no rule definition for this term) means “of, on or pertaining to the bank of a natural course of water.” Ordinarily I would say this is probably sufficient and there would be no need to define this term. That may still be the case – although I do believe that “forested” does need clarification. However since there is a definition for determining a “riparian wetland” not by its characteristics as “riparian” or “wetland” but by where it is located, e.g. “in a geomorphic floodplain,” this may be true for a “riparian buffer” as well.</w:t>
      </w:r>
    </w:p>
    <w:p w:rsidR="000C25E9" w:rsidRPr="00DE0DBD" w:rsidRDefault="00C4329F" w:rsidP="00EB03BF">
      <w:pPr>
        <w:pStyle w:val="Title"/>
        <w:tabs>
          <w:tab w:val="left" w:pos="1080"/>
        </w:tabs>
        <w:spacing w:before="120"/>
        <w:jc w:val="left"/>
        <w:rPr>
          <w:b w:val="0"/>
          <w:i/>
          <w:smallCaps w:val="0"/>
          <w:sz w:val="20"/>
        </w:rPr>
      </w:pPr>
      <w:r w:rsidRPr="00DE0DBD">
        <w:rPr>
          <w:b w:val="0"/>
          <w:i/>
          <w:smallCaps w:val="0"/>
          <w:sz w:val="20"/>
        </w:rPr>
        <w:t xml:space="preserve">In (g)(6)(B), page 7 </w:t>
      </w:r>
      <w:r w:rsidR="00DE0DBD" w:rsidRPr="00DE0DBD">
        <w:rPr>
          <w:b w:val="0"/>
          <w:i/>
          <w:smallCaps w:val="0"/>
          <w:sz w:val="20"/>
        </w:rPr>
        <w:t>lines 16 and 17,</w:t>
      </w:r>
      <w:r w:rsidR="00DE0DBD">
        <w:rPr>
          <w:b w:val="0"/>
          <w:i/>
          <w:smallCaps w:val="0"/>
          <w:sz w:val="20"/>
        </w:rPr>
        <w:t xml:space="preserve"> it is unclear whether in approving alternative plans the division is permitted to waive the requirements of (c) or merely the requirements in this sub-sub-paragraph. In </w:t>
      </w:r>
      <w:proofErr w:type="gramStart"/>
      <w:r w:rsidR="00DE0DBD">
        <w:rPr>
          <w:b w:val="0"/>
          <w:i/>
          <w:smallCaps w:val="0"/>
          <w:sz w:val="20"/>
        </w:rPr>
        <w:t>either case</w:t>
      </w:r>
      <w:proofErr w:type="gramEnd"/>
      <w:r w:rsidR="00DE0DBD">
        <w:rPr>
          <w:b w:val="0"/>
          <w:i/>
          <w:smallCaps w:val="0"/>
          <w:sz w:val="20"/>
        </w:rPr>
        <w:t xml:space="preserve"> the goal or purpose of this part of the rule, and what the alternative plan is to be measured against, must be made clear.</w:t>
      </w:r>
    </w:p>
    <w:p w:rsidR="000C1E81" w:rsidRPr="00EB03BF" w:rsidRDefault="000C1E81" w:rsidP="00EB03BF">
      <w:pPr>
        <w:pStyle w:val="Title"/>
        <w:tabs>
          <w:tab w:val="left" w:pos="1080"/>
        </w:tabs>
        <w:spacing w:line="480" w:lineRule="auto"/>
        <w:outlineLvl w:val="0"/>
        <w:rPr>
          <w:rFonts w:ascii="Arial Black" w:hAnsi="Arial Black"/>
          <w:b w:val="0"/>
          <w:smallCaps w:val="0"/>
          <w:sz w:val="20"/>
          <w:u w:val="single"/>
        </w:rPr>
      </w:pPr>
      <w:r w:rsidRPr="00DE0DBD">
        <w:rPr>
          <w:i/>
          <w:sz w:val="20"/>
        </w:rPr>
        <w:br w:type="page"/>
      </w:r>
      <w:r w:rsidR="00FA3EA7" w:rsidRPr="00EB03BF">
        <w:rPr>
          <w:rFonts w:ascii="Arial Black" w:hAnsi="Arial Black"/>
          <w:b w:val="0"/>
          <w:smallCaps w:val="0"/>
          <w:sz w:val="20"/>
          <w:u w:val="single"/>
        </w:rPr>
        <w:lastRenderedPageBreak/>
        <w:t>RRC STAFF OPINION</w:t>
      </w:r>
    </w:p>
    <w:p w:rsidR="000C1E81" w:rsidRPr="00EB03BF" w:rsidRDefault="000C1E81" w:rsidP="00EB03BF">
      <w:pPr>
        <w:tabs>
          <w:tab w:val="left" w:pos="1080"/>
        </w:tabs>
        <w:spacing w:after="240" w:line="360" w:lineRule="auto"/>
        <w:jc w:val="both"/>
        <w:rPr>
          <w:rFonts w:ascii="Arial" w:hAnsi="Arial"/>
          <w:i/>
          <w:smallCaps/>
        </w:rPr>
      </w:pPr>
      <w:r w:rsidRPr="00EB03BF">
        <w:rPr>
          <w:rFonts w:ascii="Arial" w:hAnsi="Arial"/>
          <w:b/>
          <w:smallCaps/>
        </w:rPr>
        <w:tab/>
      </w:r>
      <w:r w:rsidRPr="00EB03BF">
        <w:rPr>
          <w:rFonts w:ascii="Arial" w:hAnsi="Arial"/>
          <w:i/>
          <w:smallCaps/>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50538A" w:rsidRPr="00EB03BF" w:rsidRDefault="0050538A" w:rsidP="00EB03BF">
      <w:pPr>
        <w:pStyle w:val="Agencynames"/>
        <w:tabs>
          <w:tab w:val="left" w:pos="1080"/>
          <w:tab w:val="left" w:pos="1260"/>
        </w:tabs>
        <w:spacing w:before="0" w:after="0" w:line="360" w:lineRule="auto"/>
        <w:outlineLvl w:val="0"/>
        <w:rPr>
          <w:rFonts w:ascii="Arial" w:hAnsi="Arial"/>
          <w:b w:val="0"/>
          <w:smallCaps/>
          <w:sz w:val="20"/>
        </w:rPr>
      </w:pPr>
      <w:r w:rsidRPr="00EB03BF">
        <w:rPr>
          <w:rFonts w:ascii="Arial" w:hAnsi="Arial"/>
          <w:b w:val="0"/>
          <w:smallCaps/>
          <w:sz w:val="20"/>
        </w:rPr>
        <w:t>AGENCY:</w:t>
      </w:r>
      <w:r w:rsidRPr="00EB03BF">
        <w:rPr>
          <w:rFonts w:ascii="Arial" w:hAnsi="Arial"/>
          <w:b w:val="0"/>
          <w:smallCaps/>
          <w:sz w:val="20"/>
        </w:rPr>
        <w:tab/>
        <w:t>ENVIRONMENTAL MANAGEMENT COMMISSION</w:t>
      </w:r>
    </w:p>
    <w:p w:rsidR="0050538A" w:rsidRPr="00EB03BF" w:rsidRDefault="00DA511B" w:rsidP="00EB03BF">
      <w:pPr>
        <w:pStyle w:val="Agencynames"/>
        <w:tabs>
          <w:tab w:val="left" w:pos="1080"/>
          <w:tab w:val="left" w:pos="1260"/>
        </w:tabs>
        <w:spacing w:before="0" w:after="0" w:line="360" w:lineRule="auto"/>
        <w:outlineLvl w:val="0"/>
        <w:rPr>
          <w:rFonts w:ascii="Arial" w:hAnsi="Arial"/>
          <w:b w:val="0"/>
          <w:sz w:val="20"/>
        </w:rPr>
      </w:pPr>
      <w:r>
        <w:rPr>
          <w:rFonts w:ascii="Arial" w:hAnsi="Arial"/>
          <w:b w:val="0"/>
          <w:sz w:val="20"/>
        </w:rPr>
        <w:t>RULE CITATION:</w:t>
      </w:r>
      <w:r>
        <w:rPr>
          <w:rFonts w:ascii="Arial" w:hAnsi="Arial"/>
          <w:b w:val="0"/>
          <w:sz w:val="20"/>
        </w:rPr>
        <w:tab/>
        <w:t xml:space="preserve">15A NCAC </w:t>
      </w:r>
      <w:r w:rsidR="0050538A" w:rsidRPr="00EB03BF">
        <w:rPr>
          <w:rFonts w:ascii="Arial" w:hAnsi="Arial"/>
          <w:b w:val="0"/>
          <w:sz w:val="20"/>
        </w:rPr>
        <w:t>0</w:t>
      </w:r>
      <w:r w:rsidR="000C25E9" w:rsidRPr="00EB03BF">
        <w:rPr>
          <w:rFonts w:ascii="Arial" w:hAnsi="Arial"/>
          <w:b w:val="0"/>
          <w:sz w:val="20"/>
        </w:rPr>
        <w:t>2B .0295(j) – DONATION OF PROPERTY</w:t>
      </w:r>
    </w:p>
    <w:p w:rsidR="000C1E81" w:rsidRPr="00EB03BF" w:rsidRDefault="000C1E81" w:rsidP="00EB03BF">
      <w:pPr>
        <w:pStyle w:val="Agencynames"/>
        <w:tabs>
          <w:tab w:val="left" w:pos="1080"/>
        </w:tabs>
        <w:spacing w:before="0" w:after="0" w:line="360" w:lineRule="auto"/>
        <w:outlineLvl w:val="0"/>
        <w:rPr>
          <w:rFonts w:ascii="Arial" w:hAnsi="Arial"/>
          <w:b w:val="0"/>
          <w:smallCaps/>
          <w:sz w:val="20"/>
        </w:rPr>
      </w:pPr>
      <w:r w:rsidRPr="00EB03BF">
        <w:rPr>
          <w:rFonts w:ascii="Arial" w:hAnsi="Arial"/>
          <w:b w:val="0"/>
          <w:smallCaps/>
          <w:sz w:val="20"/>
        </w:rPr>
        <w:t>RECOMMENDED ACTION:</w:t>
      </w:r>
      <w:r w:rsidRPr="00EB03BF">
        <w:rPr>
          <w:rFonts w:ascii="Arial" w:hAnsi="Arial"/>
          <w:b w:val="0"/>
          <w:smallCaps/>
          <w:sz w:val="20"/>
        </w:rPr>
        <w:tab/>
      </w:r>
    </w:p>
    <w:p w:rsidR="000C1E81" w:rsidRPr="00EB03BF" w:rsidRDefault="000C1E81" w:rsidP="00EB03BF">
      <w:pPr>
        <w:pStyle w:val="Agencynames"/>
        <w:tabs>
          <w:tab w:val="left" w:pos="1080"/>
        </w:tabs>
        <w:spacing w:before="0" w:after="0" w:line="360" w:lineRule="auto"/>
        <w:rPr>
          <w:rFonts w:ascii="Arial" w:hAnsi="Arial"/>
          <w:b w:val="0"/>
          <w:smallCaps/>
          <w:sz w:val="20"/>
        </w:rPr>
      </w:pPr>
      <w:r w:rsidRPr="00EB03BF">
        <w:rPr>
          <w:rFonts w:ascii="Arial" w:hAnsi="Arial"/>
          <w:b w:val="0"/>
          <w:smallCaps/>
          <w:sz w:val="20"/>
        </w:rPr>
        <w:tab/>
      </w:r>
      <w:r w:rsidRPr="00EB03BF">
        <w:rPr>
          <w:rFonts w:ascii="Arial" w:hAnsi="Arial"/>
          <w:b w:val="0"/>
          <w:sz w:val="20"/>
        </w:rPr>
        <w:t>Return the rule to the agency for failure to comply with the Administrative Procedure Act</w:t>
      </w:r>
    </w:p>
    <w:p w:rsidR="000C1E81" w:rsidRPr="00EB03BF" w:rsidRDefault="000C1E81" w:rsidP="00EB03BF">
      <w:pPr>
        <w:pStyle w:val="Agencynames"/>
        <w:tabs>
          <w:tab w:val="left" w:pos="1080"/>
        </w:tabs>
        <w:spacing w:before="0" w:after="0" w:line="360" w:lineRule="auto"/>
        <w:outlineLvl w:val="0"/>
        <w:rPr>
          <w:rFonts w:ascii="Arial" w:hAnsi="Arial"/>
          <w:b w:val="0"/>
          <w:sz w:val="20"/>
        </w:rPr>
      </w:pPr>
      <w:r w:rsidRPr="00EB03BF">
        <w:rPr>
          <w:rFonts w:ascii="Arial" w:hAnsi="Arial"/>
          <w:b w:val="0"/>
          <w:smallCaps/>
          <w:sz w:val="20"/>
        </w:rPr>
        <w:tab/>
      </w:r>
      <w:r w:rsidRPr="00EB03BF">
        <w:rPr>
          <w:rFonts w:ascii="Arial" w:hAnsi="Arial"/>
          <w:b w:val="0"/>
          <w:smallCaps/>
          <w:sz w:val="20"/>
        </w:rPr>
        <w:tab/>
      </w:r>
      <w:r w:rsidRPr="00EB03BF">
        <w:rPr>
          <w:rFonts w:ascii="Arial" w:hAnsi="Arial"/>
          <w:b w:val="0"/>
          <w:sz w:val="20"/>
        </w:rPr>
        <w:t>Approve, but note staff’s comment</w:t>
      </w:r>
    </w:p>
    <w:p w:rsidR="000C1E81" w:rsidRPr="00EB03BF" w:rsidRDefault="000C1E81" w:rsidP="00EB03BF">
      <w:pPr>
        <w:pStyle w:val="Agencynames"/>
        <w:tabs>
          <w:tab w:val="left" w:pos="1080"/>
        </w:tabs>
        <w:spacing w:before="0" w:after="0" w:line="360" w:lineRule="auto"/>
        <w:ind w:firstLine="720"/>
        <w:rPr>
          <w:rFonts w:ascii="Arial" w:hAnsi="Arial"/>
          <w:b w:val="0"/>
          <w:sz w:val="20"/>
        </w:rPr>
      </w:pPr>
      <w:r w:rsidRPr="00EB03BF">
        <w:rPr>
          <w:rFonts w:ascii="Arial" w:hAnsi="Arial"/>
          <w:b w:val="0"/>
          <w:smallCaps/>
          <w:sz w:val="20"/>
        </w:rPr>
        <w:t>X</w:t>
      </w:r>
      <w:r w:rsidRPr="00EB03BF">
        <w:rPr>
          <w:rFonts w:ascii="Arial" w:hAnsi="Arial"/>
          <w:b w:val="0"/>
          <w:smallCaps/>
          <w:sz w:val="20"/>
        </w:rPr>
        <w:tab/>
      </w:r>
      <w:r w:rsidRPr="00EB03BF">
        <w:rPr>
          <w:rFonts w:ascii="Arial" w:hAnsi="Arial"/>
          <w:b w:val="0"/>
          <w:sz w:val="20"/>
        </w:rPr>
        <w:t>Object, based on:</w:t>
      </w:r>
    </w:p>
    <w:p w:rsidR="000C1E81" w:rsidRPr="00EB03BF" w:rsidRDefault="000C1E81" w:rsidP="00EB03BF">
      <w:pPr>
        <w:pStyle w:val="Agencynames"/>
        <w:tabs>
          <w:tab w:val="left" w:pos="1080"/>
        </w:tabs>
        <w:spacing w:before="0" w:after="0" w:line="360" w:lineRule="auto"/>
        <w:ind w:firstLine="720"/>
        <w:rPr>
          <w:rFonts w:ascii="Arial" w:hAnsi="Arial"/>
          <w:b w:val="0"/>
          <w:sz w:val="20"/>
        </w:rPr>
      </w:pPr>
      <w:r w:rsidRPr="00EB03BF">
        <w:rPr>
          <w:rFonts w:ascii="Arial" w:hAnsi="Arial"/>
          <w:b w:val="0"/>
          <w:sz w:val="20"/>
        </w:rPr>
        <w:tab/>
      </w:r>
      <w:r w:rsidRPr="00EB03BF">
        <w:rPr>
          <w:rFonts w:ascii="Arial" w:hAnsi="Arial"/>
          <w:b w:val="0"/>
          <w:sz w:val="20"/>
        </w:rPr>
        <w:tab/>
        <w:t>Lack of statutory authority</w:t>
      </w:r>
    </w:p>
    <w:p w:rsidR="000C1E81" w:rsidRPr="00EB03BF" w:rsidRDefault="000C1E81" w:rsidP="00EB03BF">
      <w:pPr>
        <w:pStyle w:val="Agencynames"/>
        <w:tabs>
          <w:tab w:val="left" w:pos="1080"/>
        </w:tabs>
        <w:spacing w:before="0" w:after="0" w:line="360" w:lineRule="auto"/>
        <w:ind w:left="720" w:firstLine="720"/>
        <w:rPr>
          <w:rFonts w:ascii="Arial" w:hAnsi="Arial"/>
          <w:b w:val="0"/>
          <w:sz w:val="20"/>
        </w:rPr>
      </w:pPr>
      <w:r w:rsidRPr="00EB03BF">
        <w:rPr>
          <w:rFonts w:ascii="Arial" w:hAnsi="Arial"/>
          <w:b w:val="0"/>
          <w:sz w:val="20"/>
        </w:rPr>
        <w:t>X</w:t>
      </w:r>
      <w:r w:rsidRPr="00EB03BF">
        <w:rPr>
          <w:rFonts w:ascii="Arial" w:hAnsi="Arial"/>
          <w:b w:val="0"/>
          <w:sz w:val="20"/>
        </w:rPr>
        <w:tab/>
        <w:t>Unclear or ambiguous</w:t>
      </w:r>
    </w:p>
    <w:p w:rsidR="000C1E81" w:rsidRPr="00EB03BF" w:rsidRDefault="000C1E81" w:rsidP="00EB03BF">
      <w:pPr>
        <w:pStyle w:val="Agencynames"/>
        <w:tabs>
          <w:tab w:val="left" w:pos="1080"/>
        </w:tabs>
        <w:spacing w:before="0" w:after="0" w:line="360" w:lineRule="auto"/>
        <w:rPr>
          <w:rFonts w:ascii="Arial" w:hAnsi="Arial"/>
          <w:b w:val="0"/>
          <w:sz w:val="20"/>
        </w:rPr>
      </w:pPr>
      <w:r w:rsidRPr="00EB03BF">
        <w:rPr>
          <w:rFonts w:ascii="Arial" w:hAnsi="Arial"/>
          <w:b w:val="0"/>
          <w:sz w:val="20"/>
        </w:rPr>
        <w:tab/>
      </w:r>
      <w:r w:rsidRPr="00EB03BF">
        <w:rPr>
          <w:rFonts w:ascii="Arial" w:hAnsi="Arial"/>
          <w:b w:val="0"/>
          <w:sz w:val="20"/>
        </w:rPr>
        <w:tab/>
      </w:r>
      <w:r w:rsidRPr="00EB03BF">
        <w:rPr>
          <w:rFonts w:ascii="Arial" w:hAnsi="Arial"/>
          <w:b w:val="0"/>
          <w:sz w:val="20"/>
        </w:rPr>
        <w:tab/>
        <w:t>Unnecessary</w:t>
      </w:r>
    </w:p>
    <w:p w:rsidR="00493F1B" w:rsidRPr="00EB03BF" w:rsidRDefault="000C1E81" w:rsidP="00EB03BF">
      <w:pPr>
        <w:pStyle w:val="Agencynames"/>
        <w:tabs>
          <w:tab w:val="left" w:pos="1080"/>
        </w:tabs>
        <w:spacing w:before="0" w:after="0" w:line="360" w:lineRule="auto"/>
        <w:rPr>
          <w:rFonts w:ascii="Arial" w:hAnsi="Arial"/>
          <w:b w:val="0"/>
          <w:sz w:val="20"/>
        </w:rPr>
      </w:pPr>
      <w:r w:rsidRPr="00EB03BF">
        <w:rPr>
          <w:rFonts w:ascii="Arial" w:hAnsi="Arial"/>
          <w:b w:val="0"/>
          <w:sz w:val="20"/>
        </w:rPr>
        <w:tab/>
      </w:r>
      <w:r w:rsidRPr="00EB03BF">
        <w:rPr>
          <w:rFonts w:ascii="Arial" w:hAnsi="Arial"/>
          <w:b w:val="0"/>
          <w:sz w:val="20"/>
        </w:rPr>
        <w:tab/>
      </w:r>
      <w:r w:rsidR="00493F1B" w:rsidRPr="00EB03BF">
        <w:rPr>
          <w:rFonts w:ascii="Arial" w:hAnsi="Arial"/>
          <w:b w:val="0"/>
          <w:sz w:val="20"/>
        </w:rPr>
        <w:tab/>
        <w:t>Failure to adopt the rule in accordance with the APA</w:t>
      </w:r>
    </w:p>
    <w:p w:rsidR="000C1E81" w:rsidRPr="00EB03BF" w:rsidRDefault="000C1E81" w:rsidP="00EB03BF">
      <w:pPr>
        <w:pStyle w:val="Agencynames"/>
        <w:tabs>
          <w:tab w:val="left" w:pos="1080"/>
        </w:tabs>
        <w:spacing w:before="0" w:after="240" w:line="360" w:lineRule="auto"/>
        <w:rPr>
          <w:rFonts w:ascii="Arial" w:hAnsi="Arial"/>
          <w:b w:val="0"/>
          <w:sz w:val="20"/>
        </w:rPr>
      </w:pPr>
      <w:r w:rsidRPr="00EB03BF">
        <w:rPr>
          <w:rFonts w:ascii="Arial" w:hAnsi="Arial"/>
          <w:b w:val="0"/>
          <w:sz w:val="20"/>
        </w:rPr>
        <w:t>Extend the period of review</w:t>
      </w:r>
    </w:p>
    <w:p w:rsidR="000C1E81" w:rsidRPr="00EB03BF" w:rsidRDefault="000C1E81" w:rsidP="00EB03BF">
      <w:pPr>
        <w:pStyle w:val="Title"/>
        <w:tabs>
          <w:tab w:val="left" w:pos="1080"/>
        </w:tabs>
        <w:jc w:val="left"/>
        <w:outlineLvl w:val="0"/>
        <w:rPr>
          <w:b w:val="0"/>
          <w:i/>
          <w:sz w:val="20"/>
        </w:rPr>
      </w:pPr>
      <w:r w:rsidRPr="00EB03BF">
        <w:rPr>
          <w:b w:val="0"/>
          <w:sz w:val="20"/>
        </w:rPr>
        <w:t>COMMENT:</w:t>
      </w:r>
      <w:r w:rsidRPr="00EB03BF">
        <w:rPr>
          <w:b w:val="0"/>
          <w:i/>
          <w:sz w:val="20"/>
        </w:rPr>
        <w:tab/>
      </w:r>
    </w:p>
    <w:p w:rsidR="00EB03BF" w:rsidRDefault="00F34EAF" w:rsidP="00EB03BF">
      <w:pPr>
        <w:pStyle w:val="BodyText"/>
        <w:tabs>
          <w:tab w:val="left" w:pos="1080"/>
        </w:tabs>
        <w:jc w:val="both"/>
        <w:rPr>
          <w:rFonts w:ascii="Arial" w:hAnsi="Arial"/>
          <w:i/>
          <w:sz w:val="20"/>
        </w:rPr>
      </w:pPr>
      <w:r>
        <w:rPr>
          <w:rFonts w:ascii="Arial" w:hAnsi="Arial"/>
          <w:i/>
          <w:sz w:val="20"/>
        </w:rPr>
        <w:t>In (j) o</w:t>
      </w:r>
      <w:r w:rsidR="00A51D6C">
        <w:rPr>
          <w:rFonts w:ascii="Arial" w:hAnsi="Arial"/>
          <w:i/>
          <w:sz w:val="20"/>
        </w:rPr>
        <w:t>n page 9 of the</w:t>
      </w:r>
      <w:r w:rsidR="00EB03BF" w:rsidRPr="00EB03BF">
        <w:rPr>
          <w:rFonts w:ascii="Arial" w:hAnsi="Arial"/>
          <w:i/>
          <w:sz w:val="20"/>
        </w:rPr>
        <w:t xml:space="preserve"> rule</w:t>
      </w:r>
      <w:r>
        <w:rPr>
          <w:rFonts w:ascii="Arial" w:hAnsi="Arial"/>
          <w:i/>
          <w:sz w:val="20"/>
        </w:rPr>
        <w:t>,</w:t>
      </w:r>
      <w:r w:rsidR="00A51D6C">
        <w:rPr>
          <w:rFonts w:ascii="Arial" w:hAnsi="Arial"/>
          <w:i/>
          <w:sz w:val="20"/>
        </w:rPr>
        <w:t xml:space="preserve"> it</w:t>
      </w:r>
      <w:r w:rsidR="00EB03BF" w:rsidRPr="00EB03BF">
        <w:rPr>
          <w:rFonts w:ascii="Arial" w:hAnsi="Arial"/>
          <w:i/>
          <w:sz w:val="20"/>
        </w:rPr>
        <w:t xml:space="preserve"> is unclear whether or not an applicant can mix various mitigation possibilities in all cases.</w:t>
      </w:r>
      <w:r w:rsidR="00EB03BF">
        <w:rPr>
          <w:rFonts w:ascii="Arial" w:hAnsi="Arial"/>
          <w:i/>
          <w:sz w:val="20"/>
        </w:rPr>
        <w:t xml:space="preserve"> (“Mitigation” allows a developer to make up for some of the environmental damage to riparian (shore, river or other waterway) environments a project may cause by taking various steps somewhere else to lessen the overall damage the state suffers.</w:t>
      </w:r>
      <w:r>
        <w:rPr>
          <w:rFonts w:ascii="Arial" w:hAnsi="Arial"/>
          <w:i/>
          <w:sz w:val="20"/>
        </w:rPr>
        <w:t>)</w:t>
      </w:r>
    </w:p>
    <w:p w:rsidR="00EB03BF" w:rsidRDefault="00EB03BF" w:rsidP="00EB03BF">
      <w:pPr>
        <w:pStyle w:val="BodyText"/>
        <w:tabs>
          <w:tab w:val="left" w:pos="1080"/>
        </w:tabs>
        <w:jc w:val="both"/>
        <w:rPr>
          <w:rFonts w:ascii="Arial" w:hAnsi="Arial"/>
          <w:i/>
          <w:sz w:val="20"/>
        </w:rPr>
      </w:pPr>
      <w:r>
        <w:rPr>
          <w:rFonts w:ascii="Arial" w:hAnsi="Arial"/>
          <w:i/>
          <w:sz w:val="20"/>
        </w:rPr>
        <w:t>Paragraph (c</w:t>
      </w:r>
      <w:proofErr w:type="gramStart"/>
      <w:r>
        <w:rPr>
          <w:rFonts w:ascii="Arial" w:hAnsi="Arial"/>
          <w:i/>
          <w:sz w:val="20"/>
        </w:rPr>
        <w:t>)</w:t>
      </w:r>
      <w:r w:rsidR="00A51D6C">
        <w:rPr>
          <w:rFonts w:ascii="Arial" w:hAnsi="Arial"/>
          <w:i/>
          <w:sz w:val="20"/>
        </w:rPr>
        <w:t>(</w:t>
      </w:r>
      <w:proofErr w:type="gramEnd"/>
      <w:r w:rsidR="00A51D6C">
        <w:rPr>
          <w:rFonts w:ascii="Arial" w:hAnsi="Arial"/>
          <w:i/>
          <w:sz w:val="20"/>
        </w:rPr>
        <w:t>1) – (3) (page 3 of the rule)</w:t>
      </w:r>
      <w:r>
        <w:rPr>
          <w:rFonts w:ascii="Arial" w:hAnsi="Arial"/>
          <w:i/>
          <w:sz w:val="20"/>
        </w:rPr>
        <w:t xml:space="preserve"> appears to allow an applicant to use any of certain means to mitigate that damage:</w:t>
      </w:r>
    </w:p>
    <w:p w:rsidR="00EB03BF" w:rsidRDefault="00EB03BF" w:rsidP="00A51D6C">
      <w:pPr>
        <w:pStyle w:val="BodyText"/>
        <w:numPr>
          <w:ilvl w:val="0"/>
          <w:numId w:val="1"/>
        </w:numPr>
        <w:tabs>
          <w:tab w:val="clear" w:pos="1296"/>
          <w:tab w:val="left" w:pos="1080"/>
        </w:tabs>
        <w:spacing w:before="0"/>
        <w:jc w:val="both"/>
        <w:rPr>
          <w:rFonts w:ascii="Arial" w:hAnsi="Arial"/>
          <w:i/>
          <w:sz w:val="20"/>
        </w:rPr>
      </w:pPr>
      <w:r>
        <w:rPr>
          <w:rFonts w:ascii="Arial" w:hAnsi="Arial"/>
          <w:i/>
          <w:sz w:val="20"/>
        </w:rPr>
        <w:t xml:space="preserve">The applicant can take physical steps to repair or replace </w:t>
      </w:r>
      <w:r w:rsidR="00A1155E">
        <w:rPr>
          <w:rFonts w:ascii="Arial" w:hAnsi="Arial"/>
          <w:i/>
          <w:sz w:val="20"/>
        </w:rPr>
        <w:t>the</w:t>
      </w:r>
      <w:r>
        <w:rPr>
          <w:rFonts w:ascii="Arial" w:hAnsi="Arial"/>
          <w:i/>
          <w:sz w:val="20"/>
        </w:rPr>
        <w:t xml:space="preserve"> damage at that site or another site;</w:t>
      </w:r>
    </w:p>
    <w:p w:rsidR="00041E05" w:rsidRDefault="00EB03BF" w:rsidP="00EB03BF">
      <w:pPr>
        <w:pStyle w:val="BodyText"/>
        <w:numPr>
          <w:ilvl w:val="0"/>
          <w:numId w:val="1"/>
        </w:numPr>
        <w:tabs>
          <w:tab w:val="clear" w:pos="1296"/>
          <w:tab w:val="left" w:pos="1080"/>
        </w:tabs>
        <w:spacing w:before="0"/>
        <w:jc w:val="both"/>
        <w:rPr>
          <w:rFonts w:ascii="Arial" w:hAnsi="Arial"/>
          <w:i/>
          <w:sz w:val="20"/>
        </w:rPr>
      </w:pPr>
      <w:r>
        <w:rPr>
          <w:rFonts w:ascii="Arial" w:hAnsi="Arial"/>
          <w:i/>
          <w:sz w:val="20"/>
        </w:rPr>
        <w:t xml:space="preserve">The applicant can pay money </w:t>
      </w:r>
      <w:r w:rsidR="00041E05">
        <w:rPr>
          <w:rFonts w:ascii="Arial" w:hAnsi="Arial"/>
          <w:i/>
          <w:sz w:val="20"/>
        </w:rPr>
        <w:t>into a fund; or</w:t>
      </w:r>
    </w:p>
    <w:p w:rsidR="00A51D6C" w:rsidRDefault="00A51D6C" w:rsidP="00EB03BF">
      <w:pPr>
        <w:pStyle w:val="BodyText"/>
        <w:numPr>
          <w:ilvl w:val="0"/>
          <w:numId w:val="1"/>
        </w:numPr>
        <w:tabs>
          <w:tab w:val="clear" w:pos="1296"/>
          <w:tab w:val="left" w:pos="1080"/>
        </w:tabs>
        <w:spacing w:before="0"/>
        <w:jc w:val="both"/>
        <w:rPr>
          <w:rFonts w:ascii="Arial" w:hAnsi="Arial"/>
          <w:i/>
          <w:sz w:val="20"/>
        </w:rPr>
      </w:pPr>
      <w:r>
        <w:rPr>
          <w:rFonts w:ascii="Arial" w:hAnsi="Arial"/>
          <w:i/>
          <w:sz w:val="20"/>
        </w:rPr>
        <w:t>The applicant can donate real property to use as a conservation easement.</w:t>
      </w:r>
    </w:p>
    <w:p w:rsidR="00EB03BF" w:rsidRDefault="00A51D6C" w:rsidP="00A51D6C">
      <w:pPr>
        <w:pStyle w:val="BodyText"/>
        <w:tabs>
          <w:tab w:val="clear" w:pos="1296"/>
          <w:tab w:val="left" w:pos="1080"/>
        </w:tabs>
        <w:spacing w:before="0"/>
        <w:jc w:val="both"/>
        <w:rPr>
          <w:rFonts w:ascii="Arial" w:hAnsi="Arial"/>
          <w:i/>
          <w:sz w:val="20"/>
        </w:rPr>
      </w:pPr>
      <w:r>
        <w:rPr>
          <w:rFonts w:ascii="Arial" w:hAnsi="Arial"/>
          <w:i/>
          <w:sz w:val="20"/>
        </w:rPr>
        <w:t>In (c) lines 19 – 22, the rule states that an applicant can propose “any of [the above] types of mitigation.</w:t>
      </w:r>
      <w:r w:rsidR="00F34EAF">
        <w:rPr>
          <w:rFonts w:ascii="Arial" w:hAnsi="Arial"/>
          <w:i/>
          <w:sz w:val="20"/>
        </w:rPr>
        <w:t>” If the applicant is not permitted to use a mix of the allowed mitigations, then the rule needs to be rewritten to state that “the applicant shall use one of the following forms of mitigation” (or similar language) rather than “any of the following.”</w:t>
      </w:r>
    </w:p>
    <w:p w:rsidR="00EB03BF" w:rsidRPr="00EB03BF" w:rsidRDefault="00B95EC7" w:rsidP="00EB03BF">
      <w:pPr>
        <w:pStyle w:val="BodyText"/>
        <w:tabs>
          <w:tab w:val="left" w:pos="1080"/>
        </w:tabs>
        <w:jc w:val="both"/>
        <w:rPr>
          <w:rFonts w:ascii="Arial" w:hAnsi="Arial"/>
          <w:i/>
          <w:sz w:val="20"/>
        </w:rPr>
      </w:pPr>
      <w:r>
        <w:rPr>
          <w:rFonts w:ascii="Arial" w:hAnsi="Arial"/>
          <w:i/>
          <w:sz w:val="20"/>
        </w:rPr>
        <w:t xml:space="preserve">This belief that the rule appears to allow a mixture also reappears in (j). </w:t>
      </w:r>
      <w:r w:rsidR="00EB03BF" w:rsidRPr="00EB03BF">
        <w:rPr>
          <w:rFonts w:ascii="Arial" w:hAnsi="Arial"/>
          <w:i/>
          <w:sz w:val="20"/>
        </w:rPr>
        <w:t>In (j</w:t>
      </w:r>
      <w:proofErr w:type="gramStart"/>
      <w:r w:rsidR="00EB03BF" w:rsidRPr="00EB03BF">
        <w:rPr>
          <w:rFonts w:ascii="Arial" w:hAnsi="Arial"/>
          <w:i/>
          <w:sz w:val="20"/>
        </w:rPr>
        <w:t>)(</w:t>
      </w:r>
      <w:proofErr w:type="gramEnd"/>
      <w:r w:rsidR="00EB03BF" w:rsidRPr="00EB03BF">
        <w:rPr>
          <w:rFonts w:ascii="Arial" w:hAnsi="Arial"/>
          <w:i/>
          <w:sz w:val="20"/>
        </w:rPr>
        <w:t>1) lines 3 – 5 the rule states that donation of real property interests may be used to either “partially or fully satisfy” the payment of a compensatory mitigation fee. That same sub-paragraph, in lines 8 and 9, goes on to say that if the value of the donated property is less than the required fee, the applicant shall “pay the remaining balance due.”</w:t>
      </w:r>
    </w:p>
    <w:p w:rsidR="003348DC" w:rsidRDefault="00EB03BF" w:rsidP="00EB03BF">
      <w:pPr>
        <w:pStyle w:val="BodyText"/>
        <w:tabs>
          <w:tab w:val="left" w:pos="1080"/>
        </w:tabs>
        <w:jc w:val="both"/>
        <w:rPr>
          <w:rFonts w:ascii="Arial" w:hAnsi="Arial"/>
          <w:i/>
          <w:sz w:val="20"/>
        </w:rPr>
      </w:pPr>
      <w:r w:rsidRPr="00EB03BF">
        <w:rPr>
          <w:rFonts w:ascii="Arial" w:hAnsi="Arial"/>
          <w:i/>
          <w:sz w:val="20"/>
        </w:rPr>
        <w:t>However (j</w:t>
      </w:r>
      <w:proofErr w:type="gramStart"/>
      <w:r w:rsidRPr="00EB03BF">
        <w:rPr>
          <w:rFonts w:ascii="Arial" w:hAnsi="Arial"/>
          <w:i/>
          <w:sz w:val="20"/>
        </w:rPr>
        <w:t>)(</w:t>
      </w:r>
      <w:proofErr w:type="gramEnd"/>
      <w:r w:rsidRPr="00EB03BF">
        <w:rPr>
          <w:rFonts w:ascii="Arial" w:hAnsi="Arial"/>
          <w:i/>
          <w:sz w:val="20"/>
        </w:rPr>
        <w:t xml:space="preserve">3)(C) requires that the size of the buffer </w:t>
      </w:r>
      <w:r w:rsidR="00B95EC7">
        <w:rPr>
          <w:rFonts w:ascii="Arial" w:hAnsi="Arial"/>
          <w:i/>
          <w:sz w:val="20"/>
        </w:rPr>
        <w:t xml:space="preserve">of donated real property </w:t>
      </w:r>
      <w:r w:rsidRPr="00EB03BF">
        <w:rPr>
          <w:rFonts w:ascii="Arial" w:hAnsi="Arial"/>
          <w:i/>
          <w:sz w:val="20"/>
        </w:rPr>
        <w:t>must equal the required mitigation area.</w:t>
      </w:r>
      <w:r w:rsidR="00B95EC7">
        <w:rPr>
          <w:rFonts w:ascii="Arial" w:hAnsi="Arial"/>
          <w:i/>
          <w:sz w:val="20"/>
        </w:rPr>
        <w:t xml:space="preserve"> That appears to limit the application of (c</w:t>
      </w:r>
      <w:proofErr w:type="gramStart"/>
      <w:r w:rsidR="00B95EC7">
        <w:rPr>
          <w:rFonts w:ascii="Arial" w:hAnsi="Arial"/>
          <w:i/>
          <w:sz w:val="20"/>
        </w:rPr>
        <w:t>)(</w:t>
      </w:r>
      <w:proofErr w:type="gramEnd"/>
      <w:r w:rsidR="00B95EC7">
        <w:rPr>
          <w:rFonts w:ascii="Arial" w:hAnsi="Arial"/>
          <w:i/>
          <w:sz w:val="20"/>
        </w:rPr>
        <w:t>3). The last line of sub-sub-</w:t>
      </w:r>
      <w:r w:rsidR="00B95EC7">
        <w:rPr>
          <w:rFonts w:ascii="Arial" w:hAnsi="Arial"/>
          <w:i/>
          <w:sz w:val="20"/>
        </w:rPr>
        <w:lastRenderedPageBreak/>
        <w:t>paragraph (j</w:t>
      </w:r>
      <w:proofErr w:type="gramStart"/>
      <w:r w:rsidR="00B95EC7">
        <w:rPr>
          <w:rFonts w:ascii="Arial" w:hAnsi="Arial"/>
          <w:i/>
          <w:sz w:val="20"/>
        </w:rPr>
        <w:t>)(</w:t>
      </w:r>
      <w:proofErr w:type="gramEnd"/>
      <w:r w:rsidR="00B95EC7">
        <w:rPr>
          <w:rFonts w:ascii="Arial" w:hAnsi="Arial"/>
          <w:i/>
          <w:sz w:val="20"/>
        </w:rPr>
        <w:t>3)(D) in line 1 at the top of page 10 also requires that “</w:t>
      </w:r>
      <w:r w:rsidR="00910631">
        <w:rPr>
          <w:rFonts w:ascii="Arial" w:hAnsi="Arial"/>
          <w:i/>
          <w:sz w:val="20"/>
        </w:rPr>
        <w:t>[r]</w:t>
      </w:r>
      <w:proofErr w:type="spellStart"/>
      <w:r w:rsidR="00B95EC7">
        <w:rPr>
          <w:rFonts w:ascii="Arial" w:hAnsi="Arial"/>
          <w:i/>
          <w:sz w:val="20"/>
        </w:rPr>
        <w:t>estoration</w:t>
      </w:r>
      <w:proofErr w:type="spellEnd"/>
      <w:r w:rsidR="00B95EC7">
        <w:rPr>
          <w:rFonts w:ascii="Arial" w:hAnsi="Arial"/>
          <w:i/>
          <w:sz w:val="20"/>
        </w:rPr>
        <w:t xml:space="preserve"> of the [donated] property shall be capable of </w:t>
      </w:r>
      <w:r w:rsidR="00B95EC7">
        <w:rPr>
          <w:rFonts w:ascii="Arial" w:hAnsi="Arial"/>
          <w:i/>
          <w:sz w:val="20"/>
          <w:u w:val="single"/>
        </w:rPr>
        <w:t>fully</w:t>
      </w:r>
      <w:r w:rsidR="00910631">
        <w:rPr>
          <w:rFonts w:ascii="Arial" w:hAnsi="Arial"/>
          <w:i/>
          <w:sz w:val="20"/>
          <w:u w:val="single"/>
        </w:rPr>
        <w:t xml:space="preserve"> offsetting</w:t>
      </w:r>
      <w:r w:rsidR="00910631">
        <w:rPr>
          <w:rFonts w:ascii="Arial" w:hAnsi="Arial"/>
          <w:i/>
          <w:sz w:val="20"/>
        </w:rPr>
        <w:t xml:space="preserve"> the adverse impacts of the requested use.” (Emphasis added.)</w:t>
      </w:r>
      <w:r w:rsidR="00B95EC7">
        <w:rPr>
          <w:rFonts w:ascii="Arial" w:hAnsi="Arial"/>
          <w:i/>
          <w:sz w:val="20"/>
        </w:rPr>
        <w:t xml:space="preserve"> </w:t>
      </w:r>
      <w:r w:rsidR="00910631">
        <w:rPr>
          <w:rFonts w:ascii="Arial" w:hAnsi="Arial"/>
          <w:i/>
          <w:sz w:val="20"/>
        </w:rPr>
        <w:t>This also appears to limit the application of (c</w:t>
      </w:r>
      <w:proofErr w:type="gramStart"/>
      <w:r w:rsidR="00910631">
        <w:rPr>
          <w:rFonts w:ascii="Arial" w:hAnsi="Arial"/>
          <w:i/>
          <w:sz w:val="20"/>
        </w:rPr>
        <w:t>)(</w:t>
      </w:r>
      <w:proofErr w:type="gramEnd"/>
      <w:r w:rsidR="00910631">
        <w:rPr>
          <w:rFonts w:ascii="Arial" w:hAnsi="Arial"/>
          <w:i/>
          <w:sz w:val="20"/>
        </w:rPr>
        <w:t xml:space="preserve">3). </w:t>
      </w:r>
      <w:r w:rsidR="00B95EC7">
        <w:rPr>
          <w:rFonts w:ascii="Arial" w:hAnsi="Arial"/>
          <w:i/>
          <w:sz w:val="20"/>
        </w:rPr>
        <w:t xml:space="preserve">At any rate </w:t>
      </w:r>
      <w:r w:rsidR="00910631">
        <w:rPr>
          <w:rFonts w:ascii="Arial" w:hAnsi="Arial"/>
          <w:i/>
          <w:sz w:val="20"/>
        </w:rPr>
        <w:t>both of these provisions</w:t>
      </w:r>
      <w:r w:rsidR="00B95EC7">
        <w:rPr>
          <w:rFonts w:ascii="Arial" w:hAnsi="Arial"/>
          <w:i/>
          <w:sz w:val="20"/>
        </w:rPr>
        <w:t xml:space="preserve"> certainly make the rule unclear as to whether or not using a mix applies in all cases.</w:t>
      </w:r>
    </w:p>
    <w:p w:rsidR="00DB7380" w:rsidRPr="00EB03BF" w:rsidRDefault="00DB7380" w:rsidP="00EB03BF">
      <w:pPr>
        <w:pStyle w:val="BodyText"/>
        <w:tabs>
          <w:tab w:val="left" w:pos="1080"/>
        </w:tabs>
        <w:jc w:val="both"/>
        <w:rPr>
          <w:rFonts w:ascii="Arial" w:hAnsi="Arial"/>
          <w:i/>
          <w:sz w:val="20"/>
        </w:rPr>
      </w:pPr>
      <w:r>
        <w:rPr>
          <w:rFonts w:ascii="Arial" w:hAnsi="Arial"/>
          <w:i/>
          <w:sz w:val="20"/>
        </w:rPr>
        <w:t>This lack of clarity about exactly what mitigation means are available occurs again in (k)(2)B) page 13 lines 4 through 6 where precise area requirements for restoration or enhancement projects are set out.</w:t>
      </w:r>
    </w:p>
    <w:sectPr w:rsidR="00DB7380" w:rsidRPr="00EB03BF" w:rsidSect="00FA3D2D">
      <w:footerReference w:type="default" r:id="rId7"/>
      <w:pgSz w:w="12240" w:h="15840"/>
      <w:pgMar w:top="1440"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17DD" w:rsidRDefault="009517DD" w:rsidP="004831E6">
      <w:r>
        <w:separator/>
      </w:r>
    </w:p>
  </w:endnote>
  <w:endnote w:type="continuationSeparator" w:id="0">
    <w:p w:rsidR="009517DD" w:rsidRDefault="009517DD" w:rsidP="004831E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D2D" w:rsidRPr="00FA3D2D" w:rsidRDefault="00FA3D2D">
    <w:pPr>
      <w:pStyle w:val="Footer"/>
      <w:jc w:val="right"/>
      <w:rPr>
        <w:rFonts w:ascii="Arial" w:hAnsi="Arial" w:cs="Arial"/>
      </w:rPr>
    </w:pPr>
    <w:r w:rsidRPr="00FA3D2D">
      <w:rPr>
        <w:rFonts w:ascii="Arial" w:hAnsi="Arial" w:cs="Arial"/>
      </w:rPr>
      <w:t xml:space="preserve">Page </w:t>
    </w:r>
    <w:r w:rsidRPr="00FA3D2D">
      <w:rPr>
        <w:rFonts w:ascii="Arial" w:hAnsi="Arial" w:cs="Arial"/>
      </w:rPr>
      <w:fldChar w:fldCharType="begin"/>
    </w:r>
    <w:r w:rsidRPr="00FA3D2D">
      <w:rPr>
        <w:rFonts w:ascii="Arial" w:hAnsi="Arial" w:cs="Arial"/>
      </w:rPr>
      <w:instrText xml:space="preserve"> PAGE   \* MERGEFORMAT </w:instrText>
    </w:r>
    <w:r w:rsidRPr="00FA3D2D">
      <w:rPr>
        <w:rFonts w:ascii="Arial" w:hAnsi="Arial" w:cs="Arial"/>
      </w:rPr>
      <w:fldChar w:fldCharType="separate"/>
    </w:r>
    <w:r w:rsidR="00DA511B">
      <w:rPr>
        <w:rFonts w:ascii="Arial" w:hAnsi="Arial" w:cs="Arial"/>
        <w:noProof/>
      </w:rPr>
      <w:t>3</w:t>
    </w:r>
    <w:r w:rsidRPr="00FA3D2D">
      <w:rPr>
        <w:rFonts w:ascii="Arial" w:hAnsi="Arial" w:cs="Arial"/>
      </w:rPr>
      <w:fldChar w:fldCharType="end"/>
    </w:r>
  </w:p>
  <w:p w:rsidR="005913B6" w:rsidRDefault="00FA3D2D" w:rsidP="00FA3D2D">
    <w:pPr>
      <w:pStyle w:val="Footer"/>
      <w:rPr>
        <w:rFonts w:ascii="Arial" w:hAnsi="Arial" w:cs="Arial"/>
        <w:sz w:val="22"/>
        <w:szCs w:val="22"/>
      </w:rPr>
    </w:pPr>
    <w:r>
      <w:rPr>
        <w:rFonts w:ascii="Arial" w:hAnsi="Arial" w:cs="Arial"/>
        <w:sz w:val="22"/>
        <w:szCs w:val="22"/>
      </w:rPr>
      <w:t>Joseph J DeLuca</w:t>
    </w:r>
  </w:p>
  <w:p w:rsidR="00FA3D2D" w:rsidRPr="00FA3D2D" w:rsidRDefault="00FA3D2D">
    <w:pPr>
      <w:pStyle w:val="Footer"/>
      <w:rPr>
        <w:rFonts w:ascii="Arial" w:hAnsi="Arial" w:cs="Arial"/>
        <w:sz w:val="22"/>
        <w:szCs w:val="22"/>
      </w:rPr>
    </w:pPr>
    <w:r>
      <w:rPr>
        <w:rFonts w:ascii="Arial" w:hAnsi="Arial" w:cs="Arial"/>
        <w:sz w:val="22"/>
        <w:szCs w:val="22"/>
      </w:rPr>
      <w:t>Commission Counsel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17DD" w:rsidRDefault="009517DD" w:rsidP="004831E6">
      <w:r>
        <w:separator/>
      </w:r>
    </w:p>
  </w:footnote>
  <w:footnote w:type="continuationSeparator" w:id="0">
    <w:p w:rsidR="009517DD" w:rsidRDefault="009517DD" w:rsidP="004831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045878"/>
    <w:multiLevelType w:val="hybridMultilevel"/>
    <w:tmpl w:val="E6887678"/>
    <w:lvl w:ilvl="0" w:tplc="5532F9C6">
      <w:start w:val="1"/>
      <w:numFmt w:val="decimal"/>
      <w:lvlText w:val="(%1)"/>
      <w:lvlJc w:val="left"/>
      <w:pPr>
        <w:ind w:left="1440" w:hanging="360"/>
      </w:pPr>
      <w:rPr>
        <w:rFonts w:ascii="Arial" w:eastAsia="Times New Roman" w:hAnsi="Arial"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3074"/>
  </w:hdrShapeDefaults>
  <w:footnotePr>
    <w:footnote w:id="-1"/>
    <w:footnote w:id="0"/>
  </w:footnotePr>
  <w:endnotePr>
    <w:endnote w:id="-1"/>
    <w:endnote w:id="0"/>
  </w:endnotePr>
  <w:compat/>
  <w:rsids>
    <w:rsidRoot w:val="00905D0C"/>
    <w:rsid w:val="00041E05"/>
    <w:rsid w:val="000C1E81"/>
    <w:rsid w:val="000C25E9"/>
    <w:rsid w:val="00100C40"/>
    <w:rsid w:val="0012757E"/>
    <w:rsid w:val="002071DC"/>
    <w:rsid w:val="003348DC"/>
    <w:rsid w:val="00364B28"/>
    <w:rsid w:val="00381986"/>
    <w:rsid w:val="0042259D"/>
    <w:rsid w:val="004831E6"/>
    <w:rsid w:val="00493F1B"/>
    <w:rsid w:val="004F220A"/>
    <w:rsid w:val="0050538A"/>
    <w:rsid w:val="005913B6"/>
    <w:rsid w:val="006E5535"/>
    <w:rsid w:val="0070344D"/>
    <w:rsid w:val="00722EF1"/>
    <w:rsid w:val="00815275"/>
    <w:rsid w:val="00860A17"/>
    <w:rsid w:val="00905D0C"/>
    <w:rsid w:val="00910631"/>
    <w:rsid w:val="009517DD"/>
    <w:rsid w:val="00A1155E"/>
    <w:rsid w:val="00A51D6C"/>
    <w:rsid w:val="00A7017A"/>
    <w:rsid w:val="00B37AB6"/>
    <w:rsid w:val="00B744CF"/>
    <w:rsid w:val="00B95EC7"/>
    <w:rsid w:val="00C32191"/>
    <w:rsid w:val="00C4329F"/>
    <w:rsid w:val="00CA21C9"/>
    <w:rsid w:val="00D52047"/>
    <w:rsid w:val="00DA511B"/>
    <w:rsid w:val="00DB7380"/>
    <w:rsid w:val="00DE0DBD"/>
    <w:rsid w:val="00E03CDA"/>
    <w:rsid w:val="00EB03BF"/>
    <w:rsid w:val="00F34EAF"/>
    <w:rsid w:val="00FA3D2D"/>
    <w:rsid w:val="00FA3E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D0C"/>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905D0C"/>
    <w:pPr>
      <w:jc w:val="center"/>
    </w:pPr>
    <w:rPr>
      <w:rFonts w:ascii="Arial" w:hAnsi="Arial"/>
      <w:b/>
      <w:smallCaps/>
      <w:sz w:val="24"/>
    </w:rPr>
  </w:style>
  <w:style w:type="paragraph" w:customStyle="1" w:styleId="Agencynames">
    <w:name w:val="Agency names"/>
    <w:basedOn w:val="Normal"/>
    <w:rsid w:val="00905D0C"/>
    <w:pPr>
      <w:spacing w:before="120" w:after="120"/>
    </w:pPr>
    <w:rPr>
      <w:b/>
      <w:sz w:val="24"/>
    </w:rPr>
  </w:style>
  <w:style w:type="paragraph" w:styleId="Header">
    <w:name w:val="header"/>
    <w:basedOn w:val="Normal"/>
    <w:rsid w:val="005913B6"/>
    <w:pPr>
      <w:tabs>
        <w:tab w:val="center" w:pos="4320"/>
        <w:tab w:val="right" w:pos="8640"/>
      </w:tabs>
    </w:pPr>
  </w:style>
  <w:style w:type="paragraph" w:styleId="Footer">
    <w:name w:val="footer"/>
    <w:basedOn w:val="Normal"/>
    <w:link w:val="FooterChar"/>
    <w:uiPriority w:val="99"/>
    <w:rsid w:val="005913B6"/>
    <w:pPr>
      <w:tabs>
        <w:tab w:val="center" w:pos="4320"/>
        <w:tab w:val="right" w:pos="8640"/>
      </w:tabs>
    </w:pPr>
  </w:style>
  <w:style w:type="character" w:customStyle="1" w:styleId="FooterChar">
    <w:name w:val="Footer Char"/>
    <w:basedOn w:val="DefaultParagraphFont"/>
    <w:link w:val="Footer"/>
    <w:uiPriority w:val="99"/>
    <w:rsid w:val="00FA3D2D"/>
  </w:style>
  <w:style w:type="paragraph" w:styleId="BalloonText">
    <w:name w:val="Balloon Text"/>
    <w:basedOn w:val="Normal"/>
    <w:link w:val="BalloonTextChar"/>
    <w:uiPriority w:val="99"/>
    <w:semiHidden/>
    <w:unhideWhenUsed/>
    <w:rsid w:val="00FA3D2D"/>
    <w:rPr>
      <w:rFonts w:ascii="Tahoma" w:hAnsi="Tahoma" w:cs="Tahoma"/>
      <w:sz w:val="16"/>
      <w:szCs w:val="16"/>
    </w:rPr>
  </w:style>
  <w:style w:type="character" w:customStyle="1" w:styleId="BalloonTextChar">
    <w:name w:val="Balloon Text Char"/>
    <w:link w:val="BalloonText"/>
    <w:uiPriority w:val="99"/>
    <w:semiHidden/>
    <w:rsid w:val="00FA3D2D"/>
    <w:rPr>
      <w:rFonts w:ascii="Tahoma" w:hAnsi="Tahoma" w:cs="Tahoma"/>
      <w:sz w:val="16"/>
      <w:szCs w:val="16"/>
    </w:rPr>
  </w:style>
  <w:style w:type="paragraph" w:styleId="DocumentMap">
    <w:name w:val="Document Map"/>
    <w:basedOn w:val="Normal"/>
    <w:link w:val="DocumentMapChar"/>
    <w:uiPriority w:val="99"/>
    <w:semiHidden/>
    <w:unhideWhenUsed/>
    <w:rsid w:val="00493F1B"/>
    <w:rPr>
      <w:rFonts w:ascii="Tahoma" w:hAnsi="Tahoma" w:cs="Tahoma"/>
      <w:sz w:val="16"/>
      <w:szCs w:val="16"/>
    </w:rPr>
  </w:style>
  <w:style w:type="character" w:customStyle="1" w:styleId="DocumentMapChar">
    <w:name w:val="Document Map Char"/>
    <w:link w:val="DocumentMap"/>
    <w:uiPriority w:val="99"/>
    <w:semiHidden/>
    <w:rsid w:val="00493F1B"/>
    <w:rPr>
      <w:rFonts w:ascii="Tahoma" w:hAnsi="Tahoma" w:cs="Tahoma"/>
      <w:sz w:val="16"/>
      <w:szCs w:val="16"/>
    </w:rPr>
  </w:style>
  <w:style w:type="paragraph" w:styleId="BodyText">
    <w:name w:val="Body Text"/>
    <w:basedOn w:val="Normal"/>
    <w:link w:val="BodyTextChar"/>
    <w:rsid w:val="00EB03BF"/>
    <w:pPr>
      <w:tabs>
        <w:tab w:val="left" w:pos="1296"/>
      </w:tabs>
      <w:snapToGrid w:val="0"/>
      <w:spacing w:before="240"/>
    </w:pPr>
    <w:rPr>
      <w:sz w:val="24"/>
    </w:rPr>
  </w:style>
  <w:style w:type="character" w:customStyle="1" w:styleId="BodyTextChar">
    <w:name w:val="Body Text Char"/>
    <w:link w:val="BodyText"/>
    <w:rsid w:val="00EB03BF"/>
    <w:rPr>
      <w:sz w:val="24"/>
    </w:rPr>
  </w:style>
</w:styles>
</file>

<file path=word/webSettings.xml><?xml version="1.0" encoding="utf-8"?>
<w:webSettings xmlns:r="http://schemas.openxmlformats.org/officeDocument/2006/relationships" xmlns:w="http://schemas.openxmlformats.org/wordprocessingml/2006/main">
  <w:divs>
    <w:div w:id="1205023129">
      <w:bodyDiv w:val="1"/>
      <w:marLeft w:val="0"/>
      <w:marRight w:val="0"/>
      <w:marTop w:val="0"/>
      <w:marBottom w:val="0"/>
      <w:divBdr>
        <w:top w:val="none" w:sz="0" w:space="0" w:color="auto"/>
        <w:left w:val="none" w:sz="0" w:space="0" w:color="auto"/>
        <w:bottom w:val="none" w:sz="0" w:space="0" w:color="auto"/>
        <w:right w:val="none" w:sz="0" w:space="0" w:color="auto"/>
      </w:divBdr>
    </w:div>
    <w:div w:id="159686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957</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RRC STAFF OPINION</vt:lpstr>
    </vt:vector>
  </TitlesOfParts>
  <Company/>
  <LinksUpToDate>false</LinksUpToDate>
  <CharactersWithSpaces>5649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RRC STAFF OPINION</dc:title>
  <dc:subject/>
  <dc:creator>Dad</dc:creator>
  <cp:keywords/>
  <cp:lastModifiedBy>NC Register</cp:lastModifiedBy>
  <cp:revision>4</cp:revision>
  <cp:lastPrinted>2013-06-06T14:00:00Z</cp:lastPrinted>
  <dcterms:created xsi:type="dcterms:W3CDTF">2013-06-06T13:59:00Z</dcterms:created>
  <dcterms:modified xsi:type="dcterms:W3CDTF">2013-06-06T14:00:00Z</dcterms:modified>
</cp:coreProperties>
</file>