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bookmarkStart w:id="0" w:name="_GoBack"/>
      <w:bookmarkEnd w:id="0"/>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771E6F">
        <w:rPr>
          <w:rFonts w:ascii="Arial" w:hAnsi="Arial" w:cs="Arial"/>
          <w:sz w:val="22"/>
          <w:szCs w:val="22"/>
        </w:rPr>
        <w:t>Environmental Management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71E6F">
        <w:rPr>
          <w:rFonts w:ascii="Arial" w:hAnsi="Arial" w:cs="Arial"/>
          <w:sz w:val="22"/>
          <w:szCs w:val="22"/>
        </w:rPr>
        <w:t>15A NCAC 02L .0202</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325EF">
        <w:rPr>
          <w:rFonts w:ascii="Arial" w:hAnsi="Arial" w:cs="Arial"/>
          <w:sz w:val="22"/>
          <w:szCs w:val="22"/>
        </w:rPr>
        <w:t>Friday, March 15,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71E6F" w:rsidRDefault="00771E6F" w:rsidP="00EC6D34">
      <w:pPr>
        <w:pStyle w:val="Paragraph"/>
        <w:rPr>
          <w:rFonts w:ascii="Arial" w:hAnsi="Arial" w:cs="Arial"/>
          <w:sz w:val="22"/>
          <w:szCs w:val="22"/>
        </w:rPr>
      </w:pPr>
    </w:p>
    <w:p w:rsidR="00771E6F" w:rsidRPr="009E3C6C" w:rsidRDefault="00771E6F" w:rsidP="00EC6D34">
      <w:pPr>
        <w:pStyle w:val="Paragraph"/>
        <w:rPr>
          <w:rFonts w:ascii="Arial" w:hAnsi="Arial" w:cs="Arial"/>
          <w:i/>
          <w:sz w:val="22"/>
          <w:szCs w:val="22"/>
        </w:rPr>
      </w:pPr>
      <w:r w:rsidRPr="009E3C6C">
        <w:rPr>
          <w:rFonts w:ascii="Arial" w:hAnsi="Arial" w:cs="Arial"/>
          <w:i/>
          <w:sz w:val="22"/>
          <w:szCs w:val="22"/>
        </w:rPr>
        <w:t xml:space="preserve">When published in the NC Register (Volume 26, Issue 21), the Commission offered several options </w:t>
      </w:r>
      <w:r w:rsidR="009E3C6C">
        <w:rPr>
          <w:rFonts w:ascii="Arial" w:hAnsi="Arial" w:cs="Arial"/>
          <w:i/>
          <w:sz w:val="22"/>
          <w:szCs w:val="22"/>
        </w:rPr>
        <w:t>for making the amendment</w:t>
      </w:r>
      <w:r w:rsidRPr="009E3C6C">
        <w:rPr>
          <w:rFonts w:ascii="Arial" w:hAnsi="Arial" w:cs="Arial"/>
          <w:i/>
          <w:sz w:val="22"/>
          <w:szCs w:val="22"/>
        </w:rPr>
        <w:t xml:space="preserve">.  In this filing, the Commission notes it combined Options 1 and 2 and added clarifying language.  </w:t>
      </w:r>
      <w:r w:rsidR="001C3AFB">
        <w:rPr>
          <w:rFonts w:ascii="Arial" w:hAnsi="Arial" w:cs="Arial"/>
          <w:i/>
          <w:sz w:val="22"/>
          <w:szCs w:val="22"/>
        </w:rPr>
        <w:t>Underline “With Changes” in the introductory statement.  Further, h</w:t>
      </w:r>
      <w:r w:rsidRPr="009E3C6C">
        <w:rPr>
          <w:rFonts w:ascii="Arial" w:hAnsi="Arial" w:cs="Arial"/>
          <w:i/>
          <w:sz w:val="22"/>
          <w:szCs w:val="22"/>
        </w:rPr>
        <w:t>ighlight</w:t>
      </w:r>
      <w:r w:rsidR="009E3C6C">
        <w:rPr>
          <w:rFonts w:ascii="Arial" w:hAnsi="Arial" w:cs="Arial"/>
          <w:i/>
          <w:sz w:val="22"/>
          <w:szCs w:val="22"/>
        </w:rPr>
        <w:t xml:space="preserve"> within the text of the Rule all</w:t>
      </w:r>
      <w:r w:rsidRPr="009E3C6C">
        <w:rPr>
          <w:rFonts w:ascii="Arial" w:hAnsi="Arial" w:cs="Arial"/>
          <w:i/>
          <w:sz w:val="22"/>
          <w:szCs w:val="22"/>
        </w:rPr>
        <w:t xml:space="preserve"> changes that were made after publication.  (See Rule</w:t>
      </w:r>
      <w:r w:rsidR="001C3AFB">
        <w:rPr>
          <w:rFonts w:ascii="Arial" w:hAnsi="Arial" w:cs="Arial"/>
          <w:i/>
          <w:sz w:val="22"/>
          <w:szCs w:val="22"/>
        </w:rPr>
        <w:t>s</w:t>
      </w:r>
      <w:r w:rsidRPr="009E3C6C">
        <w:rPr>
          <w:rFonts w:ascii="Arial" w:hAnsi="Arial" w:cs="Arial"/>
          <w:i/>
          <w:sz w:val="22"/>
          <w:szCs w:val="22"/>
        </w:rPr>
        <w:t xml:space="preserve"> 26 NCAC </w:t>
      </w:r>
      <w:r w:rsidR="00A93FCC">
        <w:rPr>
          <w:rFonts w:ascii="Arial" w:hAnsi="Arial" w:cs="Arial"/>
          <w:i/>
          <w:sz w:val="22"/>
          <w:szCs w:val="22"/>
        </w:rPr>
        <w:t xml:space="preserve">02C </w:t>
      </w:r>
      <w:r w:rsidR="001C3AFB">
        <w:rPr>
          <w:rFonts w:ascii="Arial" w:hAnsi="Arial" w:cs="Arial"/>
          <w:i/>
          <w:sz w:val="22"/>
          <w:szCs w:val="22"/>
        </w:rPr>
        <w:t xml:space="preserve">.0404 and </w:t>
      </w:r>
      <w:r w:rsidR="00A93FCC">
        <w:rPr>
          <w:rFonts w:ascii="Arial" w:hAnsi="Arial" w:cs="Arial"/>
          <w:i/>
          <w:sz w:val="22"/>
          <w:szCs w:val="22"/>
        </w:rPr>
        <w:t>.0405</w:t>
      </w:r>
      <w:r w:rsidRPr="009E3C6C">
        <w:rPr>
          <w:rFonts w:ascii="Arial" w:hAnsi="Arial" w:cs="Arial"/>
          <w:i/>
          <w:sz w:val="22"/>
          <w:szCs w:val="22"/>
        </w:rPr>
        <w:t>)</w:t>
      </w:r>
    </w:p>
    <w:p w:rsidR="00771E6F" w:rsidRPr="009E3C6C" w:rsidRDefault="00771E6F" w:rsidP="00EC6D34">
      <w:pPr>
        <w:pStyle w:val="Paragraph"/>
        <w:rPr>
          <w:rFonts w:ascii="Arial" w:hAnsi="Arial" w:cs="Arial"/>
          <w:i/>
          <w:sz w:val="22"/>
          <w:szCs w:val="22"/>
        </w:rPr>
      </w:pPr>
    </w:p>
    <w:p w:rsidR="00771E6F" w:rsidRPr="009E3C6C" w:rsidRDefault="00771E6F" w:rsidP="00EC6D34">
      <w:pPr>
        <w:pStyle w:val="Paragraph"/>
        <w:rPr>
          <w:rFonts w:ascii="Arial" w:hAnsi="Arial" w:cs="Arial"/>
          <w:i/>
          <w:sz w:val="22"/>
          <w:szCs w:val="22"/>
        </w:rPr>
      </w:pPr>
      <w:r w:rsidRPr="009E3C6C">
        <w:rPr>
          <w:rFonts w:ascii="Arial" w:hAnsi="Arial" w:cs="Arial"/>
          <w:i/>
          <w:sz w:val="22"/>
          <w:szCs w:val="22"/>
        </w:rPr>
        <w:t>In (e)(3), add “the” in front of U.S. EPA.</w:t>
      </w:r>
    </w:p>
    <w:p w:rsidR="00771E6F" w:rsidRPr="009E3C6C" w:rsidRDefault="00771E6F" w:rsidP="00EC6D34">
      <w:pPr>
        <w:pStyle w:val="Paragraph"/>
        <w:rPr>
          <w:rFonts w:ascii="Arial" w:hAnsi="Arial" w:cs="Arial"/>
          <w:i/>
          <w:sz w:val="22"/>
          <w:szCs w:val="22"/>
        </w:rPr>
      </w:pPr>
    </w:p>
    <w:p w:rsidR="00771E6F" w:rsidRPr="009E3C6C" w:rsidRDefault="00771E6F" w:rsidP="00EC6D34">
      <w:pPr>
        <w:pStyle w:val="Paragraph"/>
        <w:rPr>
          <w:rFonts w:ascii="Arial" w:hAnsi="Arial" w:cs="Arial"/>
          <w:i/>
          <w:sz w:val="22"/>
          <w:szCs w:val="22"/>
        </w:rPr>
      </w:pPr>
      <w:r w:rsidRPr="009E3C6C">
        <w:rPr>
          <w:rFonts w:ascii="Arial" w:hAnsi="Arial" w:cs="Arial"/>
          <w:i/>
          <w:sz w:val="22"/>
          <w:szCs w:val="22"/>
        </w:rPr>
        <w:t xml:space="preserve">In (f), end </w:t>
      </w:r>
      <w:r w:rsidR="00D325EF">
        <w:rPr>
          <w:rFonts w:ascii="Arial" w:hAnsi="Arial" w:cs="Arial"/>
          <w:i/>
          <w:sz w:val="22"/>
          <w:szCs w:val="22"/>
        </w:rPr>
        <w:t xml:space="preserve">line 17 with a colon.  End </w:t>
      </w:r>
      <w:r w:rsidRPr="009E3C6C">
        <w:rPr>
          <w:rFonts w:ascii="Arial" w:hAnsi="Arial" w:cs="Arial"/>
          <w:i/>
          <w:sz w:val="22"/>
          <w:szCs w:val="22"/>
        </w:rPr>
        <w:t>Subparagraphs (1) and (2) with a semicolon.</w:t>
      </w:r>
    </w:p>
    <w:p w:rsidR="00771E6F" w:rsidRPr="009E3C6C" w:rsidRDefault="00771E6F" w:rsidP="00EC6D34">
      <w:pPr>
        <w:pStyle w:val="Paragraph"/>
        <w:rPr>
          <w:rFonts w:ascii="Arial" w:hAnsi="Arial" w:cs="Arial"/>
          <w:i/>
          <w:sz w:val="22"/>
          <w:szCs w:val="22"/>
        </w:rPr>
      </w:pPr>
    </w:p>
    <w:p w:rsidR="00771E6F" w:rsidRPr="009E3C6C" w:rsidRDefault="00771E6F" w:rsidP="00EC6D34">
      <w:pPr>
        <w:pStyle w:val="Paragraph"/>
        <w:rPr>
          <w:rFonts w:ascii="Arial" w:hAnsi="Arial" w:cs="Arial"/>
          <w:i/>
          <w:sz w:val="22"/>
          <w:szCs w:val="22"/>
        </w:rPr>
      </w:pPr>
      <w:r w:rsidRPr="009E3C6C">
        <w:rPr>
          <w:rFonts w:ascii="Arial" w:hAnsi="Arial" w:cs="Arial"/>
          <w:i/>
          <w:sz w:val="22"/>
          <w:szCs w:val="22"/>
        </w:rPr>
        <w:t>In (f)(1), do not strike through and underline the sa</w:t>
      </w:r>
      <w:r w:rsidR="004B4054">
        <w:rPr>
          <w:rFonts w:ascii="Arial" w:hAnsi="Arial" w:cs="Arial"/>
          <w:i/>
          <w:sz w:val="22"/>
          <w:szCs w:val="22"/>
        </w:rPr>
        <w:t>me language.  A</w:t>
      </w:r>
      <w:r w:rsidRPr="009E3C6C">
        <w:rPr>
          <w:rFonts w:ascii="Arial" w:hAnsi="Arial" w:cs="Arial"/>
          <w:i/>
          <w:sz w:val="22"/>
          <w:szCs w:val="22"/>
        </w:rPr>
        <w:t xml:space="preserve">mend the sentence to state, </w:t>
      </w:r>
      <w:r w:rsidR="004B4054">
        <w:rPr>
          <w:rFonts w:ascii="Arial" w:hAnsi="Arial" w:cs="Arial"/>
          <w:i/>
          <w:sz w:val="22"/>
          <w:szCs w:val="22"/>
        </w:rPr>
        <w:t>“</w:t>
      </w:r>
      <w:r w:rsidRPr="009E3C6C">
        <w:rPr>
          <w:rFonts w:ascii="Arial" w:hAnsi="Arial" w:cs="Arial"/>
          <w:i/>
          <w:sz w:val="22"/>
          <w:szCs w:val="22"/>
        </w:rPr>
        <w:t>EPA health references listed in Paragraph (e) of this Rule”</w:t>
      </w:r>
    </w:p>
    <w:p w:rsidR="00EC6D34" w:rsidRPr="009E3C6C" w:rsidRDefault="00EC6D34" w:rsidP="00EC6D34">
      <w:pPr>
        <w:pStyle w:val="Base"/>
        <w:rPr>
          <w:rFonts w:ascii="Arial" w:hAnsi="Arial"/>
          <w:i/>
          <w:snapToGrid w:val="0"/>
          <w:sz w:val="22"/>
        </w:rPr>
      </w:pPr>
    </w:p>
    <w:p w:rsidR="00EC6D34" w:rsidRPr="009E3C6C" w:rsidRDefault="00771E6F" w:rsidP="00DB71AC">
      <w:pPr>
        <w:pStyle w:val="Base"/>
        <w:rPr>
          <w:rFonts w:ascii="Arial" w:hAnsi="Arial" w:cs="Arial"/>
          <w:i/>
          <w:sz w:val="22"/>
          <w:szCs w:val="22"/>
        </w:rPr>
      </w:pPr>
      <w:r w:rsidRPr="009E3C6C">
        <w:rPr>
          <w:rFonts w:ascii="Arial" w:hAnsi="Arial" w:cs="Arial"/>
          <w:i/>
          <w:sz w:val="22"/>
          <w:szCs w:val="22"/>
        </w:rPr>
        <w:t>In Paragraph (g) who will review the groundwater standards on a triennial basis?</w:t>
      </w:r>
    </w:p>
    <w:p w:rsidR="00771E6F" w:rsidRPr="009E3C6C" w:rsidRDefault="00771E6F" w:rsidP="00DB71AC">
      <w:pPr>
        <w:pStyle w:val="Base"/>
        <w:rPr>
          <w:rFonts w:ascii="Arial" w:hAnsi="Arial" w:cs="Arial"/>
          <w:i/>
          <w:sz w:val="22"/>
          <w:szCs w:val="22"/>
        </w:rPr>
      </w:pPr>
    </w:p>
    <w:p w:rsidR="00771E6F" w:rsidRPr="009E3C6C" w:rsidRDefault="00771E6F" w:rsidP="00DB71AC">
      <w:pPr>
        <w:pStyle w:val="Base"/>
        <w:rPr>
          <w:rFonts w:ascii="Arial" w:hAnsi="Arial" w:cs="Arial"/>
          <w:i/>
          <w:sz w:val="22"/>
          <w:szCs w:val="22"/>
        </w:rPr>
      </w:pPr>
      <w:r w:rsidRPr="009E3C6C">
        <w:rPr>
          <w:rFonts w:ascii="Arial" w:hAnsi="Arial" w:cs="Arial"/>
          <w:i/>
          <w:sz w:val="22"/>
          <w:szCs w:val="22"/>
        </w:rPr>
        <w:t>In Paragraph (h):</w:t>
      </w:r>
    </w:p>
    <w:p w:rsidR="00771E6F" w:rsidRDefault="00D325EF" w:rsidP="00DB71AC">
      <w:pPr>
        <w:pStyle w:val="Base"/>
        <w:rPr>
          <w:rFonts w:ascii="Arial" w:hAnsi="Arial" w:cs="Arial"/>
          <w:i/>
          <w:sz w:val="22"/>
          <w:szCs w:val="22"/>
        </w:rPr>
      </w:pPr>
      <w:r>
        <w:rPr>
          <w:rFonts w:ascii="Arial" w:hAnsi="Arial" w:cs="Arial"/>
          <w:i/>
          <w:sz w:val="22"/>
          <w:szCs w:val="22"/>
        </w:rPr>
        <w:tab/>
      </w:r>
    </w:p>
    <w:p w:rsidR="00D325EF" w:rsidRDefault="00D325EF" w:rsidP="00D325EF">
      <w:pPr>
        <w:pStyle w:val="Base"/>
        <w:ind w:left="720"/>
        <w:rPr>
          <w:rFonts w:ascii="Arial" w:hAnsi="Arial" w:cs="Arial"/>
          <w:i/>
          <w:sz w:val="22"/>
          <w:szCs w:val="22"/>
        </w:rPr>
      </w:pPr>
      <w:r>
        <w:rPr>
          <w:rFonts w:ascii="Arial" w:hAnsi="Arial" w:cs="Arial"/>
          <w:i/>
          <w:sz w:val="22"/>
          <w:szCs w:val="22"/>
        </w:rPr>
        <w:t>In (40), is there a reason that milliliters is spelled out, when all other units of measurement in the rule use abbreviations?</w:t>
      </w:r>
    </w:p>
    <w:p w:rsidR="00D325EF" w:rsidRPr="009E3C6C" w:rsidRDefault="00D325EF" w:rsidP="00D325EF">
      <w:pPr>
        <w:pStyle w:val="Base"/>
        <w:ind w:left="720"/>
        <w:rPr>
          <w:rFonts w:ascii="Arial" w:hAnsi="Arial" w:cs="Arial"/>
          <w:i/>
          <w:sz w:val="22"/>
          <w:szCs w:val="22"/>
        </w:rPr>
      </w:pPr>
    </w:p>
    <w:p w:rsidR="00771E6F" w:rsidRPr="009E3C6C" w:rsidRDefault="001C3AFB" w:rsidP="004B4054">
      <w:pPr>
        <w:pStyle w:val="Base"/>
        <w:ind w:left="720"/>
        <w:rPr>
          <w:rFonts w:ascii="Arial" w:hAnsi="Arial" w:cs="Arial"/>
          <w:i/>
          <w:sz w:val="22"/>
          <w:szCs w:val="22"/>
        </w:rPr>
      </w:pPr>
      <w:r>
        <w:rPr>
          <w:rFonts w:ascii="Arial" w:hAnsi="Arial" w:cs="Arial"/>
          <w:i/>
          <w:sz w:val="22"/>
          <w:szCs w:val="22"/>
        </w:rPr>
        <w:t xml:space="preserve">In </w:t>
      </w:r>
      <w:r w:rsidR="00771E6F" w:rsidRPr="009E3C6C">
        <w:rPr>
          <w:rFonts w:ascii="Arial" w:hAnsi="Arial" w:cs="Arial"/>
          <w:i/>
          <w:sz w:val="22"/>
          <w:szCs w:val="22"/>
        </w:rPr>
        <w:t>(45) and (46), in order to be consistent with the rest of the rule, spell out the chemical</w:t>
      </w:r>
      <w:r>
        <w:rPr>
          <w:rFonts w:ascii="Arial" w:hAnsi="Arial" w:cs="Arial"/>
          <w:i/>
          <w:sz w:val="22"/>
          <w:szCs w:val="22"/>
        </w:rPr>
        <w:t>s</w:t>
      </w:r>
      <w:r w:rsidR="00771E6F" w:rsidRPr="009E3C6C">
        <w:rPr>
          <w:rFonts w:ascii="Arial" w:hAnsi="Arial" w:cs="Arial"/>
          <w:i/>
          <w:sz w:val="22"/>
          <w:szCs w:val="22"/>
        </w:rPr>
        <w:t xml:space="preserve"> cited and put</w:t>
      </w:r>
      <w:r w:rsidR="004B4054">
        <w:rPr>
          <w:rFonts w:ascii="Arial" w:hAnsi="Arial" w:cs="Arial"/>
          <w:i/>
          <w:sz w:val="22"/>
          <w:szCs w:val="22"/>
        </w:rPr>
        <w:t xml:space="preserve"> the abbreviations in parentheses</w:t>
      </w:r>
    </w:p>
    <w:p w:rsidR="00771E6F" w:rsidRPr="009E3C6C" w:rsidRDefault="00771E6F" w:rsidP="00DB71AC">
      <w:pPr>
        <w:pStyle w:val="Base"/>
        <w:rPr>
          <w:rFonts w:ascii="Arial" w:hAnsi="Arial" w:cs="Arial"/>
          <w:i/>
          <w:sz w:val="22"/>
          <w:szCs w:val="22"/>
        </w:rPr>
      </w:pPr>
    </w:p>
    <w:p w:rsidR="00771E6F" w:rsidRPr="009E3C6C" w:rsidRDefault="00771E6F" w:rsidP="004B4054">
      <w:pPr>
        <w:pStyle w:val="Base"/>
        <w:ind w:left="720"/>
        <w:rPr>
          <w:rFonts w:ascii="Arial" w:hAnsi="Arial" w:cs="Arial"/>
          <w:i/>
          <w:sz w:val="22"/>
          <w:szCs w:val="22"/>
        </w:rPr>
      </w:pPr>
      <w:r w:rsidRPr="009E3C6C">
        <w:rPr>
          <w:rFonts w:ascii="Arial" w:hAnsi="Arial" w:cs="Arial"/>
          <w:i/>
          <w:sz w:val="22"/>
          <w:szCs w:val="22"/>
        </w:rPr>
        <w:t xml:space="preserve">In (59), strike though the original semicolon and underline </w:t>
      </w:r>
      <w:r w:rsidRPr="009E3C6C">
        <w:rPr>
          <w:rFonts w:ascii="Arial" w:hAnsi="Arial" w:cs="Arial"/>
          <w:i/>
          <w:sz w:val="22"/>
          <w:szCs w:val="22"/>
          <w:u w:val="single"/>
        </w:rPr>
        <w:t>350;</w:t>
      </w:r>
      <w:r w:rsidR="009E3C6C" w:rsidRPr="00FB05E5">
        <w:rPr>
          <w:rFonts w:ascii="Arial" w:hAnsi="Arial" w:cs="Arial"/>
          <w:i/>
          <w:sz w:val="22"/>
          <w:szCs w:val="22"/>
        </w:rPr>
        <w:t xml:space="preserve"> </w:t>
      </w:r>
      <w:r w:rsidR="00FB05E5">
        <w:rPr>
          <w:rFonts w:ascii="Arial" w:hAnsi="Arial" w:cs="Arial"/>
          <w:i/>
          <w:sz w:val="22"/>
          <w:szCs w:val="22"/>
        </w:rPr>
        <w:t>[see Rule 26 NCAC 02C .0108(7)]</w:t>
      </w:r>
    </w:p>
    <w:p w:rsidR="00771E6F" w:rsidRPr="009E3C6C" w:rsidRDefault="00771E6F" w:rsidP="00DB71AC">
      <w:pPr>
        <w:pStyle w:val="Base"/>
        <w:rPr>
          <w:rFonts w:ascii="Arial" w:hAnsi="Arial" w:cs="Arial"/>
          <w:i/>
          <w:sz w:val="22"/>
          <w:szCs w:val="22"/>
        </w:rPr>
      </w:pPr>
    </w:p>
    <w:p w:rsidR="00771E6F" w:rsidRPr="009E3C6C" w:rsidRDefault="00FB05E5" w:rsidP="004B4054">
      <w:pPr>
        <w:pStyle w:val="Base"/>
        <w:ind w:firstLine="720"/>
        <w:rPr>
          <w:rFonts w:ascii="Arial" w:hAnsi="Arial" w:cs="Arial"/>
          <w:i/>
          <w:sz w:val="22"/>
          <w:szCs w:val="22"/>
        </w:rPr>
      </w:pPr>
      <w:r>
        <w:rPr>
          <w:rFonts w:ascii="Arial" w:hAnsi="Arial" w:cs="Arial"/>
          <w:i/>
          <w:sz w:val="22"/>
          <w:szCs w:val="22"/>
        </w:rPr>
        <w:t>In (73)</w:t>
      </w:r>
      <w:r w:rsidR="00771E6F" w:rsidRPr="009E3C6C">
        <w:rPr>
          <w:rFonts w:ascii="Arial" w:hAnsi="Arial" w:cs="Arial"/>
          <w:i/>
          <w:sz w:val="22"/>
          <w:szCs w:val="22"/>
        </w:rPr>
        <w:t>, remove the first colon, so that it reads “Endrin, total (includes …):”</w:t>
      </w:r>
    </w:p>
    <w:p w:rsidR="00771E6F" w:rsidRPr="009E3C6C" w:rsidRDefault="00771E6F" w:rsidP="00DB71AC">
      <w:pPr>
        <w:pStyle w:val="Base"/>
        <w:rPr>
          <w:rFonts w:ascii="Arial" w:hAnsi="Arial" w:cs="Arial"/>
          <w:i/>
          <w:sz w:val="22"/>
          <w:szCs w:val="22"/>
        </w:rPr>
      </w:pPr>
    </w:p>
    <w:p w:rsidR="00771E6F" w:rsidRPr="009E3C6C" w:rsidRDefault="00771E6F" w:rsidP="004B4054">
      <w:pPr>
        <w:pStyle w:val="Base"/>
        <w:ind w:firstLine="720"/>
        <w:rPr>
          <w:rFonts w:ascii="Arial" w:hAnsi="Arial" w:cs="Arial"/>
          <w:i/>
          <w:sz w:val="22"/>
          <w:szCs w:val="22"/>
        </w:rPr>
      </w:pPr>
      <w:r w:rsidRPr="009E3C6C">
        <w:rPr>
          <w:rFonts w:ascii="Arial" w:hAnsi="Arial" w:cs="Arial"/>
          <w:i/>
          <w:sz w:val="22"/>
          <w:szCs w:val="22"/>
        </w:rPr>
        <w:t>In (111) and (112), move the colon, so that it reads “Nitrate (as N):”</w:t>
      </w:r>
      <w:r w:rsidR="009E3C6C" w:rsidRPr="009E3C6C">
        <w:rPr>
          <w:rFonts w:ascii="Arial" w:hAnsi="Arial" w:cs="Arial"/>
          <w:i/>
          <w:sz w:val="22"/>
          <w:szCs w:val="22"/>
        </w:rPr>
        <w:t xml:space="preserve">  and “Nitrite (as N):”</w:t>
      </w:r>
    </w:p>
    <w:p w:rsidR="009E3C6C" w:rsidRPr="009E3C6C" w:rsidRDefault="009E3C6C" w:rsidP="00DB71AC">
      <w:pPr>
        <w:pStyle w:val="Base"/>
        <w:rPr>
          <w:rFonts w:ascii="Arial" w:hAnsi="Arial" w:cs="Arial"/>
          <w:i/>
          <w:sz w:val="22"/>
          <w:szCs w:val="22"/>
        </w:rPr>
      </w:pPr>
    </w:p>
    <w:p w:rsidR="009E3C6C" w:rsidRPr="009E3C6C" w:rsidRDefault="009E3C6C" w:rsidP="004B4054">
      <w:pPr>
        <w:pStyle w:val="Base"/>
        <w:ind w:firstLine="720"/>
        <w:rPr>
          <w:rFonts w:ascii="Arial" w:hAnsi="Arial" w:cs="Arial"/>
          <w:i/>
          <w:sz w:val="22"/>
          <w:szCs w:val="22"/>
        </w:rPr>
      </w:pPr>
      <w:r w:rsidRPr="009E3C6C">
        <w:rPr>
          <w:rFonts w:ascii="Arial" w:hAnsi="Arial" w:cs="Arial"/>
          <w:i/>
          <w:sz w:val="22"/>
          <w:szCs w:val="22"/>
        </w:rPr>
        <w:t>In (136) remove the spaces within the compound name, so it reads “2,4,5-TP (Silvex)”</w:t>
      </w:r>
    </w:p>
    <w:p w:rsidR="009E3C6C" w:rsidRPr="009E3C6C" w:rsidRDefault="004B4054" w:rsidP="00DB71AC">
      <w:pPr>
        <w:pStyle w:val="Base"/>
        <w:rPr>
          <w:rFonts w:ascii="Arial" w:hAnsi="Arial" w:cs="Arial"/>
          <w:i/>
          <w:sz w:val="22"/>
          <w:szCs w:val="22"/>
        </w:rPr>
      </w:pPr>
      <w:r>
        <w:rPr>
          <w:rFonts w:ascii="Arial" w:hAnsi="Arial" w:cs="Arial"/>
          <w:i/>
          <w:sz w:val="22"/>
          <w:szCs w:val="22"/>
        </w:rPr>
        <w:lastRenderedPageBreak/>
        <w:tab/>
      </w:r>
    </w:p>
    <w:p w:rsidR="009E3C6C" w:rsidRPr="009E3C6C" w:rsidRDefault="009E3C6C" w:rsidP="004B4054">
      <w:pPr>
        <w:pStyle w:val="Base"/>
        <w:rPr>
          <w:rFonts w:ascii="Arial" w:hAnsi="Arial" w:cs="Arial"/>
          <w:i/>
          <w:sz w:val="22"/>
          <w:szCs w:val="22"/>
        </w:rPr>
      </w:pPr>
      <w:r w:rsidRPr="009E3C6C">
        <w:rPr>
          <w:rFonts w:ascii="Arial" w:hAnsi="Arial" w:cs="Arial"/>
          <w:i/>
          <w:sz w:val="22"/>
          <w:szCs w:val="22"/>
        </w:rPr>
        <w:t>In Paragraph (i), in order to be consistent within the Rule, shouldn’t “total dissolved solids” be “diss</w:t>
      </w:r>
      <w:r w:rsidR="00D325EF">
        <w:rPr>
          <w:rFonts w:ascii="Arial" w:hAnsi="Arial" w:cs="Arial"/>
          <w:i/>
          <w:sz w:val="22"/>
          <w:szCs w:val="22"/>
        </w:rPr>
        <w:t>olved solids (total)”?  Also, capitaliz</w:t>
      </w:r>
      <w:r w:rsidRPr="009E3C6C">
        <w:rPr>
          <w:rFonts w:ascii="Arial" w:hAnsi="Arial" w:cs="Arial"/>
          <w:i/>
          <w:sz w:val="22"/>
          <w:szCs w:val="22"/>
        </w:rPr>
        <w:t xml:space="preserve">e </w:t>
      </w:r>
      <w:r w:rsidR="001A063A">
        <w:rPr>
          <w:rFonts w:ascii="Arial" w:hAnsi="Arial" w:cs="Arial"/>
          <w:i/>
          <w:sz w:val="22"/>
          <w:szCs w:val="22"/>
        </w:rPr>
        <w:t xml:space="preserve">the L on line 34 so that </w:t>
      </w:r>
      <w:r w:rsidR="00D325EF">
        <w:rPr>
          <w:rFonts w:ascii="Arial" w:hAnsi="Arial" w:cs="Arial"/>
          <w:i/>
          <w:sz w:val="22"/>
          <w:szCs w:val="22"/>
        </w:rPr>
        <w:t xml:space="preserve">the reference reads </w:t>
      </w:r>
      <w:r w:rsidRPr="009E3C6C">
        <w:rPr>
          <w:rFonts w:ascii="Arial" w:hAnsi="Arial" w:cs="Arial"/>
          <w:i/>
          <w:sz w:val="22"/>
          <w:szCs w:val="22"/>
        </w:rPr>
        <w:t>“mg/L”.</w:t>
      </w:r>
    </w:p>
    <w:p w:rsidR="009E3C6C" w:rsidRPr="009E3C6C" w:rsidRDefault="009E3C6C" w:rsidP="00DB71AC">
      <w:pPr>
        <w:pStyle w:val="Base"/>
        <w:rPr>
          <w:rFonts w:ascii="Arial" w:hAnsi="Arial" w:cs="Arial"/>
          <w:i/>
          <w:sz w:val="22"/>
          <w:szCs w:val="22"/>
        </w:rPr>
      </w:pPr>
    </w:p>
    <w:p w:rsidR="009E3C6C" w:rsidRPr="009E3C6C" w:rsidRDefault="009E3C6C" w:rsidP="00DB71AC">
      <w:pPr>
        <w:pStyle w:val="Base"/>
        <w:rPr>
          <w:rFonts w:ascii="Arial" w:hAnsi="Arial" w:cs="Arial"/>
          <w:i/>
          <w:sz w:val="22"/>
          <w:szCs w:val="22"/>
        </w:rPr>
      </w:pPr>
      <w:r w:rsidRPr="009E3C6C">
        <w:rPr>
          <w:rFonts w:ascii="Arial" w:hAnsi="Arial" w:cs="Arial"/>
          <w:i/>
          <w:sz w:val="22"/>
          <w:szCs w:val="22"/>
        </w:rPr>
        <w:t>In paragraph (j), in order to maintain consistency within the Rule, shouldn’t it be “Class GC Standards”?  And who is the actor who cannot cause the exceeding or migration of the concentrations of substances?</w:t>
      </w:r>
    </w:p>
    <w:p w:rsidR="00771E6F" w:rsidRDefault="00771E6F" w:rsidP="00DB71AC">
      <w:pPr>
        <w:pStyle w:val="Base"/>
        <w:rPr>
          <w:rFonts w:ascii="Arial" w:hAnsi="Arial" w:cs="Arial"/>
          <w:sz w:val="22"/>
          <w:szCs w:val="22"/>
        </w:rPr>
      </w:pPr>
    </w:p>
    <w:p w:rsidR="00771E6F" w:rsidRDefault="00771E6F"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sectPr w:rsidR="00EC6D34"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B48" w:rsidRDefault="00453B48">
      <w:r>
        <w:separator/>
      </w:r>
    </w:p>
  </w:endnote>
  <w:endnote w:type="continuationSeparator" w:id="0">
    <w:p w:rsidR="00453B48" w:rsidRDefault="0045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1C3AFB"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B48" w:rsidRDefault="00453B48">
      <w:r>
        <w:separator/>
      </w:r>
    </w:p>
  </w:footnote>
  <w:footnote w:type="continuationSeparator" w:id="0">
    <w:p w:rsidR="00453B48" w:rsidRDefault="00453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063A"/>
    <w:rsid w:val="001A7FD4"/>
    <w:rsid w:val="001B1B49"/>
    <w:rsid w:val="001B36B2"/>
    <w:rsid w:val="001B3D27"/>
    <w:rsid w:val="001B5F52"/>
    <w:rsid w:val="001B7094"/>
    <w:rsid w:val="001B7CC4"/>
    <w:rsid w:val="001B7FF6"/>
    <w:rsid w:val="001C111F"/>
    <w:rsid w:val="001C3AFB"/>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3B48"/>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B4054"/>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1E6F"/>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3C6C"/>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1F7"/>
    <w:rsid w:val="00A70B9F"/>
    <w:rsid w:val="00A733C6"/>
    <w:rsid w:val="00A76FE4"/>
    <w:rsid w:val="00A817A5"/>
    <w:rsid w:val="00A836DC"/>
    <w:rsid w:val="00A83EE9"/>
    <w:rsid w:val="00A93FCC"/>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325EF"/>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06B3"/>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549F"/>
    <w:rsid w:val="00F566A8"/>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05E5"/>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2013-03-05T20:17:00Z</dcterms:created>
  <dcterms:modified xsi:type="dcterms:W3CDTF">2013-03-05T20:17:00Z</dcterms:modified>
</cp:coreProperties>
</file>