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BF" w:rsidRPr="00D605F6" w:rsidRDefault="00364EBF" w:rsidP="00364EBF">
      <w:pPr>
        <w:pStyle w:val="Paragraph"/>
        <w:jc w:val="center"/>
        <w:rPr>
          <w:rFonts w:ascii="Arial Black" w:hAnsi="Arial Black"/>
          <w:b/>
          <w:u w:val="single"/>
        </w:rPr>
      </w:pPr>
      <w:r w:rsidRPr="00D605F6">
        <w:rPr>
          <w:rFonts w:ascii="Arial Black" w:hAnsi="Arial Black"/>
          <w:b/>
          <w:u w:val="single"/>
        </w:rPr>
        <w:t>RRC STAFF OPINION</w:t>
      </w:r>
    </w:p>
    <w:p w:rsidR="00364EBF" w:rsidRDefault="00364EBF" w:rsidP="00364EBF">
      <w:pPr>
        <w:pStyle w:val="Paragraph"/>
        <w:jc w:val="center"/>
        <w:rPr>
          <w:b/>
          <w:u w:val="single"/>
        </w:rPr>
      </w:pPr>
    </w:p>
    <w:p w:rsidR="00364EBF" w:rsidRPr="00364EBF" w:rsidRDefault="00364EBF" w:rsidP="00364EBF">
      <w:pPr>
        <w:pStyle w:val="Paragraph"/>
        <w:jc w:val="center"/>
        <w:rPr>
          <w:b/>
          <w:u w:val="single"/>
        </w:rPr>
      </w:pPr>
    </w:p>
    <w:p w:rsidR="00364EBF" w:rsidRPr="00F10C6D" w:rsidRDefault="00364EBF" w:rsidP="00364EBF">
      <w:pPr>
        <w:pStyle w:val="Paragraph"/>
        <w:rPr>
          <w:rFonts w:ascii="Arial" w:hAnsi="Arial" w:cs="Arial"/>
          <w:i/>
          <w:smallCaps/>
        </w:rPr>
      </w:pPr>
      <w:r w:rsidRPr="00F10C6D">
        <w:rPr>
          <w:rFonts w:ascii="Arial" w:hAnsi="Arial" w:cs="Arial"/>
          <w:i/>
          <w:smallCaps/>
        </w:rPr>
        <w:tab/>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0857C5" w:rsidRDefault="000857C5" w:rsidP="00364EBF">
      <w:pPr>
        <w:rPr>
          <w:rFonts w:ascii="Arial" w:hAnsi="Arial" w:cs="Arial"/>
        </w:rPr>
      </w:pPr>
    </w:p>
    <w:p w:rsidR="00364EBF" w:rsidRDefault="00364EBF" w:rsidP="00364EBF">
      <w:pPr>
        <w:rPr>
          <w:rFonts w:ascii="Arial" w:hAnsi="Arial" w:cs="Arial"/>
        </w:rPr>
      </w:pPr>
      <w:r w:rsidRPr="000857C5">
        <w:rPr>
          <w:rFonts w:ascii="Arial" w:hAnsi="Arial" w:cs="Arial"/>
        </w:rPr>
        <w:t>AGENCY:</w:t>
      </w:r>
      <w:r w:rsidRPr="000857C5">
        <w:rPr>
          <w:rFonts w:ascii="Arial" w:hAnsi="Arial" w:cs="Arial"/>
        </w:rPr>
        <w:tab/>
      </w:r>
      <w:r w:rsidR="001779FE">
        <w:rPr>
          <w:rFonts w:ascii="Arial" w:hAnsi="Arial" w:cs="Arial"/>
        </w:rPr>
        <w:t xml:space="preserve">N.C. </w:t>
      </w:r>
      <w:r w:rsidR="001D05DB">
        <w:rPr>
          <w:rFonts w:ascii="Arial" w:hAnsi="Arial" w:cs="Arial"/>
        </w:rPr>
        <w:t>BOARD OF CHIROPRACTIC EXAMINERS</w:t>
      </w:r>
    </w:p>
    <w:p w:rsidR="000857C5" w:rsidRPr="000857C5" w:rsidRDefault="000857C5" w:rsidP="00364EBF">
      <w:pPr>
        <w:rPr>
          <w:rFonts w:ascii="Arial" w:hAnsi="Arial" w:cs="Arial"/>
        </w:rPr>
      </w:pPr>
    </w:p>
    <w:p w:rsidR="00364EBF" w:rsidRDefault="00364EBF" w:rsidP="00364EBF">
      <w:pPr>
        <w:rPr>
          <w:rFonts w:ascii="Arial" w:hAnsi="Arial" w:cs="Arial"/>
        </w:rPr>
      </w:pPr>
      <w:r w:rsidRPr="000857C5">
        <w:rPr>
          <w:rFonts w:ascii="Arial" w:hAnsi="Arial" w:cs="Arial"/>
        </w:rPr>
        <w:t xml:space="preserve">RULE CITATION:  </w:t>
      </w:r>
      <w:r w:rsidR="001D05DB">
        <w:rPr>
          <w:rFonts w:ascii="Arial" w:hAnsi="Arial" w:cs="Arial"/>
        </w:rPr>
        <w:t>21 NCAC 10 .0</w:t>
      </w:r>
      <w:r w:rsidR="00DC26AB">
        <w:rPr>
          <w:rFonts w:ascii="Arial" w:hAnsi="Arial" w:cs="Arial"/>
        </w:rPr>
        <w:t>211</w:t>
      </w:r>
    </w:p>
    <w:p w:rsidR="000857C5" w:rsidRPr="000857C5" w:rsidRDefault="000857C5" w:rsidP="00364EBF">
      <w:pPr>
        <w:rPr>
          <w:rFonts w:ascii="Arial" w:hAnsi="Arial" w:cs="Arial"/>
        </w:rPr>
      </w:pPr>
    </w:p>
    <w:p w:rsidR="00364EBF" w:rsidRPr="000857C5" w:rsidRDefault="00364EBF" w:rsidP="000857C5">
      <w:pPr>
        <w:spacing w:line="360" w:lineRule="auto"/>
        <w:rPr>
          <w:rFonts w:ascii="Arial" w:hAnsi="Arial" w:cs="Arial"/>
        </w:rPr>
      </w:pPr>
      <w:r w:rsidRPr="000857C5">
        <w:rPr>
          <w:rFonts w:ascii="Arial" w:hAnsi="Arial" w:cs="Arial"/>
        </w:rPr>
        <w:t>RECOMMENDED ACTION:</w:t>
      </w:r>
    </w:p>
    <w:p w:rsidR="00364EBF" w:rsidRPr="000857C5" w:rsidRDefault="00364EBF" w:rsidP="000857C5">
      <w:pPr>
        <w:spacing w:line="360" w:lineRule="auto"/>
        <w:rPr>
          <w:rFonts w:ascii="Arial" w:hAnsi="Arial" w:cs="Arial"/>
        </w:rPr>
      </w:pPr>
      <w:r w:rsidRPr="000857C5">
        <w:rPr>
          <w:rFonts w:ascii="Arial" w:hAnsi="Arial" w:cs="Arial"/>
        </w:rPr>
        <w:tab/>
        <w:t>Approve, but note staff’s comment</w:t>
      </w:r>
    </w:p>
    <w:p w:rsidR="00364EBF" w:rsidRPr="000857C5" w:rsidRDefault="00364EBF" w:rsidP="000857C5">
      <w:pPr>
        <w:spacing w:line="360" w:lineRule="auto"/>
        <w:rPr>
          <w:rFonts w:ascii="Arial" w:hAnsi="Arial" w:cs="Arial"/>
        </w:rPr>
      </w:pPr>
      <w:r w:rsidRPr="000857C5">
        <w:rPr>
          <w:rFonts w:ascii="Arial" w:hAnsi="Arial" w:cs="Arial"/>
        </w:rPr>
        <w:t>X</w:t>
      </w:r>
      <w:r w:rsidRPr="000857C5">
        <w:rPr>
          <w:rFonts w:ascii="Arial" w:hAnsi="Arial" w:cs="Arial"/>
        </w:rPr>
        <w:tab/>
        <w:t>Object, based on:</w:t>
      </w:r>
    </w:p>
    <w:p w:rsidR="00364EBF" w:rsidRPr="000857C5" w:rsidRDefault="00364EBF" w:rsidP="000857C5">
      <w:pPr>
        <w:spacing w:line="360" w:lineRule="auto"/>
        <w:rPr>
          <w:rFonts w:ascii="Arial" w:hAnsi="Arial" w:cs="Arial"/>
        </w:rPr>
      </w:pPr>
      <w:r w:rsidRPr="000857C5">
        <w:rPr>
          <w:rFonts w:ascii="Arial" w:hAnsi="Arial" w:cs="Arial"/>
        </w:rPr>
        <w:tab/>
      </w:r>
      <w:r w:rsidR="00D755E0">
        <w:rPr>
          <w:rFonts w:ascii="Arial" w:hAnsi="Arial" w:cs="Arial"/>
        </w:rPr>
        <w:t>X</w:t>
      </w:r>
      <w:r w:rsidRPr="000857C5">
        <w:rPr>
          <w:rFonts w:ascii="Arial" w:hAnsi="Arial" w:cs="Arial"/>
        </w:rPr>
        <w:tab/>
        <w:t>Lack of statutory authority</w:t>
      </w:r>
    </w:p>
    <w:p w:rsidR="00364EBF" w:rsidRPr="000857C5" w:rsidRDefault="000857C5" w:rsidP="000857C5">
      <w:pPr>
        <w:spacing w:line="360" w:lineRule="auto"/>
        <w:rPr>
          <w:rFonts w:ascii="Arial" w:hAnsi="Arial" w:cs="Arial"/>
        </w:rPr>
      </w:pPr>
      <w:r>
        <w:rPr>
          <w:rFonts w:ascii="Arial" w:hAnsi="Arial" w:cs="Arial"/>
        </w:rPr>
        <w:tab/>
      </w:r>
      <w:r w:rsidR="00364EBF" w:rsidRPr="000857C5">
        <w:rPr>
          <w:rFonts w:ascii="Arial" w:hAnsi="Arial" w:cs="Arial"/>
        </w:rPr>
        <w:tab/>
        <w:t>Unclear or ambiguous</w:t>
      </w:r>
    </w:p>
    <w:p w:rsidR="00364EBF" w:rsidRPr="000857C5" w:rsidRDefault="00364EBF" w:rsidP="000857C5">
      <w:pPr>
        <w:spacing w:line="360" w:lineRule="auto"/>
        <w:rPr>
          <w:rFonts w:ascii="Arial" w:hAnsi="Arial" w:cs="Arial"/>
        </w:rPr>
      </w:pPr>
      <w:r w:rsidRPr="000857C5">
        <w:rPr>
          <w:rFonts w:ascii="Arial" w:hAnsi="Arial" w:cs="Arial"/>
        </w:rPr>
        <w:tab/>
      </w:r>
      <w:r w:rsidRPr="000857C5">
        <w:rPr>
          <w:rFonts w:ascii="Arial" w:hAnsi="Arial" w:cs="Arial"/>
        </w:rPr>
        <w:tab/>
        <w:t>Unnecessary</w:t>
      </w:r>
    </w:p>
    <w:p w:rsidR="00364EBF" w:rsidRPr="000857C5" w:rsidRDefault="00364EBF" w:rsidP="000857C5">
      <w:pPr>
        <w:spacing w:line="360" w:lineRule="auto"/>
        <w:rPr>
          <w:rFonts w:ascii="Arial" w:hAnsi="Arial" w:cs="Arial"/>
        </w:rPr>
      </w:pPr>
      <w:r w:rsidRPr="000857C5">
        <w:rPr>
          <w:rFonts w:ascii="Arial" w:hAnsi="Arial" w:cs="Arial"/>
        </w:rPr>
        <w:tab/>
      </w:r>
      <w:r w:rsidRPr="000857C5">
        <w:rPr>
          <w:rFonts w:ascii="Arial" w:hAnsi="Arial" w:cs="Arial"/>
        </w:rPr>
        <w:tab/>
        <w:t>Failure to comply with the APA</w:t>
      </w:r>
    </w:p>
    <w:p w:rsidR="00364EBF" w:rsidRPr="000857C5" w:rsidRDefault="00364EBF" w:rsidP="000857C5">
      <w:pPr>
        <w:spacing w:line="360" w:lineRule="auto"/>
        <w:rPr>
          <w:rFonts w:ascii="Arial" w:hAnsi="Arial" w:cs="Arial"/>
        </w:rPr>
      </w:pPr>
      <w:r w:rsidRPr="000857C5">
        <w:rPr>
          <w:rFonts w:ascii="Arial" w:hAnsi="Arial" w:cs="Arial"/>
        </w:rPr>
        <w:tab/>
        <w:t>Extend the period of review</w:t>
      </w:r>
    </w:p>
    <w:p w:rsidR="00364EBF" w:rsidRPr="000857C5" w:rsidRDefault="00364EBF" w:rsidP="00FD0E06">
      <w:pPr>
        <w:rPr>
          <w:rFonts w:ascii="Arial" w:hAnsi="Arial" w:cs="Arial"/>
          <w:i/>
        </w:rPr>
      </w:pPr>
      <w:r w:rsidRPr="000857C5">
        <w:rPr>
          <w:rFonts w:ascii="Arial" w:hAnsi="Arial" w:cs="Arial"/>
        </w:rPr>
        <w:t>COMMENT:</w:t>
      </w:r>
      <w:r w:rsidRPr="000857C5">
        <w:rPr>
          <w:rFonts w:ascii="Arial" w:hAnsi="Arial" w:cs="Arial"/>
          <w:i/>
        </w:rPr>
        <w:tab/>
      </w:r>
    </w:p>
    <w:p w:rsidR="00364EBF" w:rsidRDefault="00DC26AB" w:rsidP="00FD0E06">
      <w:pPr>
        <w:spacing w:before="120" w:after="120"/>
        <w:rPr>
          <w:rFonts w:ascii="Arial" w:hAnsi="Arial" w:cs="Arial"/>
          <w:i/>
        </w:rPr>
      </w:pPr>
      <w:r>
        <w:rPr>
          <w:rFonts w:ascii="Arial" w:hAnsi="Arial" w:cs="Arial"/>
          <w:i/>
        </w:rPr>
        <w:t>Counsel believes that based on the authority cited the board does have the authority to set restrictions on those who provide</w:t>
      </w:r>
      <w:r w:rsidR="002C7E81">
        <w:rPr>
          <w:rFonts w:ascii="Arial" w:hAnsi="Arial" w:cs="Arial"/>
          <w:i/>
        </w:rPr>
        <w:t xml:space="preserve"> financing or</w:t>
      </w:r>
      <w:r>
        <w:rPr>
          <w:rFonts w:ascii="Arial" w:hAnsi="Arial" w:cs="Arial"/>
          <w:i/>
        </w:rPr>
        <w:t xml:space="preserve"> management services to chiropractic practices.</w:t>
      </w:r>
      <w:r w:rsidR="002C7E81">
        <w:rPr>
          <w:rFonts w:ascii="Arial" w:hAnsi="Arial" w:cs="Arial"/>
          <w:i/>
        </w:rPr>
        <w:t xml:space="preserve"> More properly speaking they have the right to set limits on the agreements covering the provision of those services.</w:t>
      </w:r>
      <w:r>
        <w:rPr>
          <w:rFonts w:ascii="Arial" w:hAnsi="Arial" w:cs="Arial"/>
          <w:i/>
        </w:rPr>
        <w:t xml:space="preserve"> In doing so they have the right to review the contractual relations and have the right to require the contract be in writing and set the entire terms of the agreement in writing.</w:t>
      </w:r>
    </w:p>
    <w:p w:rsidR="00DC26AB" w:rsidRDefault="00DC26AB" w:rsidP="00FD0E06">
      <w:pPr>
        <w:spacing w:before="120" w:after="120"/>
        <w:rPr>
          <w:rFonts w:ascii="Arial" w:hAnsi="Arial" w:cs="Arial"/>
          <w:i/>
        </w:rPr>
      </w:pPr>
      <w:r>
        <w:rPr>
          <w:rFonts w:ascii="Arial" w:hAnsi="Arial" w:cs="Arial"/>
          <w:i/>
        </w:rPr>
        <w:t xml:space="preserve">This authority is derived </w:t>
      </w:r>
      <w:r w:rsidR="00D755E0">
        <w:rPr>
          <w:rFonts w:ascii="Arial" w:hAnsi="Arial" w:cs="Arial"/>
          <w:i/>
        </w:rPr>
        <w:t>from G.S. 90-157.3 which limits the ownership of a chiropractic practice to a</w:t>
      </w:r>
      <w:r w:rsidR="00061E94">
        <w:rPr>
          <w:rFonts w:ascii="Arial" w:hAnsi="Arial" w:cs="Arial"/>
          <w:i/>
        </w:rPr>
        <w:t>n</w:t>
      </w:r>
      <w:r w:rsidR="00D755E0">
        <w:rPr>
          <w:rFonts w:ascii="Arial" w:hAnsi="Arial" w:cs="Arial"/>
          <w:i/>
        </w:rPr>
        <w:t xml:space="preserve"> NC licensed chiropractor and any participation in the control over a practice to a</w:t>
      </w:r>
      <w:r w:rsidR="00061E94">
        <w:rPr>
          <w:rFonts w:ascii="Arial" w:hAnsi="Arial" w:cs="Arial"/>
          <w:i/>
        </w:rPr>
        <w:t>n</w:t>
      </w:r>
      <w:r w:rsidR="00D755E0">
        <w:rPr>
          <w:rFonts w:ascii="Arial" w:hAnsi="Arial" w:cs="Arial"/>
          <w:i/>
        </w:rPr>
        <w:t xml:space="preserve"> NC licensed chiropractor. The authority is also derived from G.S. 90-142 which allows the board to “adopt suitable rules and regulations for the … enforcement” of the practice act.</w:t>
      </w:r>
    </w:p>
    <w:p w:rsidR="00D755E0" w:rsidRDefault="002C7E81" w:rsidP="00FD0E06">
      <w:pPr>
        <w:spacing w:before="120" w:after="120"/>
        <w:rPr>
          <w:rFonts w:ascii="Arial" w:hAnsi="Arial" w:cs="Arial"/>
          <w:i/>
        </w:rPr>
      </w:pPr>
      <w:r>
        <w:rPr>
          <w:rFonts w:ascii="Arial" w:hAnsi="Arial" w:cs="Arial"/>
          <w:i/>
        </w:rPr>
        <w:t xml:space="preserve">In order to determine whether the management services agreements are proper and do not improperly restrict the independence and control of the practitioner the board must be able to review the entire agreement. To do this they are within their authority to require that the agreement be in writing. And </w:t>
      </w:r>
      <w:r w:rsidR="00D755E0">
        <w:rPr>
          <w:rFonts w:ascii="Arial" w:hAnsi="Arial" w:cs="Arial"/>
          <w:i/>
        </w:rPr>
        <w:t>any provisions within a management services agreement affecting “the control of the practice” would be properly within the review authority of the board.</w:t>
      </w:r>
    </w:p>
    <w:p w:rsidR="00D755E0" w:rsidRDefault="00D755E0" w:rsidP="00FD0E06">
      <w:pPr>
        <w:spacing w:before="120" w:after="120"/>
        <w:rPr>
          <w:rFonts w:ascii="Arial" w:hAnsi="Arial" w:cs="Arial"/>
          <w:i/>
        </w:rPr>
      </w:pPr>
      <w:r>
        <w:rPr>
          <w:rFonts w:ascii="Arial" w:hAnsi="Arial" w:cs="Arial"/>
          <w:i/>
        </w:rPr>
        <w:t xml:space="preserve">Based on this it seems to me that the provisions in (d)(3) – (7) directly affect the practice of chiropractic and must be under the control of a NC licensed </w:t>
      </w:r>
      <w:r w:rsidR="002C7E81">
        <w:rPr>
          <w:rFonts w:ascii="Arial" w:hAnsi="Arial" w:cs="Arial"/>
          <w:i/>
        </w:rPr>
        <w:t>chiropractor and are within the authority of the board to regulate.</w:t>
      </w:r>
    </w:p>
    <w:p w:rsidR="00F13DBC" w:rsidRDefault="002C7E81" w:rsidP="00FD0E06">
      <w:pPr>
        <w:spacing w:before="120" w:after="120"/>
        <w:rPr>
          <w:rFonts w:ascii="Arial" w:hAnsi="Arial" w:cs="Arial"/>
          <w:i/>
        </w:rPr>
      </w:pPr>
      <w:r>
        <w:rPr>
          <w:rFonts w:ascii="Arial" w:hAnsi="Arial" w:cs="Arial"/>
          <w:i/>
        </w:rPr>
        <w:t>However paragraphs (d)(1) and (2) do not seem to affect the practice of chiropractic so much as they affect the division of profits from the practice. There is no authority cited to control or restrict how a licensee may choose to divide the proceeds he receives as a result of exercising his professional control over his practice. While the board may be entitle</w:t>
      </w:r>
      <w:r w:rsidR="00061E94">
        <w:rPr>
          <w:rFonts w:ascii="Arial" w:hAnsi="Arial" w:cs="Arial"/>
          <w:i/>
        </w:rPr>
        <w:t>d</w:t>
      </w:r>
      <w:r>
        <w:rPr>
          <w:rFonts w:ascii="Arial" w:hAnsi="Arial" w:cs="Arial"/>
          <w:i/>
        </w:rPr>
        <w:t xml:space="preserve"> to review the </w:t>
      </w:r>
      <w:r w:rsidR="00F13DBC">
        <w:rPr>
          <w:rFonts w:ascii="Arial" w:hAnsi="Arial" w:cs="Arial"/>
          <w:i/>
        </w:rPr>
        <w:t>revenue provisions of the agreement to determine whether any provision of the agreement might be a restriction on the licensee’s professional control, they do not have the right to forbid all revenue sharing or fee paying arrangements.</w:t>
      </w:r>
    </w:p>
    <w:p w:rsidR="00F13DBC" w:rsidRDefault="00F13DBC" w:rsidP="00F13DBC">
      <w:pPr>
        <w:pStyle w:val="aSection"/>
      </w:pPr>
      <w:r>
        <w:rPr>
          <w:rFonts w:ascii="Arial" w:hAnsi="Arial" w:cs="Arial"/>
          <w:i/>
        </w:rPr>
        <w:br w:type="page"/>
      </w:r>
      <w:bookmarkStart w:id="0" w:name="GSDocumentHeader"/>
      <w:bookmarkEnd w:id="0"/>
      <w:r>
        <w:rPr>
          <w:sz w:val="24"/>
          <w:szCs w:val="24"/>
        </w:rPr>
        <w:lastRenderedPageBreak/>
        <w:t>§ 90</w:t>
      </w:r>
      <w:r>
        <w:rPr>
          <w:sz w:val="24"/>
          <w:szCs w:val="24"/>
        </w:rPr>
        <w:noBreakHyphen/>
        <w:t>142.  Rules and regulations.</w:t>
      </w:r>
    </w:p>
    <w:p w:rsidR="00F13DBC" w:rsidRDefault="00F13DBC" w:rsidP="00F13DBC">
      <w:pPr>
        <w:pStyle w:val="aMargin1"/>
      </w:pPr>
      <w:r>
        <w:rPr>
          <w:sz w:val="24"/>
          <w:szCs w:val="24"/>
        </w:rPr>
        <w:t xml:space="preserve">The State Board of Chiropractic Examiners may adopt suitable rules and regulations for the performance of their duties and the enforcement of the provisions of this Article. </w:t>
      </w:r>
      <w:bookmarkStart w:id="1" w:name="HistoryNote"/>
      <w:r>
        <w:rPr>
          <w:rStyle w:val="cHistoryNote"/>
          <w:sz w:val="24"/>
          <w:szCs w:val="24"/>
        </w:rPr>
        <w:t>(1919, c. 148, s. 4; C.S., s. 6714; 1967, c. 263, s. 2.)</w:t>
      </w:r>
      <w:bookmarkEnd w:id="1"/>
    </w:p>
    <w:p w:rsidR="002C7E81" w:rsidRDefault="002C7E81" w:rsidP="00FD0E06">
      <w:pPr>
        <w:spacing w:before="120" w:after="120"/>
        <w:rPr>
          <w:rFonts w:ascii="Arial" w:hAnsi="Arial" w:cs="Arial"/>
          <w:i/>
        </w:rPr>
      </w:pPr>
    </w:p>
    <w:p w:rsidR="00F13DBC" w:rsidRDefault="00F13DBC" w:rsidP="00F13DBC">
      <w:pPr>
        <w:pStyle w:val="aSection"/>
      </w:pPr>
      <w:r>
        <w:rPr>
          <w:sz w:val="24"/>
          <w:szCs w:val="24"/>
        </w:rPr>
        <w:t>§ 90</w:t>
      </w:r>
      <w:r>
        <w:rPr>
          <w:sz w:val="24"/>
          <w:szCs w:val="24"/>
        </w:rPr>
        <w:noBreakHyphen/>
        <w:t>157.3.  Ownership of chiropractic practices limited.</w:t>
      </w:r>
    </w:p>
    <w:p w:rsidR="00F13DBC" w:rsidRDefault="00F13DBC" w:rsidP="00F13DBC">
      <w:pPr>
        <w:pStyle w:val="aMargin1"/>
      </w:pPr>
      <w:r>
        <w:rPr>
          <w:sz w:val="24"/>
          <w:szCs w:val="24"/>
        </w:rPr>
        <w:t>(a)</w:t>
      </w:r>
      <w:r>
        <w:rPr>
          <w:sz w:val="24"/>
          <w:szCs w:val="24"/>
        </w:rPr>
        <w:tab/>
        <w:t>Each partner in a partnership that is engaged in the practice of chiropractic shall be licensed under this Article.</w:t>
      </w:r>
    </w:p>
    <w:p w:rsidR="00F13DBC" w:rsidRDefault="00F13DBC" w:rsidP="00F13DBC">
      <w:pPr>
        <w:pStyle w:val="aMargin1"/>
      </w:pPr>
      <w:r>
        <w:rPr>
          <w:sz w:val="24"/>
          <w:szCs w:val="24"/>
        </w:rPr>
        <w:t>(b)</w:t>
      </w:r>
      <w:r>
        <w:rPr>
          <w:sz w:val="24"/>
          <w:szCs w:val="24"/>
        </w:rPr>
        <w:tab/>
        <w:t>Each general partner in a limited partnership that is engaged in the practice of chiropractic and each limited partner who takes part in the control of the practice shall be licensed under this Article.</w:t>
      </w:r>
    </w:p>
    <w:p w:rsidR="00F13DBC" w:rsidRDefault="00F13DBC" w:rsidP="00F13DBC">
      <w:pPr>
        <w:pStyle w:val="aMargin1"/>
        <w:tabs>
          <w:tab w:val="left" w:pos="810"/>
        </w:tabs>
      </w:pPr>
      <w:r>
        <w:rPr>
          <w:sz w:val="24"/>
          <w:szCs w:val="24"/>
        </w:rPr>
        <w:t>(c)</w:t>
      </w:r>
      <w:r>
        <w:rPr>
          <w:sz w:val="24"/>
          <w:szCs w:val="24"/>
        </w:rPr>
        <w:tab/>
        <w:t xml:space="preserve">The provisions of Chapter 55B of the General Statutes shall apply to all business corporations organized under Chapter 55 of the General Statutes and engaged in the practice of chiropractic. </w:t>
      </w:r>
      <w:r>
        <w:rPr>
          <w:rStyle w:val="cHistoryNote"/>
          <w:sz w:val="24"/>
          <w:szCs w:val="24"/>
        </w:rPr>
        <w:t>(1999</w:t>
      </w:r>
      <w:r>
        <w:rPr>
          <w:rStyle w:val="cHistoryNote"/>
          <w:sz w:val="24"/>
          <w:szCs w:val="24"/>
        </w:rPr>
        <w:noBreakHyphen/>
        <w:t>430, s. 2.)</w:t>
      </w:r>
    </w:p>
    <w:p w:rsidR="00F13DBC" w:rsidRPr="000857C5" w:rsidRDefault="00F13DBC" w:rsidP="00FD0E06">
      <w:pPr>
        <w:spacing w:before="120" w:after="120"/>
        <w:rPr>
          <w:rFonts w:ascii="Arial" w:hAnsi="Arial" w:cs="Arial"/>
          <w:i/>
        </w:rPr>
      </w:pPr>
    </w:p>
    <w:p w:rsidR="00C347A6" w:rsidRPr="000857C5" w:rsidRDefault="00C347A6" w:rsidP="00FD0E06">
      <w:pPr>
        <w:pStyle w:val="Base"/>
        <w:spacing w:after="120"/>
        <w:rPr>
          <w:rFonts w:ascii="Arial" w:hAnsi="Arial" w:cs="Arial"/>
          <w:i/>
        </w:rPr>
      </w:pPr>
    </w:p>
    <w:p w:rsidR="00B00E5D" w:rsidRPr="000857C5" w:rsidRDefault="00B00E5D" w:rsidP="00FD0E06">
      <w:pPr>
        <w:pStyle w:val="Base"/>
        <w:spacing w:after="120"/>
        <w:rPr>
          <w:rFonts w:ascii="Arial" w:hAnsi="Arial" w:cs="Arial"/>
          <w:i/>
        </w:rPr>
      </w:pPr>
    </w:p>
    <w:p w:rsidR="001D05DB" w:rsidRPr="000857C5" w:rsidRDefault="00F13DBC" w:rsidP="00F13DBC">
      <w:pPr>
        <w:pStyle w:val="Paragraph"/>
        <w:jc w:val="center"/>
        <w:rPr>
          <w:rFonts w:ascii="Arial" w:hAnsi="Arial" w:cs="Arial"/>
          <w:i/>
        </w:rPr>
      </w:pPr>
      <w:r w:rsidRPr="000857C5">
        <w:rPr>
          <w:rFonts w:ascii="Arial" w:hAnsi="Arial" w:cs="Arial"/>
          <w:i/>
        </w:rPr>
        <w:t xml:space="preserve"> </w:t>
      </w:r>
    </w:p>
    <w:p w:rsidR="00B00E5D" w:rsidRPr="000857C5" w:rsidRDefault="00B00E5D" w:rsidP="00FD0E06">
      <w:pPr>
        <w:pStyle w:val="Base"/>
        <w:spacing w:after="120"/>
        <w:rPr>
          <w:rFonts w:ascii="Arial" w:hAnsi="Arial" w:cs="Arial"/>
          <w:i/>
        </w:rPr>
      </w:pPr>
    </w:p>
    <w:sectPr w:rsidR="00B00E5D" w:rsidRPr="000857C5" w:rsidSect="004432D8">
      <w:headerReference w:type="default" r:id="rId9"/>
      <w:footerReference w:type="even" r:id="rId10"/>
      <w:footerReference w:type="default" r:id="rId11"/>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634" w:rsidRDefault="00C23634">
      <w:r>
        <w:separator/>
      </w:r>
    </w:p>
  </w:endnote>
  <w:endnote w:type="continuationSeparator" w:id="0">
    <w:p w:rsidR="00C23634" w:rsidRDefault="00C23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6D" w:rsidRDefault="00F10C6D">
    <w:pPr>
      <w:pStyle w:val="Footer"/>
      <w:framePr w:wrap="around" w:vAnchor="text" w:hAnchor="margin" w:xAlign="center" w:y="1"/>
    </w:pPr>
    <w:fldSimple w:instr="PAGE  ">
      <w:r>
        <w:rPr>
          <w:noProof/>
        </w:rPr>
        <w:t>4</w:t>
      </w:r>
    </w:fldSimple>
  </w:p>
  <w:p w:rsidR="00F10C6D" w:rsidRDefault="00F10C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E9" w:rsidRPr="004432D8" w:rsidRDefault="00B171E9" w:rsidP="00B171E9">
    <w:pPr>
      <w:pStyle w:val="Footer"/>
      <w:pBdr>
        <w:top w:val="thinThickSmallGap" w:sz="24" w:space="1" w:color="622423"/>
      </w:pBdr>
      <w:tabs>
        <w:tab w:val="clear" w:pos="4320"/>
        <w:tab w:val="clear" w:pos="8640"/>
        <w:tab w:val="right" w:pos="9360"/>
      </w:tabs>
      <w:rPr>
        <w:rFonts w:ascii="Arial" w:hAnsi="Arial" w:cs="Arial"/>
      </w:rPr>
    </w:pPr>
    <w:r w:rsidRPr="004432D8">
      <w:rPr>
        <w:rFonts w:ascii="Arial" w:hAnsi="Arial" w:cs="Arial"/>
      </w:rPr>
      <w:t>Jose</w:t>
    </w:r>
    <w:r w:rsidR="004432D8">
      <w:rPr>
        <w:rFonts w:ascii="Arial" w:hAnsi="Arial" w:cs="Arial"/>
      </w:rPr>
      <w:t xml:space="preserve">ph J DeLuca, Commission Counsel                         </w:t>
    </w:r>
    <w:r w:rsidRPr="004432D8">
      <w:rPr>
        <w:rFonts w:ascii="Arial" w:hAnsi="Arial" w:cs="Arial"/>
      </w:rPr>
      <w:t xml:space="preserve"> </w:t>
    </w:r>
    <w:r w:rsidRPr="004432D8">
      <w:rPr>
        <w:rFonts w:ascii="Arial" w:hAnsi="Arial" w:cs="Arial"/>
      </w:rPr>
      <w:fldChar w:fldCharType="begin"/>
    </w:r>
    <w:r w:rsidRPr="004432D8">
      <w:rPr>
        <w:rFonts w:ascii="Arial" w:hAnsi="Arial" w:cs="Arial"/>
      </w:rPr>
      <w:instrText xml:space="preserve"> PAGE   \* MERGEFORMAT </w:instrText>
    </w:r>
    <w:r w:rsidRPr="004432D8">
      <w:rPr>
        <w:rFonts w:ascii="Arial" w:hAnsi="Arial" w:cs="Arial"/>
      </w:rPr>
      <w:fldChar w:fldCharType="separate"/>
    </w:r>
    <w:r w:rsidR="00EF125F">
      <w:rPr>
        <w:rFonts w:ascii="Arial" w:hAnsi="Arial" w:cs="Arial"/>
        <w:noProof/>
      </w:rPr>
      <w:t>2</w:t>
    </w:r>
    <w:r w:rsidRPr="004432D8">
      <w:rPr>
        <w:rFonts w:ascii="Arial" w:hAnsi="Arial" w:cs="Arial"/>
      </w:rPr>
      <w:fldChar w:fldCharType="end"/>
    </w:r>
  </w:p>
  <w:p w:rsidR="00B171E9" w:rsidRDefault="00B17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634" w:rsidRDefault="00C23634">
      <w:r>
        <w:separator/>
      </w:r>
    </w:p>
  </w:footnote>
  <w:footnote w:type="continuationSeparator" w:id="0">
    <w:p w:rsidR="00C23634" w:rsidRDefault="00C23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E9" w:rsidRDefault="00B171E9">
    <w:pPr>
      <w:pStyle w:val="Header"/>
    </w:pPr>
  </w:p>
  <w:p w:rsidR="00B171E9" w:rsidRDefault="00B171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mirrorMargin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51BC7"/>
    <w:rsid w:val="00061E94"/>
    <w:rsid w:val="000857C5"/>
    <w:rsid w:val="000C54B0"/>
    <w:rsid w:val="000E477C"/>
    <w:rsid w:val="000F36EF"/>
    <w:rsid w:val="00113B64"/>
    <w:rsid w:val="00160EDD"/>
    <w:rsid w:val="001779FE"/>
    <w:rsid w:val="00187D7E"/>
    <w:rsid w:val="001A0A1C"/>
    <w:rsid w:val="001A0CD7"/>
    <w:rsid w:val="001D05DB"/>
    <w:rsid w:val="001F784A"/>
    <w:rsid w:val="002259C8"/>
    <w:rsid w:val="002C7E81"/>
    <w:rsid w:val="003475BD"/>
    <w:rsid w:val="00364EBF"/>
    <w:rsid w:val="003775A6"/>
    <w:rsid w:val="004432D8"/>
    <w:rsid w:val="004819A8"/>
    <w:rsid w:val="005A23B9"/>
    <w:rsid w:val="005B3454"/>
    <w:rsid w:val="00641EED"/>
    <w:rsid w:val="006C6780"/>
    <w:rsid w:val="00865853"/>
    <w:rsid w:val="00907F07"/>
    <w:rsid w:val="00AD244F"/>
    <w:rsid w:val="00B00E5D"/>
    <w:rsid w:val="00B171E9"/>
    <w:rsid w:val="00B36DCC"/>
    <w:rsid w:val="00B6351E"/>
    <w:rsid w:val="00B963E8"/>
    <w:rsid w:val="00C23634"/>
    <w:rsid w:val="00C347A6"/>
    <w:rsid w:val="00C443E5"/>
    <w:rsid w:val="00CA7201"/>
    <w:rsid w:val="00CD62D9"/>
    <w:rsid w:val="00CD7B2E"/>
    <w:rsid w:val="00D605F6"/>
    <w:rsid w:val="00D658BF"/>
    <w:rsid w:val="00D755E0"/>
    <w:rsid w:val="00DC26AB"/>
    <w:rsid w:val="00DE29E2"/>
    <w:rsid w:val="00DF2BBF"/>
    <w:rsid w:val="00EF125F"/>
    <w:rsid w:val="00F10BF4"/>
    <w:rsid w:val="00F10C6D"/>
    <w:rsid w:val="00F13DBC"/>
    <w:rsid w:val="00F20CB6"/>
    <w:rsid w:val="00FD0E06"/>
    <w:rsid w:val="00FF7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Header">
    <w:name w:val="header"/>
    <w:basedOn w:val="Normal"/>
    <w:link w:val="HeaderChar"/>
    <w:uiPriority w:val="99"/>
    <w:rsid w:val="00B171E9"/>
    <w:pPr>
      <w:tabs>
        <w:tab w:val="center" w:pos="4680"/>
        <w:tab w:val="right" w:pos="9360"/>
      </w:tabs>
    </w:pPr>
  </w:style>
  <w:style w:type="character" w:customStyle="1" w:styleId="HeaderChar">
    <w:name w:val="Header Char"/>
    <w:basedOn w:val="DefaultParagraphFont"/>
    <w:link w:val="Header"/>
    <w:uiPriority w:val="99"/>
    <w:rsid w:val="00B171E9"/>
    <w:rPr>
      <w:kern w:val="2"/>
    </w:rPr>
  </w:style>
  <w:style w:type="character" w:customStyle="1" w:styleId="FooterChar">
    <w:name w:val="Footer Char"/>
    <w:basedOn w:val="DefaultParagraphFont"/>
    <w:link w:val="Footer"/>
    <w:uiPriority w:val="99"/>
    <w:rsid w:val="00B171E9"/>
    <w:rPr>
      <w:kern w:val="2"/>
    </w:rPr>
  </w:style>
  <w:style w:type="paragraph" w:styleId="BalloonText">
    <w:name w:val="Balloon Text"/>
    <w:basedOn w:val="Normal"/>
    <w:link w:val="BalloonTextChar"/>
    <w:rsid w:val="004432D8"/>
    <w:rPr>
      <w:rFonts w:ascii="Tahoma" w:hAnsi="Tahoma" w:cs="Tahoma"/>
      <w:sz w:val="16"/>
      <w:szCs w:val="16"/>
    </w:rPr>
  </w:style>
  <w:style w:type="character" w:customStyle="1" w:styleId="BalloonTextChar">
    <w:name w:val="Balloon Text Char"/>
    <w:basedOn w:val="DefaultParagraphFont"/>
    <w:link w:val="BalloonText"/>
    <w:rsid w:val="004432D8"/>
    <w:rPr>
      <w:rFonts w:ascii="Tahoma" w:hAnsi="Tahoma" w:cs="Tahoma"/>
      <w:kern w:val="2"/>
      <w:sz w:val="16"/>
      <w:szCs w:val="16"/>
    </w:rPr>
  </w:style>
  <w:style w:type="paragraph" w:customStyle="1" w:styleId="aMargin1">
    <w:name w:val="aMargin1"/>
    <w:basedOn w:val="Normal"/>
    <w:rsid w:val="00F13DBC"/>
    <w:pPr>
      <w:ind w:firstLine="360"/>
    </w:pPr>
    <w:rPr>
      <w:kern w:val="0"/>
      <w:sz w:val="26"/>
      <w:szCs w:val="26"/>
    </w:rPr>
  </w:style>
  <w:style w:type="paragraph" w:customStyle="1" w:styleId="aSection">
    <w:name w:val="aSection"/>
    <w:basedOn w:val="Normal"/>
    <w:rsid w:val="00F13DBC"/>
    <w:pPr>
      <w:ind w:left="1080" w:hanging="1080"/>
    </w:pPr>
    <w:rPr>
      <w:b/>
      <w:bCs/>
      <w:kern w:val="0"/>
      <w:sz w:val="26"/>
      <w:szCs w:val="26"/>
    </w:rPr>
  </w:style>
  <w:style w:type="character" w:customStyle="1" w:styleId="cHistoryNote">
    <w:name w:val="cHistoryNote"/>
    <w:basedOn w:val="DefaultParagraphFont"/>
    <w:rsid w:val="00F13DBC"/>
    <w:rPr>
      <w:rFonts w:ascii="Times New (W1)" w:hAnsi="Times New (W1)" w:hint="default"/>
    </w:rPr>
  </w:style>
</w:styles>
</file>

<file path=word/webSettings.xml><?xml version="1.0" encoding="utf-8"?>
<w:webSettings xmlns:r="http://schemas.openxmlformats.org/officeDocument/2006/relationships" xmlns:w="http://schemas.openxmlformats.org/wordprocessingml/2006/main">
  <w:divs>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647051997">
      <w:bodyDiv w:val="1"/>
      <w:marLeft w:val="0"/>
      <w:marRight w:val="0"/>
      <w:marTop w:val="0"/>
      <w:marBottom w:val="0"/>
      <w:divBdr>
        <w:top w:val="none" w:sz="0" w:space="0" w:color="auto"/>
        <w:left w:val="none" w:sz="0" w:space="0" w:color="auto"/>
        <w:bottom w:val="none" w:sz="0" w:space="0" w:color="auto"/>
        <w:right w:val="none" w:sz="0" w:space="0" w:color="auto"/>
      </w:divBdr>
    </w:div>
    <w:div w:id="19840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259F3-A3AF-4293-A926-CBF5C4A0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2011-06-02T20:21:00Z</cp:lastPrinted>
  <dcterms:created xsi:type="dcterms:W3CDTF">2011-06-03T18:50:00Z</dcterms:created>
  <dcterms:modified xsi:type="dcterms:W3CDTF">2011-06-03T18:50:00Z</dcterms:modified>
</cp:coreProperties>
</file>