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F" w:rsidRDefault="00414D3F">
      <w:pPr>
        <w:sectPr w:rsidR="00414D3F" w:rsidSect="00A8074E">
          <w:headerReference w:type="first" r:id="rId6"/>
          <w:footerReference w:type="first" r:id="rId7"/>
          <w:pgSz w:w="12240" w:h="15840"/>
          <w:pgMar w:top="1440" w:right="1800" w:bottom="1440" w:left="1800" w:header="720" w:footer="720" w:gutter="0"/>
          <w:cols w:space="720"/>
          <w:titlePg/>
          <w:docGrid w:linePitch="360"/>
        </w:sectPr>
      </w:pPr>
    </w:p>
    <w:p w:rsidR="00414D3F" w:rsidRDefault="0038378B" w:rsidP="00414D3F">
      <w:pPr>
        <w:pStyle w:val="Paragraph"/>
        <w:jc w:val="center"/>
        <w:rPr>
          <w:sz w:val="24"/>
          <w:szCs w:val="24"/>
        </w:rPr>
      </w:pPr>
      <w:r>
        <w:rPr>
          <w:sz w:val="24"/>
          <w:szCs w:val="24"/>
        </w:rPr>
        <w:lastRenderedPageBreak/>
        <w:t>June 16, 2011</w:t>
      </w:r>
    </w:p>
    <w:p w:rsidR="00414D3F" w:rsidRPr="00D053BC" w:rsidRDefault="00414D3F" w:rsidP="00414D3F">
      <w:pPr>
        <w:pStyle w:val="Paragraph"/>
        <w:jc w:val="center"/>
        <w:rPr>
          <w:sz w:val="24"/>
          <w:szCs w:val="24"/>
        </w:rPr>
      </w:pPr>
    </w:p>
    <w:p w:rsidR="00414D3F" w:rsidRDefault="0038378B" w:rsidP="00414D3F">
      <w:pPr>
        <w:pStyle w:val="Paragraph"/>
        <w:rPr>
          <w:sz w:val="24"/>
          <w:szCs w:val="24"/>
        </w:rPr>
      </w:pPr>
      <w:r>
        <w:rPr>
          <w:sz w:val="24"/>
          <w:szCs w:val="24"/>
        </w:rPr>
        <w:t>John C. Randall</w:t>
      </w:r>
    </w:p>
    <w:p w:rsidR="00414D3F" w:rsidRDefault="0038378B" w:rsidP="00414D3F">
      <w:pPr>
        <w:pStyle w:val="Paragraph"/>
        <w:rPr>
          <w:sz w:val="24"/>
          <w:szCs w:val="24"/>
        </w:rPr>
      </w:pPr>
      <w:r>
        <w:rPr>
          <w:sz w:val="24"/>
          <w:szCs w:val="24"/>
        </w:rPr>
        <w:t>3100 Tower Blvd</w:t>
      </w:r>
    </w:p>
    <w:p w:rsidR="00414D3F" w:rsidRDefault="0038378B" w:rsidP="00414D3F">
      <w:pPr>
        <w:pStyle w:val="Paragraph"/>
        <w:rPr>
          <w:sz w:val="24"/>
          <w:szCs w:val="24"/>
        </w:rPr>
      </w:pPr>
      <w:r>
        <w:rPr>
          <w:sz w:val="24"/>
          <w:szCs w:val="24"/>
        </w:rPr>
        <w:t>Suite 1315</w:t>
      </w:r>
    </w:p>
    <w:p w:rsidR="00414D3F" w:rsidRDefault="0038378B" w:rsidP="00414D3F">
      <w:pPr>
        <w:pStyle w:val="Paragraph"/>
        <w:rPr>
          <w:sz w:val="24"/>
          <w:szCs w:val="24"/>
        </w:rPr>
      </w:pPr>
      <w:r>
        <w:rPr>
          <w:sz w:val="24"/>
          <w:szCs w:val="24"/>
        </w:rPr>
        <w:t>Durham, NC  27707</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 xml:space="preserve">Re: </w:t>
      </w:r>
      <w:r>
        <w:rPr>
          <w:sz w:val="24"/>
          <w:szCs w:val="24"/>
        </w:rPr>
        <w:t xml:space="preserve"> </w:t>
      </w:r>
      <w:r w:rsidR="0038378B">
        <w:rPr>
          <w:sz w:val="24"/>
          <w:szCs w:val="24"/>
        </w:rPr>
        <w:t>21 NCAC 64 .0307</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Dear</w:t>
      </w:r>
      <w:r>
        <w:rPr>
          <w:sz w:val="24"/>
          <w:szCs w:val="24"/>
        </w:rPr>
        <w:t xml:space="preserve"> </w:t>
      </w:r>
      <w:r w:rsidR="0038378B">
        <w:rPr>
          <w:sz w:val="24"/>
          <w:szCs w:val="24"/>
        </w:rPr>
        <w:t>Mr. Randall</w:t>
      </w:r>
      <w:r>
        <w:rPr>
          <w:sz w:val="24"/>
          <w:szCs w:val="24"/>
        </w:rPr>
        <w:t>:</w:t>
      </w:r>
    </w:p>
    <w:p w:rsidR="00414D3F" w:rsidRPr="00D053BC" w:rsidRDefault="00414D3F" w:rsidP="00414D3F">
      <w:pPr>
        <w:pStyle w:val="Paragraph"/>
        <w:rPr>
          <w:sz w:val="24"/>
          <w:szCs w:val="24"/>
        </w:rPr>
      </w:pPr>
    </w:p>
    <w:p w:rsidR="00414D3F" w:rsidRDefault="00414D3F" w:rsidP="001A485B">
      <w:pPr>
        <w:pStyle w:val="Paragraph"/>
        <w:ind w:firstLine="720"/>
        <w:rPr>
          <w:sz w:val="24"/>
          <w:szCs w:val="24"/>
        </w:rPr>
      </w:pPr>
      <w:r w:rsidRPr="00D053BC">
        <w:rPr>
          <w:sz w:val="24"/>
          <w:szCs w:val="24"/>
        </w:rPr>
        <w:t>At its</w:t>
      </w:r>
      <w:r w:rsidR="0038378B">
        <w:rPr>
          <w:sz w:val="24"/>
          <w:szCs w:val="24"/>
        </w:rPr>
        <w:t xml:space="preserve"> June 16, 2011 </w:t>
      </w:r>
      <w:r w:rsidRPr="00D053BC">
        <w:rPr>
          <w:sz w:val="24"/>
          <w:szCs w:val="24"/>
        </w:rPr>
        <w:t xml:space="preserve">meeting the Rules Review Commission objected to the above-captioned rule in accordance with G.S. 150B-21.10. </w:t>
      </w:r>
    </w:p>
    <w:p w:rsidR="00414D3F" w:rsidRPr="00D053BC" w:rsidRDefault="00414D3F" w:rsidP="00111741">
      <w:pPr>
        <w:pStyle w:val="Paragraph"/>
        <w:ind w:firstLine="720"/>
        <w:jc w:val="left"/>
        <w:rPr>
          <w:sz w:val="24"/>
          <w:szCs w:val="24"/>
        </w:rPr>
      </w:pPr>
    </w:p>
    <w:p w:rsidR="00111741" w:rsidRPr="00111741" w:rsidRDefault="00414D3F" w:rsidP="001A485B">
      <w:pPr>
        <w:ind w:firstLine="720"/>
        <w:jc w:val="both"/>
      </w:pPr>
      <w:r w:rsidRPr="00EB4677">
        <w:t xml:space="preserve">The Commission objected to this </w:t>
      </w:r>
      <w:r w:rsidR="00341667">
        <w:t>r</w:t>
      </w:r>
      <w:r w:rsidRPr="00EB4677">
        <w:t xml:space="preserve">ule based on </w:t>
      </w:r>
      <w:r w:rsidR="00111741">
        <w:t xml:space="preserve">lack of statutory authority and ambiguity.  </w:t>
      </w:r>
      <w:r w:rsidR="00111741" w:rsidRPr="00111741">
        <w:t xml:space="preserve">In line six </w:t>
      </w:r>
      <w:r w:rsidR="00341667">
        <w:t>the</w:t>
      </w:r>
      <w:r w:rsidR="00111741" w:rsidRPr="00111741">
        <w:t xml:space="preserve"> meaning of “lascivious conduct”</w:t>
      </w:r>
      <w:r w:rsidR="00341667">
        <w:t xml:space="preserve"> is unclear in the context of this rule</w:t>
      </w:r>
      <w:r w:rsidR="00111741" w:rsidRPr="00111741">
        <w:t xml:space="preserve"> and what actions are forbidden is </w:t>
      </w:r>
      <w:r w:rsidR="00341667">
        <w:t>un</w:t>
      </w:r>
      <w:r w:rsidR="00111741" w:rsidRPr="00111741">
        <w:t>clear</w:t>
      </w:r>
      <w:r w:rsidR="00341667">
        <w:t>.</w:t>
      </w:r>
      <w:r w:rsidR="00111741" w:rsidRPr="00111741">
        <w:t xml:space="preserve"> </w:t>
      </w:r>
    </w:p>
    <w:p w:rsidR="00111741" w:rsidRPr="00111741" w:rsidRDefault="00111741" w:rsidP="00111741"/>
    <w:p w:rsidR="00111741" w:rsidRPr="00111741" w:rsidRDefault="00111741" w:rsidP="001A485B">
      <w:pPr>
        <w:ind w:firstLine="720"/>
        <w:jc w:val="both"/>
      </w:pPr>
      <w:r w:rsidRPr="00111741">
        <w:t>The board has cited no authority, and counsel is not aware of any authority, to deny licensure based on some sort of qualification relating to sexual activity. G.S. 90-295 and 90-298, the specific statutes setting out the qualifications for licensure refer to qualifications that address only an applicant’s education and experience. There is another statute, G.S. 90-296, that requires passing an examination. (That statute even refers to “an applicant … who has satisfied the academic requirements of G.S. 90-295” without referring to any other qualifications.)</w:t>
      </w:r>
    </w:p>
    <w:p w:rsidR="00111741" w:rsidRPr="00111741" w:rsidRDefault="00111741" w:rsidP="00111741"/>
    <w:p w:rsidR="00111741" w:rsidRPr="00111741" w:rsidRDefault="00111741" w:rsidP="001A485B">
      <w:pPr>
        <w:ind w:firstLine="720"/>
        <w:jc w:val="both"/>
      </w:pPr>
      <w:r w:rsidRPr="00111741">
        <w:t>There is also no reference in G.S. 90-301, Grounds for suspension or revocation; 90-301A, Unethical acts and practices; or 90-302, Prohibited acts and practices, to any prohibition against “lascivious conduct” or requirement to have good moral character.</w:t>
      </w:r>
    </w:p>
    <w:p w:rsidR="00111741" w:rsidRPr="00111741" w:rsidRDefault="00111741" w:rsidP="00111741"/>
    <w:p w:rsidR="00111741" w:rsidRPr="00111741" w:rsidRDefault="00111741" w:rsidP="001A485B">
      <w:pPr>
        <w:ind w:firstLine="720"/>
        <w:jc w:val="both"/>
      </w:pPr>
      <w:r w:rsidRPr="00111741">
        <w:t>The Rules Review Commission has consistently taken the position that where the legislature has set out the qualifications for licensure and has not given the agency any further discretion to add to those qualifications or establish new or different qualifications, then the agency cannot do so by rulemaking.</w:t>
      </w:r>
    </w:p>
    <w:p w:rsidR="00111741" w:rsidRPr="00111741" w:rsidRDefault="00111741" w:rsidP="001A485B">
      <w:pPr>
        <w:ind w:firstLine="720"/>
        <w:jc w:val="both"/>
      </w:pPr>
      <w:r w:rsidRPr="00111741">
        <w:lastRenderedPageBreak/>
        <w:t>It is possible that the board could incorporate a more carefully crafted requirement to refrain from lascivious conduct as part of its code of ethics. Then, under 90-301(3) it would have the authority to suspend or revoke (but not necessarily deny) licensure to someone who violated that code.</w:t>
      </w:r>
    </w:p>
    <w:p w:rsidR="00111741" w:rsidRPr="00111741" w:rsidRDefault="00111741" w:rsidP="00111741"/>
    <w:p w:rsidR="00111741" w:rsidRPr="00111741" w:rsidRDefault="00111741" w:rsidP="001A485B">
      <w:pPr>
        <w:ind w:firstLine="720"/>
        <w:jc w:val="both"/>
      </w:pPr>
      <w:r w:rsidRPr="00111741">
        <w:t>G.S. 90-301 lists the grounds for suspending or revoking a license. One of those grounds (4) is the “[v]</w:t>
      </w:r>
      <w:proofErr w:type="spellStart"/>
      <w:r w:rsidRPr="00111741">
        <w:t>iolation</w:t>
      </w:r>
      <w:proofErr w:type="spellEnd"/>
      <w:r w:rsidRPr="00111741">
        <w:t xml:space="preserve"> of any lawful order, rule or regulation rendered or adopted by the Board.” The board is entitled to set many qualifications (in other words, “order, rule or regulation”) outside the statutes to remain a licensed individual. It is not entitled to expand those qualifications in order to obtain licensure.</w:t>
      </w:r>
    </w:p>
    <w:p w:rsidR="00111741" w:rsidRPr="00111741" w:rsidRDefault="00111741" w:rsidP="00111741"/>
    <w:p w:rsidR="00414D3F" w:rsidRDefault="00414D3F" w:rsidP="001A485B">
      <w:pPr>
        <w:pStyle w:val="Paragraph"/>
        <w:ind w:firstLine="720"/>
        <w:rPr>
          <w:sz w:val="24"/>
          <w:szCs w:val="24"/>
        </w:rPr>
      </w:pPr>
      <w:r w:rsidRPr="002B32E3">
        <w:rPr>
          <w:sz w:val="24"/>
          <w:szCs w:val="24"/>
        </w:rPr>
        <w:t>Please respond to this letter in accordance with the provisions of G.S. 150B-21.12.  If you have any questions regarding the Commission’s action, please let me know.</w:t>
      </w:r>
    </w:p>
    <w:p w:rsidR="00414D3F" w:rsidRPr="002B32E3" w:rsidRDefault="00414D3F" w:rsidP="00111741">
      <w:pPr>
        <w:pStyle w:val="Paragraph"/>
        <w:ind w:firstLine="720"/>
        <w:jc w:val="left"/>
        <w:rPr>
          <w:sz w:val="24"/>
          <w:szCs w:val="24"/>
        </w:rPr>
      </w:pPr>
    </w:p>
    <w:p w:rsidR="00414D3F" w:rsidRDefault="00414D3F" w:rsidP="00414D3F">
      <w:pPr>
        <w:pStyle w:val="Paragraph"/>
        <w:ind w:left="3600" w:firstLine="720"/>
        <w:rPr>
          <w:sz w:val="24"/>
          <w:szCs w:val="24"/>
        </w:rPr>
      </w:pPr>
      <w:r w:rsidRPr="002B32E3">
        <w:rPr>
          <w:sz w:val="24"/>
          <w:szCs w:val="24"/>
        </w:rPr>
        <w:t>Sincerely,</w:t>
      </w:r>
    </w:p>
    <w:p w:rsidR="00414D3F" w:rsidRDefault="00414D3F" w:rsidP="00414D3F">
      <w:pPr>
        <w:pStyle w:val="Paragraph"/>
        <w:ind w:left="3600" w:firstLine="720"/>
        <w:rPr>
          <w:sz w:val="24"/>
          <w:szCs w:val="24"/>
        </w:rPr>
      </w:pPr>
    </w:p>
    <w:p w:rsidR="00414D3F" w:rsidRDefault="00414D3F" w:rsidP="00414D3F">
      <w:pPr>
        <w:pStyle w:val="Paragraph"/>
        <w:ind w:left="3600" w:firstLine="720"/>
        <w:rPr>
          <w:sz w:val="24"/>
          <w:szCs w:val="24"/>
        </w:rPr>
      </w:pPr>
    </w:p>
    <w:p w:rsidR="00414D3F" w:rsidRPr="002B32E3" w:rsidRDefault="00414D3F" w:rsidP="00414D3F">
      <w:pPr>
        <w:pStyle w:val="Paragraph"/>
        <w:ind w:left="3600" w:firstLine="720"/>
        <w:rPr>
          <w:sz w:val="24"/>
          <w:szCs w:val="24"/>
        </w:rPr>
      </w:pPr>
    </w:p>
    <w:p w:rsidR="00414D3F" w:rsidRPr="002B32E3" w:rsidRDefault="00414D3F" w:rsidP="00414D3F">
      <w:pPr>
        <w:pStyle w:val="Paragraph"/>
        <w:ind w:left="3600"/>
        <w:rPr>
          <w:sz w:val="24"/>
          <w:szCs w:val="24"/>
        </w:rPr>
      </w:pPr>
      <w:r w:rsidRPr="002B32E3">
        <w:rPr>
          <w:sz w:val="24"/>
          <w:szCs w:val="24"/>
        </w:rPr>
        <w:tab/>
        <w:t>Joseph J. DeLuca, Jr.</w:t>
      </w:r>
    </w:p>
    <w:p w:rsidR="00414D3F" w:rsidRPr="002B32E3" w:rsidRDefault="00414D3F" w:rsidP="00414D3F">
      <w:pPr>
        <w:pStyle w:val="Paragraph"/>
        <w:ind w:left="3600"/>
        <w:rPr>
          <w:sz w:val="24"/>
          <w:szCs w:val="24"/>
        </w:rPr>
      </w:pPr>
      <w:r w:rsidRPr="002B32E3">
        <w:rPr>
          <w:sz w:val="24"/>
          <w:szCs w:val="24"/>
        </w:rPr>
        <w:tab/>
        <w:t>Commission Counsel</w:t>
      </w:r>
    </w:p>
    <w:p w:rsidR="00414D3F" w:rsidRDefault="00414D3F" w:rsidP="00414D3F">
      <w:pPr>
        <w:pStyle w:val="Paragraph"/>
      </w:pPr>
      <w:proofErr w:type="spellStart"/>
      <w:r w:rsidRPr="00F51885">
        <w:t>JJD</w:t>
      </w:r>
      <w:proofErr w:type="gramStart"/>
      <w:r w:rsidR="001F3901">
        <w:t>:jbe</w:t>
      </w:r>
      <w:proofErr w:type="spellEnd"/>
      <w:proofErr w:type="gramEnd"/>
    </w:p>
    <w:p w:rsidR="00414D3F" w:rsidRDefault="00414D3F" w:rsidP="00414D3F">
      <w:pPr>
        <w:pStyle w:val="Base"/>
      </w:pPr>
    </w:p>
    <w:sectPr w:rsidR="00414D3F" w:rsidSect="00414D3F">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6D" w:rsidRDefault="0059146D">
      <w:r>
        <w:separator/>
      </w:r>
    </w:p>
  </w:endnote>
  <w:endnote w:type="continuationSeparator" w:id="0">
    <w:p w:rsidR="0059146D" w:rsidRDefault="0059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59146D">
      <w:tc>
        <w:tcPr>
          <w:tcW w:w="1476" w:type="dxa"/>
        </w:tcPr>
        <w:p w:rsidR="00A8074E" w:rsidRPr="0059146D" w:rsidRDefault="00A8074E" w:rsidP="0059146D">
          <w:pPr>
            <w:jc w:val="center"/>
            <w:rPr>
              <w:sz w:val="16"/>
            </w:rPr>
          </w:pPr>
          <w:r w:rsidRPr="0059146D">
            <w:rPr>
              <w:sz w:val="16"/>
            </w:rPr>
            <w:t xml:space="preserve">Administration </w:t>
          </w:r>
        </w:p>
        <w:p w:rsidR="00A8074E" w:rsidRPr="0059146D" w:rsidRDefault="00693E2D" w:rsidP="0059146D">
          <w:pPr>
            <w:jc w:val="center"/>
            <w:rPr>
              <w:sz w:val="16"/>
            </w:rPr>
          </w:pPr>
          <w:r w:rsidRPr="0059146D">
            <w:rPr>
              <w:sz w:val="16"/>
            </w:rPr>
            <w:t>919/431-3000</w:t>
          </w:r>
          <w:r w:rsidR="00A8074E" w:rsidRPr="0059146D">
            <w:rPr>
              <w:sz w:val="16"/>
            </w:rPr>
            <w:t xml:space="preserve"> </w:t>
          </w:r>
        </w:p>
        <w:p w:rsidR="00A8074E" w:rsidRDefault="00693E2D" w:rsidP="00154882">
          <w:pPr>
            <w:pStyle w:val="Footer"/>
          </w:pPr>
          <w:r w:rsidRPr="0059146D">
            <w:rPr>
              <w:sz w:val="16"/>
            </w:rPr>
            <w:t>fax:919/431-3100</w:t>
          </w:r>
        </w:p>
      </w:tc>
      <w:tc>
        <w:tcPr>
          <w:tcW w:w="1476" w:type="dxa"/>
        </w:tcPr>
        <w:p w:rsidR="00A8074E" w:rsidRPr="0059146D" w:rsidRDefault="00A8074E" w:rsidP="0059146D">
          <w:pPr>
            <w:jc w:val="center"/>
            <w:rPr>
              <w:sz w:val="16"/>
            </w:rPr>
          </w:pPr>
          <w:r w:rsidRPr="0059146D">
            <w:rPr>
              <w:sz w:val="16"/>
            </w:rPr>
            <w:t>Rules Division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Judges and Assistants</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Clerk’s Office</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Rules Review Commission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Civil Rights Division</w:t>
          </w:r>
        </w:p>
        <w:p w:rsidR="00A8074E" w:rsidRPr="0059146D" w:rsidRDefault="00693E2D" w:rsidP="0059146D">
          <w:pPr>
            <w:jc w:val="center"/>
            <w:rPr>
              <w:sz w:val="16"/>
            </w:rPr>
          </w:pPr>
          <w:r w:rsidRPr="0059146D">
            <w:rPr>
              <w:sz w:val="16"/>
            </w:rPr>
            <w:t>919/431-3036</w:t>
          </w:r>
        </w:p>
        <w:p w:rsidR="00A8074E" w:rsidRDefault="00693E2D" w:rsidP="00154882">
          <w:pPr>
            <w:pStyle w:val="Footer"/>
          </w:pPr>
          <w:r w:rsidRPr="0059146D">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6D" w:rsidRDefault="0059146D">
      <w:r>
        <w:separator/>
      </w:r>
    </w:p>
  </w:footnote>
  <w:footnote w:type="continuationSeparator" w:id="0">
    <w:p w:rsidR="0059146D" w:rsidRDefault="0059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38378B"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59146D">
      <w:tc>
        <w:tcPr>
          <w:tcW w:w="4428" w:type="dxa"/>
        </w:tcPr>
        <w:p w:rsidR="00A8074E" w:rsidRPr="0059146D" w:rsidRDefault="00A8074E" w:rsidP="0059146D">
          <w:pPr>
            <w:ind w:left="720"/>
            <w:rPr>
              <w:sz w:val="18"/>
            </w:rPr>
          </w:pPr>
          <w:r w:rsidRPr="0059146D">
            <w:rPr>
              <w:sz w:val="18"/>
            </w:rPr>
            <w:t>Mailing address:</w:t>
          </w:r>
        </w:p>
        <w:p w:rsidR="00A8074E" w:rsidRPr="0059146D" w:rsidRDefault="00A8074E" w:rsidP="0059146D">
          <w:pPr>
            <w:ind w:left="720"/>
            <w:rPr>
              <w:sz w:val="18"/>
            </w:rPr>
          </w:pPr>
          <w:r w:rsidRPr="0059146D">
            <w:rPr>
              <w:sz w:val="18"/>
            </w:rPr>
            <w:t xml:space="preserve">6714 </w:t>
          </w:r>
          <w:smartTag w:uri="urn:schemas-microsoft-com:office:smarttags" w:element="place">
            <w:smartTag w:uri="urn:schemas-microsoft-com:office:smarttags" w:element="PlaceName">
              <w:r w:rsidRPr="0059146D">
                <w:rPr>
                  <w:sz w:val="18"/>
                </w:rPr>
                <w:t>Mail</w:t>
              </w:r>
            </w:smartTag>
            <w:r w:rsidRPr="0059146D">
              <w:rPr>
                <w:sz w:val="18"/>
              </w:rPr>
              <w:t xml:space="preserve"> </w:t>
            </w:r>
            <w:smartTag w:uri="urn:schemas-microsoft-com:office:smarttags" w:element="PlaceName">
              <w:r w:rsidRPr="0059146D">
                <w:rPr>
                  <w:sz w:val="18"/>
                </w:rPr>
                <w:t>Service</w:t>
              </w:r>
            </w:smartTag>
            <w:r w:rsidRPr="0059146D">
              <w:rPr>
                <w:sz w:val="18"/>
              </w:rPr>
              <w:t xml:space="preserve"> </w:t>
            </w:r>
            <w:smartTag w:uri="urn:schemas-microsoft-com:office:smarttags" w:element="PlaceType">
              <w:r w:rsidRPr="0059146D">
                <w:rPr>
                  <w:sz w:val="18"/>
                </w:rPr>
                <w:t>Center</w:t>
              </w:r>
            </w:smartTag>
          </w:smartTag>
        </w:p>
        <w:p w:rsidR="00A8074E" w:rsidRDefault="00A8074E" w:rsidP="0059146D">
          <w:pPr>
            <w:pStyle w:val="Header"/>
            <w:ind w:left="72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27699-6714</w:t>
              </w:r>
            </w:smartTag>
          </w:smartTag>
        </w:p>
      </w:tc>
      <w:tc>
        <w:tcPr>
          <w:tcW w:w="4428" w:type="dxa"/>
        </w:tcPr>
        <w:p w:rsidR="00A8074E" w:rsidRPr="0059146D" w:rsidRDefault="00A8074E" w:rsidP="0059146D">
          <w:pPr>
            <w:tabs>
              <w:tab w:val="left" w:pos="3492"/>
            </w:tabs>
            <w:ind w:left="2160"/>
            <w:rPr>
              <w:sz w:val="18"/>
            </w:rPr>
          </w:pPr>
          <w:r w:rsidRPr="0059146D">
            <w:rPr>
              <w:sz w:val="18"/>
            </w:rPr>
            <w:t>Street address:</w:t>
          </w:r>
        </w:p>
        <w:p w:rsidR="00A8074E" w:rsidRPr="0059146D" w:rsidRDefault="00693E2D" w:rsidP="0059146D">
          <w:pPr>
            <w:tabs>
              <w:tab w:val="left" w:pos="3492"/>
            </w:tabs>
            <w:ind w:left="2160"/>
            <w:rPr>
              <w:sz w:val="18"/>
            </w:rPr>
          </w:pPr>
          <w:smartTag w:uri="urn:schemas-microsoft-com:office:smarttags" w:element="Street">
            <w:smartTag w:uri="urn:schemas-microsoft-com:office:smarttags" w:element="address">
              <w:r w:rsidRPr="0059146D">
                <w:rPr>
                  <w:sz w:val="18"/>
                </w:rPr>
                <w:t>1711 New Hope Church Rd</w:t>
              </w:r>
            </w:smartTag>
          </w:smartTag>
        </w:p>
        <w:p w:rsidR="00A8074E" w:rsidRDefault="00693E2D" w:rsidP="0059146D">
          <w:pPr>
            <w:pStyle w:val="Header"/>
            <w:ind w:left="216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037278"/>
    <w:rsid w:val="00111741"/>
    <w:rsid w:val="00154882"/>
    <w:rsid w:val="001A485B"/>
    <w:rsid w:val="001A7F24"/>
    <w:rsid w:val="001D2023"/>
    <w:rsid w:val="001F3901"/>
    <w:rsid w:val="00341667"/>
    <w:rsid w:val="0038378B"/>
    <w:rsid w:val="00414D3F"/>
    <w:rsid w:val="0059146D"/>
    <w:rsid w:val="00693E2D"/>
    <w:rsid w:val="009449C3"/>
    <w:rsid w:val="00984771"/>
    <w:rsid w:val="009C1803"/>
    <w:rsid w:val="00A8074E"/>
    <w:rsid w:val="00CB7EFD"/>
    <w:rsid w:val="00D57403"/>
    <w:rsid w:val="00DB7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2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414D3F"/>
    <w:pPr>
      <w:suppressAutoHyphens/>
      <w:outlineLvl w:val="4"/>
    </w:pPr>
    <w:rPr>
      <w:snapToGrid w:val="0"/>
    </w:rPr>
  </w:style>
  <w:style w:type="paragraph" w:customStyle="1" w:styleId="Base">
    <w:name w:val="Base"/>
    <w:rsid w:val="00414D3F"/>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dvojtko</cp:lastModifiedBy>
  <cp:revision>5</cp:revision>
  <dcterms:created xsi:type="dcterms:W3CDTF">2011-06-16T18:23:00Z</dcterms:created>
  <dcterms:modified xsi:type="dcterms:W3CDTF">2011-07-07T18:03:00Z</dcterms:modified>
</cp:coreProperties>
</file>