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306B75" w:rsidP="00351C05">
      <w:pPr>
        <w:pStyle w:val="Paragraph"/>
        <w:jc w:val="center"/>
        <w:rPr>
          <w:b/>
          <w:sz w:val="24"/>
          <w:szCs w:val="24"/>
        </w:rPr>
      </w:pPr>
      <w:r>
        <w:rPr>
          <w:b/>
          <w:sz w:val="24"/>
          <w:szCs w:val="24"/>
        </w:rPr>
        <w:t>December 15</w:t>
      </w:r>
      <w:r w:rsidR="00351C05" w:rsidRPr="00351C05">
        <w:rPr>
          <w:b/>
          <w:sz w:val="24"/>
          <w:szCs w:val="24"/>
        </w:rPr>
        <w:t>, 2011</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4B2B1A" w:rsidRPr="00504B20" w:rsidRDefault="00351C05" w:rsidP="004B2B1A">
      <w:pPr>
        <w:pStyle w:val="Paragraph"/>
        <w:rPr>
          <w:sz w:val="24"/>
          <w:szCs w:val="24"/>
        </w:rPr>
      </w:pPr>
      <w:r w:rsidRPr="00351C05">
        <w:rPr>
          <w:sz w:val="24"/>
          <w:szCs w:val="24"/>
        </w:rPr>
        <w:t xml:space="preserve">The Rules Review Commission met on Thursday, </w:t>
      </w:r>
      <w:r w:rsidR="00306B75">
        <w:rPr>
          <w:sz w:val="24"/>
          <w:szCs w:val="24"/>
        </w:rPr>
        <w:t>December 15</w:t>
      </w:r>
      <w:r w:rsidRPr="00351C05">
        <w:rPr>
          <w:sz w:val="24"/>
          <w:szCs w:val="24"/>
        </w:rPr>
        <w:t xml:space="preserve">, 2011, in the Commission Room at 1711 New Hope Church Road, Raleigh, North Carolina.  </w:t>
      </w:r>
      <w:r w:rsidR="004B2B1A" w:rsidRPr="00504B20">
        <w:rPr>
          <w:sz w:val="24"/>
          <w:szCs w:val="24"/>
        </w:rPr>
        <w:t xml:space="preserve">Commissioners present were:  </w:t>
      </w:r>
      <w:r w:rsidR="00CF6FB1">
        <w:rPr>
          <w:sz w:val="24"/>
          <w:szCs w:val="24"/>
        </w:rPr>
        <w:t xml:space="preserve">Addison Bell, </w:t>
      </w:r>
      <w:r w:rsidR="004B2B1A" w:rsidRPr="00504B20">
        <w:rPr>
          <w:sz w:val="24"/>
          <w:szCs w:val="24"/>
        </w:rPr>
        <w:t xml:space="preserve">Margaret Currin, </w:t>
      </w:r>
      <w:r w:rsidR="00CF6FB1">
        <w:rPr>
          <w:sz w:val="24"/>
          <w:szCs w:val="24"/>
        </w:rPr>
        <w:t xml:space="preserve">Garth Dunklin, </w:t>
      </w:r>
      <w:r w:rsidR="004B2B1A" w:rsidRPr="00504B20">
        <w:rPr>
          <w:sz w:val="24"/>
          <w:szCs w:val="24"/>
        </w:rPr>
        <w:t xml:space="preserve">George </w:t>
      </w:r>
      <w:proofErr w:type="spellStart"/>
      <w:r w:rsidR="004B2B1A" w:rsidRPr="00504B20">
        <w:rPr>
          <w:sz w:val="24"/>
          <w:szCs w:val="24"/>
        </w:rPr>
        <w:t>Lucier</w:t>
      </w:r>
      <w:proofErr w:type="spellEnd"/>
      <w:r w:rsidR="004B2B1A" w:rsidRPr="00504B20">
        <w:rPr>
          <w:sz w:val="24"/>
          <w:szCs w:val="24"/>
        </w:rPr>
        <w:t xml:space="preserve">, </w:t>
      </w:r>
      <w:r w:rsidR="00CF6FB1">
        <w:rPr>
          <w:sz w:val="24"/>
          <w:szCs w:val="24"/>
        </w:rPr>
        <w:t xml:space="preserve">Bob </w:t>
      </w:r>
      <w:proofErr w:type="spellStart"/>
      <w:r w:rsidR="00CF6FB1">
        <w:rPr>
          <w:sz w:val="24"/>
          <w:szCs w:val="24"/>
        </w:rPr>
        <w:t>Rippy</w:t>
      </w:r>
      <w:proofErr w:type="spellEnd"/>
      <w:r w:rsidR="004B2B1A">
        <w:rPr>
          <w:sz w:val="24"/>
          <w:szCs w:val="24"/>
        </w:rPr>
        <w:t>, Stephanie Simpson,</w:t>
      </w:r>
      <w:r w:rsidR="004B2B1A" w:rsidRPr="00504B20">
        <w:rPr>
          <w:sz w:val="24"/>
          <w:szCs w:val="24"/>
        </w:rPr>
        <w:t xml:space="preserve"> Ralph Walker and </w:t>
      </w:r>
      <w:proofErr w:type="spellStart"/>
      <w:r w:rsidR="004B2B1A" w:rsidRPr="00504B20">
        <w:rPr>
          <w:sz w:val="24"/>
          <w:szCs w:val="24"/>
        </w:rPr>
        <w:t>Faylene</w:t>
      </w:r>
      <w:proofErr w:type="spellEnd"/>
      <w:r w:rsidR="004B2B1A" w:rsidRPr="00504B20">
        <w:rPr>
          <w:sz w:val="24"/>
          <w:szCs w:val="24"/>
        </w:rPr>
        <w:t xml:space="preserve"> Whitaker</w:t>
      </w:r>
      <w:r w:rsidR="004B2B1A">
        <w:rPr>
          <w:sz w:val="24"/>
          <w:szCs w:val="24"/>
        </w:rPr>
        <w:t xml:space="preserve">.  Commissioner Venable </w:t>
      </w:r>
      <w:r w:rsidR="00C91800">
        <w:rPr>
          <w:sz w:val="24"/>
          <w:szCs w:val="24"/>
        </w:rPr>
        <w:t>joined via Skype.</w:t>
      </w:r>
    </w:p>
    <w:p w:rsidR="00351C05" w:rsidRPr="00351C05" w:rsidRDefault="00351C05" w:rsidP="004B2B1A">
      <w:pPr>
        <w:pStyle w:val="Paragraph"/>
        <w:rPr>
          <w:sz w:val="24"/>
          <w:szCs w:val="24"/>
        </w:rPr>
      </w:pPr>
    </w:p>
    <w:p w:rsidR="00351C05" w:rsidRPr="00351C05" w:rsidRDefault="00351C05" w:rsidP="00351C05">
      <w:pPr>
        <w:pStyle w:val="Paragraph"/>
        <w:rPr>
          <w:sz w:val="24"/>
          <w:szCs w:val="24"/>
        </w:rPr>
      </w:pPr>
      <w:r w:rsidRPr="00351C05">
        <w:rPr>
          <w:sz w:val="24"/>
          <w:szCs w:val="24"/>
        </w:rPr>
        <w:t>Staff members present were: Joe Deluca and Bobby Bryan, Commission Counsel</w:t>
      </w:r>
      <w:r w:rsidR="001A1016">
        <w:rPr>
          <w:sz w:val="24"/>
          <w:szCs w:val="24"/>
        </w:rPr>
        <w:t>; Dana Vojtko, Julie Edwards and Tammara Chalmers.</w:t>
      </w:r>
    </w:p>
    <w:p w:rsidR="00CF6FB1" w:rsidRDefault="00CF6FB1" w:rsidP="00461464">
      <w:pPr>
        <w:pStyle w:val="Paragraph"/>
        <w:rPr>
          <w:sz w:val="24"/>
          <w:szCs w:val="24"/>
        </w:rPr>
      </w:pPr>
    </w:p>
    <w:p w:rsidR="00461464" w:rsidRPr="00461464" w:rsidRDefault="00C23224" w:rsidP="00461464">
      <w:pPr>
        <w:pStyle w:val="Paragraph"/>
        <w:rPr>
          <w:sz w:val="24"/>
          <w:szCs w:val="24"/>
        </w:rPr>
      </w:pPr>
      <w:r>
        <w:rPr>
          <w:sz w:val="24"/>
          <w:szCs w:val="24"/>
        </w:rPr>
        <w:t>The meeting was called to order at 10:01 a.m. with Judge Walker presiding</w:t>
      </w:r>
      <w:r w:rsidR="00CA4952">
        <w:rPr>
          <w:sz w:val="24"/>
          <w:szCs w:val="24"/>
        </w:rPr>
        <w:t>.</w:t>
      </w:r>
      <w:r>
        <w:rPr>
          <w:sz w:val="24"/>
          <w:szCs w:val="24"/>
        </w:rPr>
        <w:t xml:space="preserve"> </w:t>
      </w:r>
      <w:r w:rsidR="00CA4952">
        <w:rPr>
          <w:sz w:val="24"/>
          <w:szCs w:val="24"/>
        </w:rPr>
        <w:t>H</w:t>
      </w:r>
      <w:r>
        <w:rPr>
          <w:sz w:val="24"/>
          <w:szCs w:val="24"/>
        </w:rPr>
        <w:t xml:space="preserve">e </w:t>
      </w:r>
      <w:r w:rsidR="00461464" w:rsidRPr="00461464">
        <w:rPr>
          <w:sz w:val="24"/>
          <w:szCs w:val="24"/>
        </w:rPr>
        <w:t>reminded the Commission members that they have a duty to avoid conflicts of interest and the appearances of conflicts as required by NCGS 138A-15(e).</w:t>
      </w:r>
    </w:p>
    <w:p w:rsidR="00461464" w:rsidRDefault="00461464" w:rsidP="00461464">
      <w:pPr>
        <w:pStyle w:val="Base"/>
        <w:rPr>
          <w:sz w:val="24"/>
          <w:szCs w:val="24"/>
          <w:highlight w:val="yellow"/>
        </w:rPr>
      </w:pPr>
    </w:p>
    <w:p w:rsidR="00351C05" w:rsidRPr="00351C05" w:rsidRDefault="00351C05" w:rsidP="00351C05">
      <w:pPr>
        <w:pStyle w:val="Base"/>
        <w:rPr>
          <w:b/>
          <w:sz w:val="24"/>
          <w:szCs w:val="24"/>
        </w:rPr>
      </w:pPr>
      <w:r w:rsidRPr="00351C05">
        <w:rPr>
          <w:b/>
          <w:sz w:val="24"/>
          <w:szCs w:val="24"/>
        </w:rPr>
        <w:t>APPROVAL OF MINUTES</w:t>
      </w:r>
    </w:p>
    <w:p w:rsidR="00351C05" w:rsidRPr="00351C05" w:rsidRDefault="00351C05" w:rsidP="00351C05">
      <w:pPr>
        <w:pStyle w:val="Base"/>
        <w:rPr>
          <w:b/>
          <w:sz w:val="24"/>
          <w:szCs w:val="24"/>
        </w:rPr>
      </w:pPr>
      <w:r w:rsidRPr="00351C05">
        <w:rPr>
          <w:sz w:val="24"/>
          <w:szCs w:val="24"/>
        </w:rPr>
        <w:t xml:space="preserve">Chairman Walker asked for any discussion, comments, or corrections concerning the minutes of the </w:t>
      </w:r>
      <w:r w:rsidR="00306B75">
        <w:rPr>
          <w:sz w:val="24"/>
          <w:szCs w:val="24"/>
        </w:rPr>
        <w:t>November</w:t>
      </w:r>
      <w:r w:rsidR="00C02D72">
        <w:rPr>
          <w:sz w:val="24"/>
          <w:szCs w:val="24"/>
        </w:rPr>
        <w:t xml:space="preserve"> </w:t>
      </w:r>
      <w:r w:rsidR="00306B75">
        <w:rPr>
          <w:sz w:val="24"/>
          <w:szCs w:val="24"/>
        </w:rPr>
        <w:t>17</w:t>
      </w:r>
      <w:r w:rsidRPr="00351C05">
        <w:rPr>
          <w:sz w:val="24"/>
          <w:szCs w:val="24"/>
        </w:rPr>
        <w:t>, 2011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351C05" w:rsidRPr="00351C05" w:rsidRDefault="00306B75" w:rsidP="00351C05">
      <w:pPr>
        <w:pStyle w:val="Paragraph"/>
        <w:rPr>
          <w:sz w:val="24"/>
          <w:szCs w:val="24"/>
        </w:rPr>
      </w:pPr>
      <w:proofErr w:type="gramStart"/>
      <w:r>
        <w:rPr>
          <w:sz w:val="24"/>
          <w:szCs w:val="24"/>
        </w:rPr>
        <w:t>10A NCAC 09 .0102, .2819, .2820, .2822</w:t>
      </w:r>
      <w:r w:rsidR="00351C05" w:rsidRPr="00351C05">
        <w:rPr>
          <w:sz w:val="24"/>
          <w:szCs w:val="24"/>
        </w:rPr>
        <w:t xml:space="preserve"> – </w:t>
      </w:r>
      <w:r>
        <w:rPr>
          <w:sz w:val="24"/>
          <w:szCs w:val="24"/>
        </w:rPr>
        <w:t>Child Care Commission</w:t>
      </w:r>
      <w:r w:rsidR="00351C05" w:rsidRPr="00351C05">
        <w:rPr>
          <w:sz w:val="24"/>
          <w:szCs w:val="24"/>
        </w:rPr>
        <w:t>.</w:t>
      </w:r>
      <w:proofErr w:type="gramEnd"/>
      <w:r w:rsidR="00351C05" w:rsidRPr="00351C05">
        <w:rPr>
          <w:sz w:val="24"/>
          <w:szCs w:val="24"/>
        </w:rPr>
        <w:t xml:space="preserve">  </w:t>
      </w:r>
      <w:r>
        <w:rPr>
          <w:sz w:val="24"/>
          <w:szCs w:val="24"/>
        </w:rPr>
        <w:t>No action was taken.</w:t>
      </w:r>
    </w:p>
    <w:p w:rsidR="00351C05" w:rsidRPr="00351C05" w:rsidRDefault="00351C05" w:rsidP="00351C05">
      <w:pPr>
        <w:pStyle w:val="Paragraph"/>
        <w:rPr>
          <w:sz w:val="24"/>
          <w:szCs w:val="24"/>
        </w:rPr>
      </w:pPr>
    </w:p>
    <w:p w:rsidR="00351C05" w:rsidRPr="00351C05" w:rsidRDefault="00CA4952" w:rsidP="00351C05">
      <w:pPr>
        <w:pStyle w:val="Paragraph"/>
        <w:rPr>
          <w:sz w:val="24"/>
          <w:szCs w:val="24"/>
        </w:rPr>
      </w:pPr>
      <w:proofErr w:type="gramStart"/>
      <w:r>
        <w:rPr>
          <w:sz w:val="24"/>
          <w:szCs w:val="24"/>
        </w:rPr>
        <w:t>10A NCAC 10 .0203 – Social Services Commission.</w:t>
      </w:r>
      <w:proofErr w:type="gramEnd"/>
      <w:r>
        <w:rPr>
          <w:sz w:val="24"/>
          <w:szCs w:val="24"/>
        </w:rPr>
        <w:t xml:space="preserve"> </w:t>
      </w:r>
      <w:r w:rsidRPr="00CA4952">
        <w:rPr>
          <w:sz w:val="24"/>
          <w:szCs w:val="24"/>
        </w:rPr>
        <w:t>The agency was unable to complete rules responsive to the Commission’s objections prior to the deadline for submitting rewritten rules.  No action was taken and the rules will be carried over to the next meeting.</w:t>
      </w:r>
    </w:p>
    <w:p w:rsidR="00351C05" w:rsidRPr="00351C05" w:rsidRDefault="00351C05" w:rsidP="00351C05">
      <w:pPr>
        <w:pStyle w:val="Paragraph"/>
        <w:rPr>
          <w:sz w:val="24"/>
          <w:szCs w:val="24"/>
        </w:rPr>
      </w:pPr>
    </w:p>
    <w:p w:rsidR="00351C05" w:rsidRDefault="00506CB5" w:rsidP="00351C05">
      <w:pPr>
        <w:pStyle w:val="Paragraph"/>
        <w:rPr>
          <w:sz w:val="24"/>
          <w:szCs w:val="24"/>
        </w:rPr>
      </w:pPr>
      <w:proofErr w:type="gramStart"/>
      <w:r>
        <w:rPr>
          <w:sz w:val="24"/>
          <w:szCs w:val="24"/>
        </w:rPr>
        <w:t>21 NCAC 50 .0107, 0301, .0306, .0505 .0516, .1401</w:t>
      </w:r>
      <w:r w:rsidR="00351C05" w:rsidRPr="00351C05">
        <w:rPr>
          <w:sz w:val="24"/>
          <w:szCs w:val="24"/>
        </w:rPr>
        <w:t>.</w:t>
      </w:r>
      <w:proofErr w:type="gramEnd"/>
      <w:r w:rsidR="00351C05" w:rsidRPr="00351C05">
        <w:rPr>
          <w:sz w:val="24"/>
          <w:szCs w:val="24"/>
        </w:rPr>
        <w:t xml:space="preserve">  </w:t>
      </w:r>
      <w:proofErr w:type="gramStart"/>
      <w:r>
        <w:rPr>
          <w:sz w:val="24"/>
          <w:szCs w:val="24"/>
        </w:rPr>
        <w:t>Board of Examiners for Plumbing, Heating and Fire Sprinkler Contractors.</w:t>
      </w:r>
      <w:proofErr w:type="gramEnd"/>
      <w:r>
        <w:rPr>
          <w:sz w:val="24"/>
          <w:szCs w:val="24"/>
        </w:rPr>
        <w:t xml:space="preserve">  </w:t>
      </w:r>
      <w:r w:rsidR="0018345B">
        <w:rPr>
          <w:sz w:val="24"/>
          <w:szCs w:val="24"/>
        </w:rPr>
        <w:t>The Commission approved the rewritten rules submitted by the agency.</w:t>
      </w:r>
    </w:p>
    <w:p w:rsidR="00506CB5" w:rsidRDefault="00506CB5" w:rsidP="00351C05">
      <w:pPr>
        <w:pStyle w:val="Paragraph"/>
        <w:rPr>
          <w:sz w:val="24"/>
          <w:szCs w:val="24"/>
        </w:rPr>
      </w:pPr>
    </w:p>
    <w:p w:rsidR="00506CB5" w:rsidRDefault="00506CB5" w:rsidP="00223E42">
      <w:r w:rsidRPr="00E008B7">
        <w:rPr>
          <w:rStyle w:val="BaseChar"/>
        </w:rPr>
        <w:t>The Commission received more than 10 written letters of objection to</w:t>
      </w:r>
      <w:r>
        <w:rPr>
          <w:rStyle w:val="BaseChar"/>
        </w:rPr>
        <w:t xml:space="preserve"> 21 NCA</w:t>
      </w:r>
      <w:r w:rsidR="00CA4952">
        <w:rPr>
          <w:rStyle w:val="BaseChar"/>
        </w:rPr>
        <w:t>C 50 .0301, .0306, .0505,</w:t>
      </w:r>
      <w:r>
        <w:rPr>
          <w:rStyle w:val="BaseChar"/>
        </w:rPr>
        <w:t xml:space="preserve"> .1401.  These rules are now</w:t>
      </w:r>
      <w:r w:rsidRPr="00E008B7">
        <w:rPr>
          <w:rStyle w:val="BaseChar"/>
        </w:rPr>
        <w:t xml:space="preserve"> subject to legislative review and a delayed effective date.</w:t>
      </w:r>
      <w:r>
        <w:t xml:space="preserve">  </w:t>
      </w:r>
    </w:p>
    <w:p w:rsidR="004F3B5A" w:rsidRPr="00351C05" w:rsidRDefault="004F3B5A" w:rsidP="00351C05">
      <w:pPr>
        <w:pStyle w:val="Paragraph"/>
        <w:rPr>
          <w:sz w:val="24"/>
          <w:szCs w:val="24"/>
        </w:rPr>
      </w:pPr>
    </w:p>
    <w:p w:rsidR="00CA4952" w:rsidRPr="00CA4952" w:rsidRDefault="00CA4952" w:rsidP="00CA4952">
      <w:pPr>
        <w:pStyle w:val="Paragraph"/>
        <w:rPr>
          <w:sz w:val="24"/>
          <w:szCs w:val="24"/>
        </w:rPr>
      </w:pPr>
      <w:r w:rsidRPr="00CA4952">
        <w:rPr>
          <w:sz w:val="24"/>
          <w:szCs w:val="24"/>
        </w:rPr>
        <w:t>The agency intends to respond to Commission objections to the following five rules at the January meeting:</w:t>
      </w:r>
    </w:p>
    <w:p w:rsidR="00CA4952" w:rsidRDefault="00CA4952" w:rsidP="00CA4952">
      <w:pPr>
        <w:pStyle w:val="Paragraph"/>
        <w:rPr>
          <w:sz w:val="24"/>
          <w:szCs w:val="24"/>
        </w:rPr>
      </w:pPr>
    </w:p>
    <w:p w:rsidR="00CA4952" w:rsidRDefault="00CA4952" w:rsidP="00CA4952">
      <w:pPr>
        <w:pStyle w:val="Paragraph"/>
        <w:rPr>
          <w:sz w:val="24"/>
          <w:szCs w:val="24"/>
        </w:rPr>
      </w:pPr>
      <w:r>
        <w:rPr>
          <w:sz w:val="24"/>
          <w:szCs w:val="24"/>
        </w:rPr>
        <w:t>2012 Fuel Gas Code – Sections 311.1 and 311.2 – Building Code Council. – No action was taken.</w:t>
      </w:r>
    </w:p>
    <w:p w:rsidR="00CA4952" w:rsidRDefault="00CA4952" w:rsidP="00CA4952">
      <w:pPr>
        <w:pStyle w:val="Paragraph"/>
        <w:rPr>
          <w:sz w:val="24"/>
          <w:szCs w:val="24"/>
        </w:rPr>
      </w:pPr>
    </w:p>
    <w:p w:rsidR="00CA4952" w:rsidRDefault="00CA4952" w:rsidP="00CA4952">
      <w:pPr>
        <w:pStyle w:val="Paragraph"/>
        <w:rPr>
          <w:sz w:val="24"/>
          <w:szCs w:val="24"/>
        </w:rPr>
      </w:pPr>
      <w:r>
        <w:rPr>
          <w:sz w:val="24"/>
          <w:szCs w:val="24"/>
        </w:rPr>
        <w:t>2012 Mechanical Code – Sections 313.1 and 313.2 – Building Code Council.  No action was taken.</w:t>
      </w:r>
    </w:p>
    <w:p w:rsidR="00CA4952" w:rsidRDefault="00CA4952" w:rsidP="00CA4952">
      <w:pPr>
        <w:pStyle w:val="Paragraph"/>
        <w:rPr>
          <w:sz w:val="24"/>
          <w:szCs w:val="24"/>
        </w:rPr>
      </w:pPr>
    </w:p>
    <w:p w:rsidR="00CA4952" w:rsidRDefault="00CA4952" w:rsidP="00CA4952">
      <w:pPr>
        <w:pStyle w:val="Paragraph"/>
        <w:rPr>
          <w:sz w:val="24"/>
          <w:szCs w:val="24"/>
        </w:rPr>
      </w:pPr>
      <w:r>
        <w:rPr>
          <w:sz w:val="24"/>
          <w:szCs w:val="24"/>
        </w:rPr>
        <w:t>2012 Plumbing Code – Sections 315.1 and 315.2 – Building Code Council.  No action was taken.</w:t>
      </w:r>
    </w:p>
    <w:p w:rsidR="00CA4952" w:rsidRDefault="00CA4952" w:rsidP="00CA4952">
      <w:pPr>
        <w:pStyle w:val="Paragraph"/>
        <w:rPr>
          <w:sz w:val="24"/>
          <w:szCs w:val="24"/>
        </w:rPr>
      </w:pPr>
    </w:p>
    <w:p w:rsidR="00CA4952" w:rsidRDefault="00CA4952" w:rsidP="00CA4952">
      <w:pPr>
        <w:pStyle w:val="Paragraph"/>
        <w:rPr>
          <w:sz w:val="24"/>
          <w:szCs w:val="24"/>
        </w:rPr>
      </w:pPr>
      <w:proofErr w:type="gramStart"/>
      <w:r>
        <w:rPr>
          <w:sz w:val="24"/>
          <w:szCs w:val="24"/>
        </w:rPr>
        <w:lastRenderedPageBreak/>
        <w:t>2009 Residential Code – Sections 313.1.1 and 313.1.2 – Building Code Council.</w:t>
      </w:r>
      <w:proofErr w:type="gramEnd"/>
      <w:r>
        <w:rPr>
          <w:sz w:val="24"/>
          <w:szCs w:val="24"/>
        </w:rPr>
        <w:t>  No action was taken.</w:t>
      </w:r>
    </w:p>
    <w:p w:rsidR="00CA4952" w:rsidRDefault="00CA4952" w:rsidP="00CA4952">
      <w:pPr>
        <w:pStyle w:val="Paragraph"/>
        <w:rPr>
          <w:sz w:val="24"/>
          <w:szCs w:val="24"/>
        </w:rPr>
      </w:pPr>
    </w:p>
    <w:p w:rsidR="00CA4952" w:rsidRDefault="00CA4952" w:rsidP="00CA4952">
      <w:pPr>
        <w:pStyle w:val="Paragraph"/>
        <w:rPr>
          <w:sz w:val="24"/>
          <w:szCs w:val="24"/>
        </w:rPr>
      </w:pPr>
      <w:r>
        <w:rPr>
          <w:sz w:val="24"/>
          <w:szCs w:val="24"/>
        </w:rPr>
        <w:t>2012 Residential Code – Sections 311.1 and 311.2 – Building Code Council.  No action was taken.</w:t>
      </w:r>
    </w:p>
    <w:p w:rsidR="0018345B" w:rsidRPr="00037CEC" w:rsidRDefault="0018345B" w:rsidP="00037CEC">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351C05" w:rsidP="00037CEC">
      <w:pPr>
        <w:pStyle w:val="Paragraph"/>
        <w:rPr>
          <w:sz w:val="24"/>
          <w:szCs w:val="24"/>
        </w:rPr>
      </w:pPr>
      <w:r w:rsidRPr="00037CEC">
        <w:rPr>
          <w:sz w:val="24"/>
          <w:szCs w:val="24"/>
        </w:rPr>
        <w:t>Chairman Walker presided over the review of the log of permanent rules.</w:t>
      </w:r>
    </w:p>
    <w:p w:rsidR="00351C05" w:rsidRPr="00037CEC" w:rsidRDefault="00351C05" w:rsidP="00037CEC">
      <w:pPr>
        <w:pStyle w:val="Paragraph"/>
        <w:rPr>
          <w:szCs w:val="24"/>
        </w:rPr>
      </w:pPr>
    </w:p>
    <w:p w:rsidR="00351C05" w:rsidRPr="00037CEC" w:rsidRDefault="004F3B5A" w:rsidP="00037CEC">
      <w:pPr>
        <w:pStyle w:val="Paragraph"/>
        <w:rPr>
          <w:b/>
          <w:sz w:val="24"/>
          <w:szCs w:val="24"/>
        </w:rPr>
      </w:pPr>
      <w:r>
        <w:rPr>
          <w:b/>
          <w:sz w:val="24"/>
          <w:szCs w:val="24"/>
        </w:rPr>
        <w:t>HHS – Health Service Regulation, Division of</w:t>
      </w:r>
    </w:p>
    <w:p w:rsidR="009F7303" w:rsidRPr="00037CEC" w:rsidRDefault="007E1795" w:rsidP="00037CEC">
      <w:pPr>
        <w:pStyle w:val="Paragraph"/>
        <w:rPr>
          <w:sz w:val="24"/>
          <w:szCs w:val="24"/>
        </w:rPr>
      </w:pPr>
      <w:r>
        <w:rPr>
          <w:sz w:val="24"/>
          <w:szCs w:val="24"/>
        </w:rPr>
        <w:t>The agency has withdrawn all of the rules.</w:t>
      </w:r>
    </w:p>
    <w:p w:rsidR="00351C05" w:rsidRPr="00037CEC" w:rsidRDefault="00351C05" w:rsidP="00037CEC">
      <w:pPr>
        <w:pStyle w:val="Paragraph"/>
        <w:rPr>
          <w:sz w:val="24"/>
          <w:szCs w:val="24"/>
        </w:rPr>
      </w:pPr>
    </w:p>
    <w:p w:rsidR="00351C05" w:rsidRPr="00037CEC" w:rsidRDefault="007E1795" w:rsidP="00037CEC">
      <w:pPr>
        <w:pStyle w:val="Paragraph"/>
        <w:rPr>
          <w:b/>
          <w:sz w:val="24"/>
          <w:szCs w:val="24"/>
        </w:rPr>
      </w:pPr>
      <w:r>
        <w:rPr>
          <w:b/>
          <w:sz w:val="24"/>
          <w:szCs w:val="24"/>
        </w:rPr>
        <w:t>Mental Health, Commission for</w:t>
      </w:r>
    </w:p>
    <w:p w:rsidR="00961C32" w:rsidRPr="00037CEC" w:rsidRDefault="007E1795" w:rsidP="00037CEC">
      <w:pPr>
        <w:pStyle w:val="Paragraph"/>
        <w:rPr>
          <w:sz w:val="24"/>
          <w:szCs w:val="24"/>
        </w:rPr>
      </w:pPr>
      <w:r>
        <w:rPr>
          <w:sz w:val="24"/>
          <w:szCs w:val="24"/>
        </w:rPr>
        <w:t>10A NCAC 26E .0603 was approved unanimously.</w:t>
      </w:r>
    </w:p>
    <w:p w:rsidR="00961C32" w:rsidRPr="00037CEC" w:rsidRDefault="00961C32" w:rsidP="00037CEC">
      <w:pPr>
        <w:pStyle w:val="Paragraph"/>
        <w:rPr>
          <w:sz w:val="24"/>
          <w:szCs w:val="24"/>
        </w:rPr>
      </w:pPr>
    </w:p>
    <w:p w:rsidR="00351C05" w:rsidRPr="00037CEC" w:rsidRDefault="007E1795" w:rsidP="00037CEC">
      <w:pPr>
        <w:pStyle w:val="Paragraph"/>
        <w:rPr>
          <w:b/>
          <w:sz w:val="24"/>
          <w:szCs w:val="24"/>
        </w:rPr>
      </w:pPr>
      <w:r>
        <w:rPr>
          <w:b/>
          <w:sz w:val="24"/>
          <w:szCs w:val="24"/>
        </w:rPr>
        <w:t>Wildlife Resources Commission</w:t>
      </w:r>
    </w:p>
    <w:p w:rsidR="00961C32" w:rsidRDefault="007E1795" w:rsidP="00037CEC">
      <w:pPr>
        <w:pStyle w:val="Paragraph"/>
        <w:rPr>
          <w:sz w:val="24"/>
          <w:szCs w:val="24"/>
        </w:rPr>
      </w:pPr>
      <w:r>
        <w:rPr>
          <w:sz w:val="24"/>
          <w:szCs w:val="24"/>
        </w:rPr>
        <w:t xml:space="preserve">Norman Young representing the </w:t>
      </w:r>
      <w:r w:rsidR="00C23224">
        <w:rPr>
          <w:sz w:val="24"/>
          <w:szCs w:val="24"/>
        </w:rPr>
        <w:t xml:space="preserve">Wildlife Resources </w:t>
      </w:r>
      <w:r>
        <w:rPr>
          <w:sz w:val="24"/>
          <w:szCs w:val="24"/>
        </w:rPr>
        <w:t>Commission addressed the Commission.</w:t>
      </w:r>
    </w:p>
    <w:p w:rsidR="007E1795" w:rsidRDefault="007E1795" w:rsidP="00037CEC">
      <w:pPr>
        <w:pStyle w:val="Paragraph"/>
        <w:rPr>
          <w:sz w:val="24"/>
          <w:szCs w:val="24"/>
        </w:rPr>
      </w:pPr>
    </w:p>
    <w:p w:rsidR="00351C05" w:rsidRDefault="007E1795" w:rsidP="00351C05">
      <w:pPr>
        <w:pStyle w:val="Paragraph"/>
        <w:rPr>
          <w:snapToGrid/>
          <w:sz w:val="24"/>
          <w:szCs w:val="24"/>
        </w:rPr>
      </w:pPr>
      <w:r>
        <w:rPr>
          <w:snapToGrid/>
          <w:sz w:val="24"/>
          <w:szCs w:val="24"/>
        </w:rPr>
        <w:t>All rules were approved unanimously with the following exceptions:</w:t>
      </w:r>
    </w:p>
    <w:p w:rsidR="007E1795" w:rsidRDefault="007E1795" w:rsidP="00351C05">
      <w:pPr>
        <w:pStyle w:val="Paragraph"/>
        <w:rPr>
          <w:snapToGrid/>
          <w:sz w:val="24"/>
          <w:szCs w:val="24"/>
        </w:rPr>
      </w:pPr>
    </w:p>
    <w:p w:rsidR="007E1795" w:rsidRDefault="007E1795" w:rsidP="007E1795">
      <w:pPr>
        <w:pStyle w:val="Paragraph"/>
        <w:rPr>
          <w:sz w:val="24"/>
          <w:szCs w:val="24"/>
        </w:rPr>
      </w:pPr>
      <w:r>
        <w:rPr>
          <w:snapToGrid/>
          <w:sz w:val="24"/>
          <w:szCs w:val="24"/>
        </w:rPr>
        <w:t xml:space="preserve">15A NCAC 10B .0223 – The </w:t>
      </w:r>
      <w:r w:rsidRPr="00D053BC">
        <w:rPr>
          <w:sz w:val="24"/>
          <w:szCs w:val="24"/>
        </w:rPr>
        <w:t>Commission object</w:t>
      </w:r>
      <w:r>
        <w:rPr>
          <w:sz w:val="24"/>
          <w:szCs w:val="24"/>
        </w:rPr>
        <w:t xml:space="preserve">ed to the above-captioned rule based on ambiguity </w:t>
      </w:r>
      <w:r w:rsidRPr="00D053BC">
        <w:rPr>
          <w:sz w:val="24"/>
          <w:szCs w:val="24"/>
        </w:rPr>
        <w:t>in a</w:t>
      </w:r>
      <w:r>
        <w:rPr>
          <w:sz w:val="24"/>
          <w:szCs w:val="24"/>
        </w:rPr>
        <w:t>ccordance with G.S. 150B-21.10.  This R</w:t>
      </w:r>
      <w:r w:rsidRPr="006D6CF3">
        <w:rPr>
          <w:sz w:val="24"/>
          <w:szCs w:val="24"/>
        </w:rPr>
        <w:t xml:space="preserve">ule appears to conflict with 15A NCAC 10B .0204 regulating the taking of wild boar.  It appears that both feral swine and wild boar are defined as "free ranging mammals of the species </w:t>
      </w:r>
      <w:proofErr w:type="spellStart"/>
      <w:r w:rsidRPr="006D6CF3">
        <w:rPr>
          <w:i/>
          <w:sz w:val="24"/>
          <w:szCs w:val="24"/>
        </w:rPr>
        <w:t>Sus</w:t>
      </w:r>
      <w:proofErr w:type="spellEnd"/>
      <w:r w:rsidRPr="006D6CF3">
        <w:rPr>
          <w:i/>
          <w:sz w:val="24"/>
          <w:szCs w:val="24"/>
        </w:rPr>
        <w:t xml:space="preserve"> </w:t>
      </w:r>
      <w:proofErr w:type="spellStart"/>
      <w:r w:rsidRPr="006D6CF3">
        <w:rPr>
          <w:i/>
          <w:sz w:val="24"/>
          <w:szCs w:val="24"/>
        </w:rPr>
        <w:t>rofa</w:t>
      </w:r>
      <w:proofErr w:type="spellEnd"/>
      <w:r w:rsidRPr="006D6CF3">
        <w:rPr>
          <w:sz w:val="24"/>
          <w:szCs w:val="24"/>
        </w:rPr>
        <w:t>."  It is not clear how to determine when each rule applies.</w:t>
      </w:r>
    </w:p>
    <w:p w:rsidR="007E1795" w:rsidRDefault="007E1795" w:rsidP="00351C05">
      <w:pPr>
        <w:pStyle w:val="Paragraph"/>
        <w:rPr>
          <w:snapToGrid/>
          <w:sz w:val="24"/>
          <w:szCs w:val="24"/>
        </w:rPr>
      </w:pPr>
    </w:p>
    <w:p w:rsidR="007E1795" w:rsidRDefault="007E1795" w:rsidP="007E1795">
      <w:pPr>
        <w:pStyle w:val="Paragraph"/>
        <w:rPr>
          <w:snapToGrid/>
          <w:sz w:val="24"/>
          <w:szCs w:val="24"/>
        </w:rPr>
      </w:pPr>
      <w:r>
        <w:rPr>
          <w:snapToGrid/>
          <w:sz w:val="24"/>
          <w:szCs w:val="24"/>
        </w:rPr>
        <w:t>Commissioner Simpson was not present during the vote.</w:t>
      </w:r>
    </w:p>
    <w:p w:rsidR="007E1795" w:rsidRPr="00351C05" w:rsidRDefault="007E1795" w:rsidP="00351C05">
      <w:pPr>
        <w:pStyle w:val="Paragraph"/>
        <w:rPr>
          <w:snapToGrid/>
          <w:sz w:val="24"/>
          <w:szCs w:val="24"/>
        </w:rPr>
      </w:pPr>
    </w:p>
    <w:p w:rsidR="00351C05" w:rsidRPr="00351C05" w:rsidRDefault="007E1795" w:rsidP="00351C05">
      <w:pPr>
        <w:pStyle w:val="Paragraph"/>
        <w:rPr>
          <w:b/>
          <w:snapToGrid/>
          <w:sz w:val="24"/>
          <w:szCs w:val="24"/>
        </w:rPr>
      </w:pPr>
      <w:r>
        <w:rPr>
          <w:b/>
          <w:snapToGrid/>
          <w:sz w:val="24"/>
          <w:szCs w:val="24"/>
        </w:rPr>
        <w:t>Cosmetic Art Examiners, Board of</w:t>
      </w:r>
    </w:p>
    <w:p w:rsidR="00223E42" w:rsidRDefault="00223E42" w:rsidP="00351C05">
      <w:pPr>
        <w:pStyle w:val="Paragraph"/>
        <w:rPr>
          <w:sz w:val="24"/>
          <w:szCs w:val="24"/>
        </w:rPr>
      </w:pPr>
      <w:r>
        <w:rPr>
          <w:sz w:val="24"/>
          <w:szCs w:val="24"/>
        </w:rPr>
        <w:t>Lynda Elliot from the board addressed the Commission.</w:t>
      </w:r>
    </w:p>
    <w:p w:rsidR="00223E42" w:rsidRDefault="00223E42" w:rsidP="00351C05">
      <w:pPr>
        <w:pStyle w:val="Paragraph"/>
        <w:rPr>
          <w:sz w:val="24"/>
          <w:szCs w:val="24"/>
        </w:rPr>
      </w:pPr>
    </w:p>
    <w:p w:rsidR="00351C05" w:rsidRDefault="00020841" w:rsidP="00351C05">
      <w:pPr>
        <w:pStyle w:val="Paragraph"/>
        <w:rPr>
          <w:sz w:val="24"/>
          <w:szCs w:val="24"/>
        </w:rPr>
      </w:pPr>
      <w:r>
        <w:rPr>
          <w:sz w:val="24"/>
          <w:szCs w:val="24"/>
        </w:rPr>
        <w:t>All rules were approved unanimously with the following exceptions:</w:t>
      </w:r>
    </w:p>
    <w:p w:rsidR="00020841" w:rsidRDefault="00020841" w:rsidP="00351C05">
      <w:pPr>
        <w:pStyle w:val="Paragraph"/>
        <w:rPr>
          <w:sz w:val="24"/>
          <w:szCs w:val="24"/>
        </w:rPr>
      </w:pPr>
    </w:p>
    <w:p w:rsidR="00CA4952" w:rsidRDefault="00CA4952" w:rsidP="00CA4952">
      <w:pPr>
        <w:pStyle w:val="Paragraph"/>
        <w:rPr>
          <w:sz w:val="24"/>
          <w:szCs w:val="24"/>
        </w:rPr>
      </w:pPr>
      <w:r>
        <w:rPr>
          <w:sz w:val="24"/>
          <w:szCs w:val="24"/>
        </w:rPr>
        <w:t xml:space="preserve">21 NCAC 14T </w:t>
      </w:r>
      <w:r w:rsidRPr="00CA4952">
        <w:rPr>
          <w:sz w:val="24"/>
          <w:szCs w:val="24"/>
        </w:rPr>
        <w:t>.0704 and</w:t>
      </w:r>
      <w:r>
        <w:rPr>
          <w:sz w:val="24"/>
          <w:szCs w:val="24"/>
        </w:rPr>
        <w:t xml:space="preserve"> .0801 have been withdrawn by the agency.</w:t>
      </w:r>
    </w:p>
    <w:p w:rsidR="00CA4952" w:rsidRDefault="00CA4952" w:rsidP="00CA4952">
      <w:pPr>
        <w:pStyle w:val="Paragraph"/>
        <w:rPr>
          <w:sz w:val="24"/>
          <w:szCs w:val="24"/>
        </w:rPr>
      </w:pPr>
    </w:p>
    <w:p w:rsidR="00CA4952" w:rsidRPr="00CA4952" w:rsidRDefault="00CA4952" w:rsidP="00CA4952">
      <w:r>
        <w:t xml:space="preserve">21 NCAC 14T .0614 - The Commission objected to this Rule based </w:t>
      </w:r>
      <w:r w:rsidRPr="00CA4952">
        <w:t xml:space="preserve">on ambiguity. In both items (5) and (6) of this rule there are some general standards that cosmetic arts schools and students must follow. The first concerns performing work services on clients in (5) and the second concerns student conduct in general in (6). Both rules provide that violations of these rules “may result” in some sort of discipline against either the school or the student.  The standards to be used in deciding the discipline are unclear since they are not set out in the rule. </w:t>
      </w:r>
    </w:p>
    <w:p w:rsidR="00CA4952" w:rsidRPr="00CA4952" w:rsidRDefault="00CA4952" w:rsidP="00CA4952">
      <w:pPr>
        <w:rPr>
          <w:rFonts w:ascii="Calibri" w:hAnsi="Calibri"/>
        </w:rPr>
      </w:pPr>
    </w:p>
    <w:p w:rsidR="00CA4952" w:rsidRDefault="00CA4952" w:rsidP="00CA4952">
      <w:pPr>
        <w:pStyle w:val="Paragraph"/>
        <w:rPr>
          <w:sz w:val="24"/>
          <w:szCs w:val="24"/>
        </w:rPr>
      </w:pPr>
      <w:r w:rsidRPr="00CA4952">
        <w:rPr>
          <w:sz w:val="24"/>
          <w:szCs w:val="24"/>
        </w:rPr>
        <w:t>21 NCAC 14T .0701 - The Commission objected to this Rule based on ambiguity. The</w:t>
      </w:r>
      <w:r>
        <w:rPr>
          <w:sz w:val="24"/>
          <w:szCs w:val="24"/>
        </w:rPr>
        <w:t xml:space="preserve"> rule is unclear as to the teacher-student ratios required under the rule.  In (j) the rule requires “one teacher for every 25 enrolled students” in a cosmetic arts school.  </w:t>
      </w:r>
      <w:proofErr w:type="gramStart"/>
      <w:r>
        <w:rPr>
          <w:sz w:val="24"/>
          <w:szCs w:val="24"/>
        </w:rPr>
        <w:t>However the rule in (k) states that the teacher student ratio “may exceed 1:25” for theory or demonstration classes.</w:t>
      </w:r>
      <w:proofErr w:type="gramEnd"/>
      <w:r>
        <w:rPr>
          <w:sz w:val="24"/>
          <w:szCs w:val="24"/>
        </w:rPr>
        <w:t xml:space="preserve"> It is unclear </w:t>
      </w:r>
      <w:r>
        <w:rPr>
          <w:sz w:val="24"/>
          <w:szCs w:val="24"/>
        </w:rPr>
        <w:lastRenderedPageBreak/>
        <w:t>whether the rule in (j) would still require that ratio to be met if the rule in (k) resulted in a need for less than one teacher to every 25 enrolled students.</w:t>
      </w:r>
    </w:p>
    <w:p w:rsidR="00223E42" w:rsidRPr="004921A9" w:rsidRDefault="00223E42" w:rsidP="00223E42">
      <w:pPr>
        <w:pStyle w:val="Paragraph"/>
        <w:rPr>
          <w:snapToGrid/>
          <w:sz w:val="24"/>
          <w:szCs w:val="24"/>
        </w:rPr>
      </w:pPr>
    </w:p>
    <w:p w:rsidR="00351C05" w:rsidRDefault="00805312" w:rsidP="00351C05">
      <w:pPr>
        <w:pStyle w:val="Paragraph"/>
        <w:rPr>
          <w:b/>
          <w:snapToGrid/>
          <w:sz w:val="24"/>
          <w:szCs w:val="24"/>
        </w:rPr>
      </w:pPr>
      <w:r>
        <w:rPr>
          <w:b/>
          <w:snapToGrid/>
          <w:sz w:val="24"/>
          <w:szCs w:val="24"/>
        </w:rPr>
        <w:t>Medical Board</w:t>
      </w:r>
    </w:p>
    <w:p w:rsidR="00805312" w:rsidRPr="00351C05" w:rsidRDefault="00223E42" w:rsidP="00805312">
      <w:pPr>
        <w:pStyle w:val="Paragraph"/>
        <w:rPr>
          <w:sz w:val="24"/>
          <w:szCs w:val="24"/>
        </w:rPr>
      </w:pPr>
      <w:r>
        <w:rPr>
          <w:sz w:val="24"/>
          <w:szCs w:val="24"/>
        </w:rPr>
        <w:t>Chr</w:t>
      </w:r>
      <w:r w:rsidR="00B32DF6">
        <w:rPr>
          <w:sz w:val="24"/>
          <w:szCs w:val="24"/>
        </w:rPr>
        <w:t xml:space="preserve">istina Apperson and Marcus </w:t>
      </w:r>
      <w:proofErr w:type="spellStart"/>
      <w:r w:rsidR="00B32DF6">
        <w:rPr>
          <w:sz w:val="24"/>
          <w:szCs w:val="24"/>
        </w:rPr>
        <w:t>Jimis</w:t>
      </w:r>
      <w:r>
        <w:rPr>
          <w:sz w:val="24"/>
          <w:szCs w:val="24"/>
        </w:rPr>
        <w:t>on</w:t>
      </w:r>
      <w:proofErr w:type="spellEnd"/>
      <w:r>
        <w:rPr>
          <w:sz w:val="24"/>
          <w:szCs w:val="24"/>
        </w:rPr>
        <w:t xml:space="preserve"> from the Board addressed the Commission.</w:t>
      </w:r>
    </w:p>
    <w:p w:rsidR="00351C05" w:rsidRDefault="00351C05" w:rsidP="00351C05">
      <w:pPr>
        <w:pStyle w:val="Paragraph"/>
        <w:rPr>
          <w:snapToGrid/>
          <w:sz w:val="24"/>
          <w:szCs w:val="24"/>
        </w:rPr>
      </w:pPr>
    </w:p>
    <w:p w:rsidR="00223E42" w:rsidRDefault="00223E42" w:rsidP="00351C05">
      <w:pPr>
        <w:pStyle w:val="Paragraph"/>
        <w:rPr>
          <w:snapToGrid/>
          <w:sz w:val="24"/>
          <w:szCs w:val="24"/>
        </w:rPr>
      </w:pPr>
      <w:r>
        <w:rPr>
          <w:snapToGrid/>
          <w:sz w:val="24"/>
          <w:szCs w:val="24"/>
        </w:rPr>
        <w:t>All rules were approved unanimously with the following exceptions:</w:t>
      </w:r>
    </w:p>
    <w:p w:rsidR="00223E42" w:rsidRDefault="00223E42" w:rsidP="00351C05">
      <w:pPr>
        <w:pStyle w:val="Paragraph"/>
        <w:rPr>
          <w:snapToGrid/>
          <w:sz w:val="24"/>
          <w:szCs w:val="24"/>
        </w:rPr>
      </w:pPr>
    </w:p>
    <w:p w:rsidR="00223E42" w:rsidRPr="00C23224" w:rsidRDefault="00223E42" w:rsidP="00223E42">
      <w:pPr>
        <w:pStyle w:val="Paragraph"/>
        <w:rPr>
          <w:sz w:val="24"/>
          <w:szCs w:val="24"/>
        </w:rPr>
      </w:pPr>
      <w:r w:rsidRPr="00C23224">
        <w:rPr>
          <w:sz w:val="24"/>
          <w:szCs w:val="24"/>
        </w:rPr>
        <w:t>21 NCAC 32C .0102 - The Commission objected to this Rule based on lack of statutory authority and ambiguity.  In Item (1), it is not clear what ethical customs have been defined by the North Carolina Medical Board.  There is no authority cited to do so outside of rulemaking.</w:t>
      </w:r>
    </w:p>
    <w:p w:rsidR="00223E42" w:rsidRPr="00C23224" w:rsidRDefault="00223E42" w:rsidP="00223E42">
      <w:pPr>
        <w:pStyle w:val="Base"/>
        <w:rPr>
          <w:sz w:val="24"/>
          <w:szCs w:val="24"/>
        </w:rPr>
      </w:pPr>
    </w:p>
    <w:p w:rsidR="00223E42" w:rsidRPr="00C23224" w:rsidRDefault="00223E42" w:rsidP="00223E42">
      <w:pPr>
        <w:pStyle w:val="Paragraph"/>
        <w:rPr>
          <w:sz w:val="24"/>
          <w:szCs w:val="24"/>
        </w:rPr>
      </w:pPr>
      <w:r w:rsidRPr="00C23224">
        <w:rPr>
          <w:sz w:val="24"/>
          <w:szCs w:val="24"/>
        </w:rPr>
        <w:t>21 NCAC 32C .0105 - The Commission objected to this Rule based on lack of statutory authority and lack necessity.  There is no authority cited for the Board to adopt Items (1), (3) and (5) of this Rule.  Items (6) and (7) basically just repeat portions of G.S. 55B-6, 55B-7, 55B-8 and 55B-14 and thus are not necessary to be included in the rules.</w:t>
      </w:r>
    </w:p>
    <w:p w:rsidR="00223E42" w:rsidRPr="00C23224" w:rsidRDefault="00223E42" w:rsidP="00223E42">
      <w:pPr>
        <w:pStyle w:val="Base"/>
        <w:rPr>
          <w:sz w:val="24"/>
          <w:szCs w:val="24"/>
        </w:rPr>
      </w:pPr>
    </w:p>
    <w:p w:rsidR="00223E42" w:rsidRPr="00C23224" w:rsidRDefault="00DC7EAD" w:rsidP="00DC7EAD">
      <w:pPr>
        <w:pStyle w:val="Paragraph"/>
        <w:rPr>
          <w:sz w:val="24"/>
          <w:szCs w:val="24"/>
        </w:rPr>
      </w:pPr>
      <w:r w:rsidRPr="00C23224">
        <w:rPr>
          <w:sz w:val="24"/>
          <w:szCs w:val="24"/>
        </w:rPr>
        <w:t xml:space="preserve">21 NCAC 32C .0106 - </w:t>
      </w:r>
      <w:r w:rsidR="00223E42" w:rsidRPr="00C23224">
        <w:rPr>
          <w:sz w:val="24"/>
          <w:szCs w:val="24"/>
        </w:rPr>
        <w:t xml:space="preserve">The Commission objected to </w:t>
      </w:r>
      <w:r w:rsidRPr="00C23224">
        <w:rPr>
          <w:sz w:val="24"/>
          <w:szCs w:val="24"/>
        </w:rPr>
        <w:t>this Rule</w:t>
      </w:r>
      <w:r w:rsidR="00223E42" w:rsidRPr="00C23224">
        <w:rPr>
          <w:sz w:val="24"/>
          <w:szCs w:val="24"/>
        </w:rPr>
        <w:t xml:space="preserve"> based on lack of statutory authority.  There is no authority cited for the agency to adopt this Rule.</w:t>
      </w:r>
    </w:p>
    <w:p w:rsidR="00223E42" w:rsidRPr="00C23224" w:rsidRDefault="00223E42" w:rsidP="00223E42">
      <w:pPr>
        <w:pStyle w:val="Base"/>
        <w:rPr>
          <w:sz w:val="24"/>
          <w:szCs w:val="24"/>
        </w:rPr>
      </w:pPr>
    </w:p>
    <w:p w:rsidR="00223E42" w:rsidRPr="00C23224" w:rsidRDefault="00DC7EAD" w:rsidP="00DC7EAD">
      <w:pPr>
        <w:pStyle w:val="Paragraph"/>
        <w:rPr>
          <w:sz w:val="24"/>
          <w:szCs w:val="24"/>
        </w:rPr>
      </w:pPr>
      <w:r w:rsidRPr="00C23224">
        <w:rPr>
          <w:sz w:val="24"/>
          <w:szCs w:val="24"/>
        </w:rPr>
        <w:t xml:space="preserve">21 NCAC 32C .0109 - </w:t>
      </w:r>
      <w:r w:rsidR="00223E42" w:rsidRPr="00C23224">
        <w:rPr>
          <w:sz w:val="24"/>
          <w:szCs w:val="24"/>
        </w:rPr>
        <w:t xml:space="preserve">The Commission objected to </w:t>
      </w:r>
      <w:r w:rsidRPr="00C23224">
        <w:rPr>
          <w:sz w:val="24"/>
          <w:szCs w:val="24"/>
        </w:rPr>
        <w:t>this Rule</w:t>
      </w:r>
      <w:r w:rsidR="00223E42" w:rsidRPr="00C23224">
        <w:rPr>
          <w:sz w:val="24"/>
          <w:szCs w:val="24"/>
        </w:rPr>
        <w:t xml:space="preserve"> based on lack of statutory authority.  There is no authority cited for the </w:t>
      </w:r>
      <w:r w:rsidR="00223E42" w:rsidRPr="00782CCF">
        <w:rPr>
          <w:sz w:val="24"/>
          <w:szCs w:val="24"/>
        </w:rPr>
        <w:t>agency</w:t>
      </w:r>
      <w:r w:rsidR="00223E42" w:rsidRPr="00C23224">
        <w:rPr>
          <w:sz w:val="24"/>
          <w:szCs w:val="24"/>
        </w:rPr>
        <w:t xml:space="preserve"> to adopt this Rule.</w:t>
      </w:r>
    </w:p>
    <w:p w:rsidR="00223E42" w:rsidRPr="00351C05" w:rsidRDefault="00223E42" w:rsidP="00351C05">
      <w:pPr>
        <w:pStyle w:val="Paragraph"/>
        <w:rPr>
          <w:snapToGrid/>
          <w:sz w:val="24"/>
          <w:szCs w:val="24"/>
        </w:rPr>
      </w:pPr>
    </w:p>
    <w:p w:rsidR="00351C05" w:rsidRDefault="00351C05" w:rsidP="00351C05">
      <w:pPr>
        <w:pStyle w:val="Paragraph"/>
        <w:rPr>
          <w:b/>
          <w:sz w:val="24"/>
          <w:szCs w:val="24"/>
        </w:rPr>
      </w:pPr>
      <w:r w:rsidRPr="00351C05">
        <w:rPr>
          <w:b/>
          <w:sz w:val="24"/>
          <w:szCs w:val="24"/>
        </w:rPr>
        <w:t>TEMPORARY RULES</w:t>
      </w:r>
    </w:p>
    <w:p w:rsidR="009F7B8E" w:rsidRDefault="009F7B8E" w:rsidP="00351C05">
      <w:pPr>
        <w:pStyle w:val="Paragraph"/>
        <w:rPr>
          <w:snapToGrid/>
          <w:sz w:val="24"/>
          <w:szCs w:val="24"/>
        </w:rPr>
      </w:pPr>
      <w:r w:rsidRPr="00351C05">
        <w:rPr>
          <w:snapToGrid/>
          <w:sz w:val="24"/>
          <w:szCs w:val="24"/>
        </w:rPr>
        <w:t xml:space="preserve">Chairman Walker presided over the review of the log of </w:t>
      </w:r>
      <w:r>
        <w:rPr>
          <w:snapToGrid/>
          <w:sz w:val="24"/>
          <w:szCs w:val="24"/>
        </w:rPr>
        <w:t xml:space="preserve">temporary </w:t>
      </w:r>
      <w:r w:rsidRPr="00351C05">
        <w:rPr>
          <w:snapToGrid/>
          <w:sz w:val="24"/>
          <w:szCs w:val="24"/>
        </w:rPr>
        <w:t>rules.</w:t>
      </w:r>
    </w:p>
    <w:p w:rsidR="009F7B8E" w:rsidRPr="00351C05" w:rsidRDefault="009F7B8E" w:rsidP="00351C05">
      <w:pPr>
        <w:pStyle w:val="Paragraph"/>
        <w:rPr>
          <w:b/>
          <w:sz w:val="24"/>
          <w:szCs w:val="24"/>
        </w:rPr>
      </w:pPr>
    </w:p>
    <w:p w:rsidR="00351C05" w:rsidRPr="009F7B8E" w:rsidRDefault="00DC7EAD" w:rsidP="00351C05">
      <w:pPr>
        <w:pStyle w:val="Paragraph"/>
        <w:rPr>
          <w:b/>
          <w:snapToGrid/>
          <w:sz w:val="24"/>
          <w:szCs w:val="24"/>
        </w:rPr>
      </w:pPr>
      <w:r>
        <w:rPr>
          <w:b/>
          <w:snapToGrid/>
          <w:sz w:val="24"/>
          <w:szCs w:val="24"/>
        </w:rPr>
        <w:t>HHS – Health Service Regulation, Division of</w:t>
      </w:r>
    </w:p>
    <w:p w:rsidR="009F7B8E" w:rsidRDefault="00DC7EAD" w:rsidP="00351C05">
      <w:pPr>
        <w:pStyle w:val="Paragraph"/>
        <w:rPr>
          <w:snapToGrid/>
          <w:sz w:val="24"/>
          <w:szCs w:val="24"/>
        </w:rPr>
      </w:pPr>
      <w:r>
        <w:rPr>
          <w:snapToGrid/>
          <w:sz w:val="24"/>
          <w:szCs w:val="24"/>
        </w:rPr>
        <w:t>All rules were approved unanimously.</w:t>
      </w:r>
    </w:p>
    <w:p w:rsidR="009F7B8E" w:rsidRDefault="009F7B8E" w:rsidP="00351C05">
      <w:pPr>
        <w:pStyle w:val="Paragraph"/>
        <w:rPr>
          <w:snapToGrid/>
          <w:sz w:val="24"/>
          <w:szCs w:val="24"/>
        </w:rPr>
      </w:pPr>
    </w:p>
    <w:p w:rsidR="00DC7EAD" w:rsidRPr="00DC7EAD" w:rsidRDefault="00DC7EAD" w:rsidP="00351C05">
      <w:pPr>
        <w:pStyle w:val="Paragraph"/>
        <w:rPr>
          <w:b/>
          <w:snapToGrid/>
          <w:sz w:val="24"/>
          <w:szCs w:val="24"/>
        </w:rPr>
      </w:pPr>
      <w:r w:rsidRPr="00DC7EAD">
        <w:rPr>
          <w:b/>
          <w:snapToGrid/>
          <w:sz w:val="24"/>
          <w:szCs w:val="24"/>
        </w:rPr>
        <w:t>Environmental Management Commission</w:t>
      </w:r>
    </w:p>
    <w:p w:rsidR="00DC7EAD" w:rsidRDefault="00DC7EAD" w:rsidP="00351C05">
      <w:pPr>
        <w:pStyle w:val="Paragraph"/>
        <w:rPr>
          <w:snapToGrid/>
          <w:sz w:val="24"/>
          <w:szCs w:val="24"/>
        </w:rPr>
      </w:pPr>
      <w:r>
        <w:rPr>
          <w:snapToGrid/>
          <w:sz w:val="24"/>
          <w:szCs w:val="24"/>
        </w:rPr>
        <w:t>15A NCAC 02D .0544 was approved unanimously.</w:t>
      </w:r>
    </w:p>
    <w:p w:rsidR="00DC7EAD" w:rsidRDefault="00DC7EAD" w:rsidP="00351C05">
      <w:pPr>
        <w:pStyle w:val="Paragraph"/>
        <w:rPr>
          <w:snapToGrid/>
          <w:sz w:val="24"/>
          <w:szCs w:val="24"/>
        </w:rPr>
      </w:pPr>
    </w:p>
    <w:p w:rsidR="00DC7EAD" w:rsidRPr="00DC7EAD" w:rsidRDefault="00DC7EAD" w:rsidP="00351C05">
      <w:pPr>
        <w:pStyle w:val="Paragraph"/>
        <w:rPr>
          <w:b/>
          <w:snapToGrid/>
          <w:sz w:val="24"/>
          <w:szCs w:val="24"/>
        </w:rPr>
      </w:pPr>
      <w:r w:rsidRPr="00DC7EAD">
        <w:rPr>
          <w:b/>
          <w:snapToGrid/>
          <w:sz w:val="24"/>
          <w:szCs w:val="24"/>
        </w:rPr>
        <w:t>Wildlife Resources Commission</w:t>
      </w:r>
    </w:p>
    <w:p w:rsidR="00DC7EAD" w:rsidRDefault="009323F1" w:rsidP="00351C05">
      <w:pPr>
        <w:pStyle w:val="Paragraph"/>
        <w:rPr>
          <w:snapToGrid/>
          <w:sz w:val="24"/>
          <w:szCs w:val="24"/>
        </w:rPr>
      </w:pPr>
      <w:r>
        <w:rPr>
          <w:snapToGrid/>
          <w:sz w:val="24"/>
          <w:szCs w:val="24"/>
        </w:rPr>
        <w:t>All rules were approved unanimously.</w:t>
      </w:r>
    </w:p>
    <w:p w:rsidR="00DC7EAD" w:rsidRDefault="00DC7EAD" w:rsidP="00351C05">
      <w:pPr>
        <w:pStyle w:val="Paragraph"/>
        <w:rPr>
          <w:snapToGrid/>
          <w:sz w:val="24"/>
          <w:szCs w:val="24"/>
        </w:rPr>
      </w:pPr>
    </w:p>
    <w:p w:rsidR="00DC7EAD" w:rsidRDefault="00DC7EAD" w:rsidP="00351C05">
      <w:pPr>
        <w:pStyle w:val="Paragraph"/>
        <w:rPr>
          <w:b/>
          <w:snapToGrid/>
          <w:sz w:val="24"/>
          <w:szCs w:val="24"/>
        </w:rPr>
      </w:pPr>
      <w:r w:rsidRPr="00DC7EAD">
        <w:rPr>
          <w:b/>
          <w:snapToGrid/>
          <w:sz w:val="24"/>
          <w:szCs w:val="24"/>
        </w:rPr>
        <w:t>Administrative Hearings, Office of</w:t>
      </w:r>
    </w:p>
    <w:p w:rsidR="00CA4952" w:rsidRPr="00CA4952" w:rsidRDefault="00CA4952" w:rsidP="00CA4952">
      <w:pPr>
        <w:pStyle w:val="Base"/>
        <w:rPr>
          <w:sz w:val="24"/>
          <w:szCs w:val="24"/>
        </w:rPr>
      </w:pPr>
      <w:r>
        <w:rPr>
          <w:sz w:val="24"/>
          <w:szCs w:val="24"/>
        </w:rPr>
        <w:t xml:space="preserve">Commissioner </w:t>
      </w:r>
      <w:r w:rsidRPr="00CA4952">
        <w:rPr>
          <w:sz w:val="24"/>
          <w:szCs w:val="24"/>
        </w:rPr>
        <w:t>Walker reviewed the rules from the Office of Administrative Hearings.</w:t>
      </w:r>
      <w:r>
        <w:rPr>
          <w:sz w:val="24"/>
          <w:szCs w:val="24"/>
        </w:rPr>
        <w:t xml:space="preserve"> </w:t>
      </w:r>
      <w:r w:rsidRPr="00CA4952">
        <w:rPr>
          <w:sz w:val="24"/>
          <w:szCs w:val="24"/>
        </w:rPr>
        <w:t xml:space="preserve"> He did not participate in any discussion or vote concerning these rules.</w:t>
      </w:r>
    </w:p>
    <w:p w:rsidR="00C23224" w:rsidRPr="00C23224" w:rsidRDefault="00C23224" w:rsidP="00351C05">
      <w:pPr>
        <w:pStyle w:val="Paragraph"/>
        <w:rPr>
          <w:snapToGrid/>
          <w:sz w:val="24"/>
          <w:szCs w:val="24"/>
        </w:rPr>
      </w:pPr>
    </w:p>
    <w:p w:rsidR="00DC7EAD" w:rsidRDefault="009323F1" w:rsidP="00351C05">
      <w:pPr>
        <w:pStyle w:val="Paragraph"/>
        <w:rPr>
          <w:snapToGrid/>
          <w:sz w:val="24"/>
          <w:szCs w:val="24"/>
        </w:rPr>
      </w:pPr>
      <w:r>
        <w:rPr>
          <w:snapToGrid/>
          <w:sz w:val="24"/>
          <w:szCs w:val="24"/>
        </w:rPr>
        <w:t>All rules were approved unanimously.</w:t>
      </w:r>
    </w:p>
    <w:p w:rsidR="009323F1" w:rsidRDefault="009323F1" w:rsidP="00351C05">
      <w:pPr>
        <w:pStyle w:val="Paragraph"/>
        <w:rPr>
          <w:snapToGrid/>
          <w:sz w:val="24"/>
          <w:szCs w:val="24"/>
        </w:rPr>
      </w:pPr>
    </w:p>
    <w:p w:rsidR="00351C05" w:rsidRPr="00351C05" w:rsidRDefault="00351C05" w:rsidP="00351C05">
      <w:pPr>
        <w:pStyle w:val="Paragraph"/>
        <w:rPr>
          <w:b/>
          <w:sz w:val="24"/>
          <w:szCs w:val="24"/>
        </w:rPr>
      </w:pPr>
      <w:r w:rsidRPr="00351C05">
        <w:rPr>
          <w:b/>
          <w:sz w:val="24"/>
          <w:szCs w:val="24"/>
        </w:rPr>
        <w:t>COMMISSION PROCEDURES AND OTHER BUSINESS</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 xml:space="preserve">The meeting adjourned at </w:t>
      </w:r>
      <w:r w:rsidR="009F7B8E">
        <w:rPr>
          <w:sz w:val="24"/>
          <w:szCs w:val="24"/>
        </w:rPr>
        <w:t>1</w:t>
      </w:r>
      <w:r w:rsidR="009323F1">
        <w:rPr>
          <w:sz w:val="24"/>
          <w:szCs w:val="24"/>
        </w:rPr>
        <w:t>1</w:t>
      </w:r>
      <w:r w:rsidRPr="00351C05">
        <w:rPr>
          <w:sz w:val="24"/>
          <w:szCs w:val="24"/>
        </w:rPr>
        <w:t>:</w:t>
      </w:r>
      <w:r w:rsidR="009323F1">
        <w:rPr>
          <w:sz w:val="24"/>
          <w:szCs w:val="24"/>
        </w:rPr>
        <w:t>27</w:t>
      </w:r>
      <w:r w:rsidRPr="00351C05">
        <w:rPr>
          <w:sz w:val="24"/>
          <w:szCs w:val="24"/>
        </w:rPr>
        <w:t xml:space="preserve"> p.m.</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 xml:space="preserve">The next scheduled meeting of the Commission is Thursday, </w:t>
      </w:r>
      <w:r w:rsidR="009323F1">
        <w:rPr>
          <w:sz w:val="24"/>
          <w:szCs w:val="24"/>
        </w:rPr>
        <w:t xml:space="preserve">January </w:t>
      </w:r>
      <w:r w:rsidRPr="00351C05">
        <w:rPr>
          <w:sz w:val="24"/>
          <w:szCs w:val="24"/>
        </w:rPr>
        <w:t>1</w:t>
      </w:r>
      <w:r w:rsidR="00C67901">
        <w:rPr>
          <w:sz w:val="24"/>
          <w:szCs w:val="24"/>
        </w:rPr>
        <w:t>9</w:t>
      </w:r>
      <w:r w:rsidRPr="00351C05">
        <w:rPr>
          <w:sz w:val="24"/>
          <w:szCs w:val="24"/>
        </w:rPr>
        <w:t xml:space="preserve"> at 10:00 a.m.</w:t>
      </w:r>
    </w:p>
    <w:p w:rsidR="00351C05" w:rsidRPr="00351C05" w:rsidRDefault="00351C05" w:rsidP="00351C05">
      <w:pPr>
        <w:pStyle w:val="Paragraph"/>
        <w:rPr>
          <w:sz w:val="24"/>
          <w:szCs w:val="24"/>
        </w:rPr>
      </w:pPr>
      <w:r w:rsidRPr="00351C05">
        <w:rPr>
          <w:sz w:val="24"/>
          <w:szCs w:val="24"/>
        </w:rPr>
        <w:lastRenderedPageBreak/>
        <w:t>Respectfully Submitted,</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FE1A8C" w:rsidRDefault="00FE1A8C"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rPr>
          <w:sz w:val="24"/>
          <w:szCs w:val="24"/>
        </w:rPr>
      </w:pPr>
      <w:r w:rsidRPr="00351C05">
        <w:rPr>
          <w:sz w:val="24"/>
          <w:szCs w:val="24"/>
        </w:rPr>
        <w:tab/>
      </w:r>
      <w:r w:rsidRPr="00351C05">
        <w:rPr>
          <w:sz w:val="24"/>
          <w:szCs w:val="24"/>
        </w:rPr>
        <w:tab/>
        <w:t>Date</w:t>
      </w:r>
    </w:p>
    <w:p w:rsidR="00FE1A8C" w:rsidRPr="00351C05" w:rsidRDefault="00FE1A8C" w:rsidP="00351C05">
      <w:pPr>
        <w:pStyle w:val="Paragraph"/>
        <w:ind w:firstLine="900"/>
        <w:jc w:val="left"/>
        <w:rPr>
          <w:sz w:val="24"/>
          <w:szCs w:val="24"/>
        </w:rPr>
      </w:pPr>
    </w:p>
    <w:p w:rsidR="005B35DD" w:rsidRPr="00351C05" w:rsidRDefault="005B35DD" w:rsidP="00223E42"/>
    <w:p w:rsidR="00815784" w:rsidRPr="00351C05" w:rsidRDefault="00815784" w:rsidP="00223E42">
      <w:pPr>
        <w:sectPr w:rsidR="00815784" w:rsidRPr="00351C05" w:rsidSect="00E64D54">
          <w:headerReference w:type="even" r:id="rId9"/>
          <w:footerReference w:type="even" r:id="rId10"/>
          <w:type w:val="continuous"/>
          <w:pgSz w:w="12240" w:h="15840"/>
          <w:pgMar w:top="1440" w:right="1440" w:bottom="1440" w:left="1440" w:header="720" w:footer="720" w:gutter="0"/>
          <w:cols w:space="720"/>
          <w:titlePg/>
          <w:docGrid w:linePitch="360"/>
        </w:sectPr>
      </w:pPr>
    </w:p>
    <w:p w:rsidR="00815784" w:rsidRPr="00351C05" w:rsidRDefault="00815784" w:rsidP="00223E42">
      <w:pPr>
        <w:sectPr w:rsidR="00815784" w:rsidRPr="00351C05" w:rsidSect="00E64D54">
          <w:type w:val="continuous"/>
          <w:pgSz w:w="12240" w:h="15840"/>
          <w:pgMar w:top="1440" w:right="1440" w:bottom="1440" w:left="1440" w:header="720" w:footer="720" w:gutter="0"/>
          <w:cols w:space="720"/>
          <w:titlePg/>
          <w:docGrid w:linePitch="360"/>
        </w:sectPr>
      </w:pPr>
    </w:p>
    <w:p w:rsidR="00DF3B54" w:rsidRDefault="00054459" w:rsidP="00DF3B54">
      <w:pPr>
        <w:pStyle w:val="Defaul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8pt;height:689.3pt;mso-position-vertical:absolute">
            <v:imagedata r:id="rId11" o:title=""/>
          </v:shape>
        </w:pict>
      </w:r>
    </w:p>
    <w:sectPr w:rsidR="00DF3B54" w:rsidSect="001A1016">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24" w:rsidRDefault="00C23224" w:rsidP="00223E42">
      <w:r>
        <w:separator/>
      </w:r>
    </w:p>
    <w:p w:rsidR="00C23224" w:rsidRDefault="00C23224" w:rsidP="00223E42"/>
  </w:endnote>
  <w:endnote w:type="continuationSeparator" w:id="0">
    <w:p w:rsidR="00C23224" w:rsidRDefault="00C23224" w:rsidP="00223E42">
      <w:r>
        <w:continuationSeparator/>
      </w:r>
    </w:p>
    <w:p w:rsidR="00C23224" w:rsidRDefault="00C23224" w:rsidP="00223E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24" w:rsidRDefault="00382D92" w:rsidP="00223E42">
    <w:pPr>
      <w:pStyle w:val="Footer"/>
      <w:rPr>
        <w:rStyle w:val="PageNumber"/>
      </w:rPr>
    </w:pPr>
    <w:r>
      <w:rPr>
        <w:rStyle w:val="PageNumber"/>
      </w:rPr>
      <w:fldChar w:fldCharType="begin"/>
    </w:r>
    <w:r w:rsidR="00C23224">
      <w:rPr>
        <w:rStyle w:val="PageNumber"/>
      </w:rPr>
      <w:instrText xml:space="preserve">PAGE  </w:instrText>
    </w:r>
    <w:r>
      <w:rPr>
        <w:rStyle w:val="PageNumber"/>
      </w:rPr>
      <w:fldChar w:fldCharType="end"/>
    </w:r>
  </w:p>
  <w:p w:rsidR="00C23224" w:rsidRDefault="00C23224" w:rsidP="00223E42">
    <w:pPr>
      <w:pStyle w:val="Footer"/>
      <w:rPr>
        <w:rStyle w:val="PageNumber"/>
      </w:rPr>
    </w:pPr>
  </w:p>
  <w:p w:rsidR="00C23224" w:rsidRDefault="00C23224" w:rsidP="00223E42">
    <w:pPr>
      <w:pStyle w:val="Footer"/>
    </w:pPr>
  </w:p>
  <w:p w:rsidR="00C23224" w:rsidRDefault="00C23224" w:rsidP="00223E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24" w:rsidRDefault="00C23224" w:rsidP="00223E42">
      <w:r>
        <w:separator/>
      </w:r>
    </w:p>
    <w:p w:rsidR="00C23224" w:rsidRDefault="00C23224" w:rsidP="00223E42"/>
  </w:footnote>
  <w:footnote w:type="continuationSeparator" w:id="0">
    <w:p w:rsidR="00C23224" w:rsidRDefault="00C23224" w:rsidP="00223E42">
      <w:r>
        <w:continuationSeparator/>
      </w:r>
    </w:p>
    <w:p w:rsidR="00C23224" w:rsidRDefault="00C23224" w:rsidP="00223E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24" w:rsidRDefault="00C23224" w:rsidP="00223E42">
    <w:pPr>
      <w:pStyle w:val="Header"/>
    </w:pPr>
  </w:p>
  <w:p w:rsidR="00C23224" w:rsidRDefault="00C23224" w:rsidP="00223E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5"/>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F6B"/>
    <w:rsid w:val="00016149"/>
    <w:rsid w:val="000165C6"/>
    <w:rsid w:val="00016643"/>
    <w:rsid w:val="000176BB"/>
    <w:rsid w:val="00020841"/>
    <w:rsid w:val="00021583"/>
    <w:rsid w:val="00021E42"/>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4459"/>
    <w:rsid w:val="00055B46"/>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3481"/>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502B7"/>
    <w:rsid w:val="00151305"/>
    <w:rsid w:val="0015284A"/>
    <w:rsid w:val="00153605"/>
    <w:rsid w:val="001536DD"/>
    <w:rsid w:val="0015430A"/>
    <w:rsid w:val="00156AA3"/>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7778"/>
    <w:rsid w:val="001D7D78"/>
    <w:rsid w:val="001D7D96"/>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3E42"/>
    <w:rsid w:val="00224051"/>
    <w:rsid w:val="00225C49"/>
    <w:rsid w:val="002263D1"/>
    <w:rsid w:val="002269DF"/>
    <w:rsid w:val="00226CBE"/>
    <w:rsid w:val="0022712C"/>
    <w:rsid w:val="002271FE"/>
    <w:rsid w:val="002272CA"/>
    <w:rsid w:val="00227C46"/>
    <w:rsid w:val="00230CC6"/>
    <w:rsid w:val="00230DCE"/>
    <w:rsid w:val="0023213B"/>
    <w:rsid w:val="00236CDD"/>
    <w:rsid w:val="002372C3"/>
    <w:rsid w:val="002379EA"/>
    <w:rsid w:val="002400F4"/>
    <w:rsid w:val="00240211"/>
    <w:rsid w:val="00240C1A"/>
    <w:rsid w:val="00240D55"/>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40424"/>
    <w:rsid w:val="0034093D"/>
    <w:rsid w:val="003409DE"/>
    <w:rsid w:val="0034171B"/>
    <w:rsid w:val="003421A6"/>
    <w:rsid w:val="0034250C"/>
    <w:rsid w:val="00343B2C"/>
    <w:rsid w:val="00343EE3"/>
    <w:rsid w:val="0034573B"/>
    <w:rsid w:val="00345CB3"/>
    <w:rsid w:val="00346B0B"/>
    <w:rsid w:val="00346C4E"/>
    <w:rsid w:val="0034702E"/>
    <w:rsid w:val="003473D5"/>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3947"/>
    <w:rsid w:val="00374EF8"/>
    <w:rsid w:val="00375391"/>
    <w:rsid w:val="003756DA"/>
    <w:rsid w:val="00376544"/>
    <w:rsid w:val="003769EE"/>
    <w:rsid w:val="00377266"/>
    <w:rsid w:val="0038150F"/>
    <w:rsid w:val="00382D92"/>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1372"/>
    <w:rsid w:val="00401530"/>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565"/>
    <w:rsid w:val="004258C7"/>
    <w:rsid w:val="00427050"/>
    <w:rsid w:val="004270A4"/>
    <w:rsid w:val="00427FDA"/>
    <w:rsid w:val="00430FA9"/>
    <w:rsid w:val="00431593"/>
    <w:rsid w:val="00432D11"/>
    <w:rsid w:val="004334A2"/>
    <w:rsid w:val="00433D37"/>
    <w:rsid w:val="00435017"/>
    <w:rsid w:val="00436C68"/>
    <w:rsid w:val="00436C7B"/>
    <w:rsid w:val="00436E78"/>
    <w:rsid w:val="00442E2C"/>
    <w:rsid w:val="0044420A"/>
    <w:rsid w:val="004442E8"/>
    <w:rsid w:val="00445A40"/>
    <w:rsid w:val="004464C1"/>
    <w:rsid w:val="00446780"/>
    <w:rsid w:val="00447DF9"/>
    <w:rsid w:val="004504EF"/>
    <w:rsid w:val="00450717"/>
    <w:rsid w:val="0045167C"/>
    <w:rsid w:val="004526AF"/>
    <w:rsid w:val="0045279B"/>
    <w:rsid w:val="0045498B"/>
    <w:rsid w:val="00454BE5"/>
    <w:rsid w:val="004559B3"/>
    <w:rsid w:val="00455B3C"/>
    <w:rsid w:val="00457D4D"/>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F0736"/>
    <w:rsid w:val="004F0CFD"/>
    <w:rsid w:val="004F156E"/>
    <w:rsid w:val="004F3B5A"/>
    <w:rsid w:val="004F3BE9"/>
    <w:rsid w:val="004F6867"/>
    <w:rsid w:val="004F795B"/>
    <w:rsid w:val="00500E73"/>
    <w:rsid w:val="00502742"/>
    <w:rsid w:val="00502FF1"/>
    <w:rsid w:val="005046AD"/>
    <w:rsid w:val="00504808"/>
    <w:rsid w:val="00504B20"/>
    <w:rsid w:val="005051F7"/>
    <w:rsid w:val="005062D6"/>
    <w:rsid w:val="00506CB5"/>
    <w:rsid w:val="00506D67"/>
    <w:rsid w:val="005078DC"/>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B53"/>
    <w:rsid w:val="00553E07"/>
    <w:rsid w:val="00554A78"/>
    <w:rsid w:val="00554D6B"/>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94C"/>
    <w:rsid w:val="005B0436"/>
    <w:rsid w:val="005B12D6"/>
    <w:rsid w:val="005B1D6C"/>
    <w:rsid w:val="005B1F3D"/>
    <w:rsid w:val="005B2803"/>
    <w:rsid w:val="005B2A6A"/>
    <w:rsid w:val="005B35DD"/>
    <w:rsid w:val="005B3CBF"/>
    <w:rsid w:val="005B3EDD"/>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3210"/>
    <w:rsid w:val="005F4217"/>
    <w:rsid w:val="005F464B"/>
    <w:rsid w:val="005F4745"/>
    <w:rsid w:val="005F75C8"/>
    <w:rsid w:val="00600116"/>
    <w:rsid w:val="00600C5D"/>
    <w:rsid w:val="00601648"/>
    <w:rsid w:val="00602114"/>
    <w:rsid w:val="00602754"/>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649A"/>
    <w:rsid w:val="00776A22"/>
    <w:rsid w:val="00777297"/>
    <w:rsid w:val="00777A92"/>
    <w:rsid w:val="007800F0"/>
    <w:rsid w:val="007801D7"/>
    <w:rsid w:val="0078174A"/>
    <w:rsid w:val="00781FEE"/>
    <w:rsid w:val="00782030"/>
    <w:rsid w:val="00782CCF"/>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7DE"/>
    <w:rsid w:val="00814D87"/>
    <w:rsid w:val="00815784"/>
    <w:rsid w:val="0081672A"/>
    <w:rsid w:val="00816C70"/>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49E"/>
    <w:rsid w:val="00833A9C"/>
    <w:rsid w:val="0083432F"/>
    <w:rsid w:val="008350A7"/>
    <w:rsid w:val="00836A40"/>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2780"/>
    <w:rsid w:val="00893205"/>
    <w:rsid w:val="00894A44"/>
    <w:rsid w:val="00894CB2"/>
    <w:rsid w:val="008952D1"/>
    <w:rsid w:val="008956A8"/>
    <w:rsid w:val="00895ACB"/>
    <w:rsid w:val="00895C47"/>
    <w:rsid w:val="0089616A"/>
    <w:rsid w:val="00896546"/>
    <w:rsid w:val="00896B62"/>
    <w:rsid w:val="008977E3"/>
    <w:rsid w:val="008A27F5"/>
    <w:rsid w:val="008A330F"/>
    <w:rsid w:val="008A350D"/>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3F1"/>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4919"/>
    <w:rsid w:val="00964A8C"/>
    <w:rsid w:val="00965C8E"/>
    <w:rsid w:val="00966705"/>
    <w:rsid w:val="00966D3F"/>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F4"/>
    <w:rsid w:val="009D28A6"/>
    <w:rsid w:val="009D2A84"/>
    <w:rsid w:val="009D320A"/>
    <w:rsid w:val="009D43C5"/>
    <w:rsid w:val="009E00FC"/>
    <w:rsid w:val="009E2C11"/>
    <w:rsid w:val="009E4A79"/>
    <w:rsid w:val="009E5204"/>
    <w:rsid w:val="009E5F41"/>
    <w:rsid w:val="009E7448"/>
    <w:rsid w:val="009E75F0"/>
    <w:rsid w:val="009E7838"/>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6D8C"/>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DF6"/>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F5E"/>
    <w:rsid w:val="00B71040"/>
    <w:rsid w:val="00B718E9"/>
    <w:rsid w:val="00B71983"/>
    <w:rsid w:val="00B719F2"/>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BF7C95"/>
    <w:rsid w:val="00C0027C"/>
    <w:rsid w:val="00C00999"/>
    <w:rsid w:val="00C01334"/>
    <w:rsid w:val="00C01423"/>
    <w:rsid w:val="00C014B7"/>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32135"/>
    <w:rsid w:val="00C328BC"/>
    <w:rsid w:val="00C334B8"/>
    <w:rsid w:val="00C339C7"/>
    <w:rsid w:val="00C342D9"/>
    <w:rsid w:val="00C36273"/>
    <w:rsid w:val="00C412F1"/>
    <w:rsid w:val="00C413D5"/>
    <w:rsid w:val="00C418D7"/>
    <w:rsid w:val="00C4405B"/>
    <w:rsid w:val="00C44A8B"/>
    <w:rsid w:val="00C456BE"/>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E60"/>
    <w:rsid w:val="00C67901"/>
    <w:rsid w:val="00C67C45"/>
    <w:rsid w:val="00C7012B"/>
    <w:rsid w:val="00C70514"/>
    <w:rsid w:val="00C70E93"/>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FB1"/>
    <w:rsid w:val="00CF74E2"/>
    <w:rsid w:val="00CF7673"/>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7FB"/>
    <w:rsid w:val="00DA2A52"/>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5E41"/>
    <w:rsid w:val="00DE6013"/>
    <w:rsid w:val="00DE7628"/>
    <w:rsid w:val="00DE7708"/>
    <w:rsid w:val="00DF0550"/>
    <w:rsid w:val="00DF0C88"/>
    <w:rsid w:val="00DF0CDD"/>
    <w:rsid w:val="00DF0DE2"/>
    <w:rsid w:val="00DF1F69"/>
    <w:rsid w:val="00DF2658"/>
    <w:rsid w:val="00DF26B9"/>
    <w:rsid w:val="00DF2D93"/>
    <w:rsid w:val="00DF36D6"/>
    <w:rsid w:val="00DF3B54"/>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50EB"/>
    <w:rsid w:val="00E05F70"/>
    <w:rsid w:val="00E06192"/>
    <w:rsid w:val="00E06B88"/>
    <w:rsid w:val="00E06FEE"/>
    <w:rsid w:val="00E07665"/>
    <w:rsid w:val="00E1083C"/>
    <w:rsid w:val="00E10E50"/>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3CA3"/>
    <w:rsid w:val="00E34260"/>
    <w:rsid w:val="00E3468E"/>
    <w:rsid w:val="00E346D5"/>
    <w:rsid w:val="00E34D55"/>
    <w:rsid w:val="00E35D3A"/>
    <w:rsid w:val="00E36F2A"/>
    <w:rsid w:val="00E37057"/>
    <w:rsid w:val="00E3712C"/>
    <w:rsid w:val="00E37A25"/>
    <w:rsid w:val="00E40393"/>
    <w:rsid w:val="00E40438"/>
    <w:rsid w:val="00E44335"/>
    <w:rsid w:val="00E44FD9"/>
    <w:rsid w:val="00E46328"/>
    <w:rsid w:val="00E466F8"/>
    <w:rsid w:val="00E46DBA"/>
    <w:rsid w:val="00E4759A"/>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6E0"/>
    <w:rsid w:val="00EE04A0"/>
    <w:rsid w:val="00EE0576"/>
    <w:rsid w:val="00EE0787"/>
    <w:rsid w:val="00EE131A"/>
    <w:rsid w:val="00EE14FD"/>
    <w:rsid w:val="00EE16C5"/>
    <w:rsid w:val="00EE3BCF"/>
    <w:rsid w:val="00EE4FAC"/>
    <w:rsid w:val="00EE5B5B"/>
    <w:rsid w:val="00EE6BF7"/>
    <w:rsid w:val="00EF0C00"/>
    <w:rsid w:val="00EF22FC"/>
    <w:rsid w:val="00EF2900"/>
    <w:rsid w:val="00EF2931"/>
    <w:rsid w:val="00EF40FC"/>
    <w:rsid w:val="00EF5330"/>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C6E"/>
    <w:rsid w:val="00F149FD"/>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0BDE"/>
    <w:rsid w:val="00FC13C1"/>
    <w:rsid w:val="00FC1A97"/>
    <w:rsid w:val="00FC2600"/>
    <w:rsid w:val="00FC3AEA"/>
    <w:rsid w:val="00FC59F7"/>
    <w:rsid w:val="00FC5AAC"/>
    <w:rsid w:val="00FC7BF0"/>
    <w:rsid w:val="00FD16B3"/>
    <w:rsid w:val="00FD3648"/>
    <w:rsid w:val="00FD3969"/>
    <w:rsid w:val="00FD4C83"/>
    <w:rsid w:val="00FD4D1F"/>
    <w:rsid w:val="00FD5365"/>
    <w:rsid w:val="00FD5E2B"/>
    <w:rsid w:val="00FD5EB3"/>
    <w:rsid w:val="00FD5FB8"/>
    <w:rsid w:val="00FD7064"/>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223E42"/>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uiPriority w:val="10"/>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 w:type="paragraph" w:styleId="DocumentMap">
    <w:name w:val="Document Map"/>
    <w:basedOn w:val="Normal"/>
    <w:link w:val="DocumentMapChar"/>
    <w:rsid w:val="00016149"/>
    <w:rPr>
      <w:rFonts w:ascii="Tahoma" w:hAnsi="Tahoma" w:cs="Tahoma"/>
      <w:sz w:val="16"/>
      <w:szCs w:val="16"/>
    </w:rPr>
  </w:style>
  <w:style w:type="character" w:customStyle="1" w:styleId="DocumentMapChar">
    <w:name w:val="Document Map Char"/>
    <w:basedOn w:val="DefaultParagraphFont"/>
    <w:link w:val="DocumentMap"/>
    <w:rsid w:val="00016149"/>
    <w:rPr>
      <w:rFonts w:ascii="Tahoma" w:hAnsi="Tahoma" w:cs="Tahoma"/>
      <w:sz w:val="16"/>
      <w:szCs w:val="1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character" w:customStyle="1" w:styleId="apple-style-span">
    <w:name w:val="apple-style-span"/>
    <w:rsid w:val="004921A9"/>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A17A-C1BB-4479-9CBD-9E07E64C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1028</Words>
  <Characters>5559</Characters>
  <Application>Microsoft Office Word</Application>
  <DocSecurity>0</DocSecurity>
  <Lines>427</Lines>
  <Paragraphs>365</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15</cp:revision>
  <cp:lastPrinted>2011-11-28T14:04:00Z</cp:lastPrinted>
  <dcterms:created xsi:type="dcterms:W3CDTF">2012-01-09T13:07:00Z</dcterms:created>
  <dcterms:modified xsi:type="dcterms:W3CDTF">2012-01-30T15:36:00Z</dcterms:modified>
</cp:coreProperties>
</file>