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117"/>
        <w:gridCol w:w="67"/>
        <w:gridCol w:w="738"/>
        <w:gridCol w:w="644"/>
        <w:gridCol w:w="450"/>
        <w:gridCol w:w="594"/>
      </w:tblGrid>
      <w:tr w:rsidR="00000000">
        <w:trPr>
          <w:tblCellSpacing w:w="0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5" w:type="dxa"/>
              <w:bottom w:w="0" w:type="dxa"/>
              <w:right w:w="125" w:type="dxa"/>
            </w:tcMar>
            <w:hideMark/>
          </w:tcPr>
          <w:p w:rsidR="00000000" w:rsidRPr="0045418D" w:rsidRDefault="00BF5E8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5418D">
              <w:rPr>
                <w:rFonts w:eastAsia="Times New Roman"/>
                <w:b/>
                <w:bCs/>
                <w:sz w:val="28"/>
                <w:szCs w:val="28"/>
              </w:rPr>
              <w:t>Commission Review</w:t>
            </w:r>
          </w:p>
          <w:p w:rsidR="00000000" w:rsidRPr="0045418D" w:rsidRDefault="00BF5E86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 w:rsidRPr="0045418D">
              <w:rPr>
                <w:rFonts w:eastAsia="Times New Roman"/>
                <w:b/>
                <w:bCs/>
                <w:i/>
                <w:iCs/>
              </w:rPr>
              <w:t>Rules for G.S. 150B-19.1 Certification</w:t>
            </w:r>
          </w:p>
          <w:p w:rsidR="00000000" w:rsidRPr="0045418D" w:rsidRDefault="00BF5E86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 w:rsidRPr="0045418D">
              <w:rPr>
                <w:rFonts w:eastAsia="Times New Roman"/>
                <w:b/>
                <w:bCs/>
                <w:i/>
                <w:iCs/>
              </w:rPr>
              <w:t>April 22, 2013 through May 16, 2013</w:t>
            </w:r>
          </w:p>
          <w:p w:rsidR="00000000" w:rsidRDefault="00BF5E86">
            <w:pPr>
              <w:divId w:val="97688408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* Certification Recommended, ** Certification Not Recommended, *** Other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08"/>
              <w:gridCol w:w="66"/>
              <w:gridCol w:w="644"/>
              <w:gridCol w:w="627"/>
              <w:gridCol w:w="439"/>
              <w:gridCol w:w="576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Home Inspector Licensure Board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63" w:type="dxa"/>
                    <w:left w:w="125" w:type="dxa"/>
                    <w:bottom w:w="188" w:type="dxa"/>
                    <w:right w:w="15" w:type="dxa"/>
                  </w:tcMar>
                  <w:vAlign w:val="center"/>
                  <w:hideMark/>
                </w:tcPr>
                <w:p w:rsidR="00000000" w:rsidRPr="0045418D" w:rsidRDefault="00BF5E86" w:rsidP="0045418D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The rules in Chapter 8 are the engineering and building codes including the approval of school maintenance electricians 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(.0400); qualification board-limited certificate (.0500); qualification board-probationary certificate (.0600); qualification board-standard certificate (.0700); disciplinary actions and other contested matters (.0800); manufactured housing board (.0900); 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t>NC Home Inspector Licensure Board (.1000); home inspector standards of practice and code of ethics (.1100); disciplinary actions (.1200); home inspector continuing education (.1300); Manufactured Housing Board continuing education (.1400); and alternate de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t>signs and construction appeals (.1500).</w:t>
                  </w:r>
                </w:p>
              </w:tc>
            </w:tr>
            <w:tr w:rsidR="00000000" w:rsidTr="0045418D">
              <w:trPr>
                <w:tblCellSpacing w:w="15" w:type="dxa"/>
              </w:trPr>
              <w:tc>
                <w:tcPr>
                  <w:tcW w:w="3872" w:type="pct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Complaints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6" w:type="pct"/>
                  <w:vAlign w:val="center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45418D" w:rsidRDefault="00BF5E86" w:rsidP="0045418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45418D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.1202</w:t>
                    </w:r>
                  </w:hyperlink>
                </w:p>
              </w:tc>
            </w:tr>
            <w:tr w:rsidR="00000000" w:rsidTr="0045418D">
              <w:trPr>
                <w:tblCellSpacing w:w="15" w:type="dxa"/>
              </w:trPr>
              <w:tc>
                <w:tcPr>
                  <w:tcW w:w="3872" w:type="pct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Board Staff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Repeal/*</w:t>
                  </w:r>
                </w:p>
              </w:tc>
              <w:tc>
                <w:tcPr>
                  <w:tcW w:w="96" w:type="pct"/>
                  <w:vAlign w:val="center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.1203</w:t>
                    </w:r>
                  </w:hyperlink>
                </w:p>
              </w:tc>
            </w:tr>
            <w:tr w:rsidR="00000000" w:rsidTr="0045418D">
              <w:trPr>
                <w:tblCellSpacing w:w="15" w:type="dxa"/>
              </w:trPr>
              <w:tc>
                <w:tcPr>
                  <w:tcW w:w="3872" w:type="pct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Investigation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6" w:type="pct"/>
                  <w:vAlign w:val="center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.1204</w:t>
                    </w:r>
                  </w:hyperlink>
                </w:p>
              </w:tc>
            </w:tr>
            <w:tr w:rsidR="00000000" w:rsidTr="0045418D">
              <w:trPr>
                <w:tblCellSpacing w:w="15" w:type="dxa"/>
              </w:trPr>
              <w:tc>
                <w:tcPr>
                  <w:tcW w:w="3872" w:type="pct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Disciplinary Hearing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</w:t>
                  </w:r>
                </w:p>
              </w:tc>
              <w:tc>
                <w:tcPr>
                  <w:tcW w:w="96" w:type="pct"/>
                  <w:vAlign w:val="center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.1205</w:t>
                    </w:r>
                  </w:hyperlink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Criminal Justice Education and Training Standards Commission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63" w:type="dxa"/>
                    <w:left w:w="125" w:type="dxa"/>
                    <w:bottom w:w="188" w:type="dxa"/>
                    <w:right w:w="15" w:type="dxa"/>
                  </w:tcMar>
                  <w:vAlign w:val="center"/>
                  <w:hideMark/>
                </w:tcPr>
                <w:p w:rsidR="0045418D" w:rsidRDefault="00BF5E86" w:rsidP="0045418D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The rules in Chapter 9 are from the Criminal Justice Education and Training Standards Commission. This Commission has primary responsibility for setting statewide education, training, employment, and retention standards for criminal justice personnel (not 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including sheriffs). </w:t>
                  </w:r>
                </w:p>
                <w:p w:rsidR="0045418D" w:rsidRDefault="0045418D" w:rsidP="0045418D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000000" w:rsidRPr="0045418D" w:rsidRDefault="00BF5E86" w:rsidP="0045418D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t>The rules in Subchapter 9B cover minimum standards for: employment (.0100); schools and training programs (.0200); criminal justice instructors (.0300); completion of training (.0400); school directors (.0500); and certification of pos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t>t-secondary criminal justice education programs (.0600).</w:t>
                  </w:r>
                </w:p>
              </w:tc>
            </w:tr>
            <w:tr w:rsidR="00000000" w:rsidTr="0045418D">
              <w:trPr>
                <w:tblCellSpacing w:w="15" w:type="dxa"/>
              </w:trPr>
              <w:tc>
                <w:tcPr>
                  <w:tcW w:w="3872" w:type="pct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Basic Law Enforcement Training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6" w:type="pct"/>
                  <w:vAlign w:val="center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Tr="0045418D">
              <w:trPr>
                <w:tblCellSpacing w:w="15" w:type="dxa"/>
              </w:trPr>
              <w:tc>
                <w:tcPr>
                  <w:tcW w:w="3872" w:type="pct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Criminal Justice Instructor Training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6" w:type="pct"/>
                  <w:vAlign w:val="center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.0209</w:t>
                    </w:r>
                  </w:hyperlink>
                </w:p>
              </w:tc>
            </w:tr>
            <w:tr w:rsidR="00000000" w:rsidTr="0045418D">
              <w:trPr>
                <w:tblCellSpacing w:w="15" w:type="dxa"/>
              </w:trPr>
              <w:tc>
                <w:tcPr>
                  <w:tcW w:w="3872" w:type="pct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Specialized Firearms Instruction Training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6" w:type="pct"/>
                  <w:vAlign w:val="center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.0226</w:t>
                    </w:r>
                  </w:hyperlink>
                </w:p>
              </w:tc>
            </w:tr>
            <w:tr w:rsidR="00000000" w:rsidTr="0045418D">
              <w:trPr>
                <w:tblCellSpacing w:w="15" w:type="dxa"/>
              </w:trPr>
              <w:tc>
                <w:tcPr>
                  <w:tcW w:w="3872" w:type="pct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Specialized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Driver Instructor Training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6" w:type="pct"/>
                  <w:vAlign w:val="center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.0227</w:t>
                    </w:r>
                  </w:hyperlink>
                </w:p>
              </w:tc>
            </w:tr>
            <w:tr w:rsidR="00000000" w:rsidTr="0045418D">
              <w:trPr>
                <w:tblCellSpacing w:w="15" w:type="dxa"/>
              </w:trPr>
              <w:tc>
                <w:tcPr>
                  <w:tcW w:w="3872" w:type="pct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Specialized Subject Control Arrest Techniques Instructor ...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6" w:type="pct"/>
                  <w:vAlign w:val="center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.0232</w:t>
                    </w:r>
                  </w:hyperlink>
                </w:p>
              </w:tc>
            </w:tr>
            <w:tr w:rsidR="00000000" w:rsidTr="0045418D">
              <w:trPr>
                <w:tblCellSpacing w:w="15" w:type="dxa"/>
              </w:trPr>
              <w:tc>
                <w:tcPr>
                  <w:tcW w:w="3872" w:type="pct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Specialized Physical Fitness Instructor Training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6" w:type="pct"/>
                  <w:vAlign w:val="center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.0233</w:t>
                    </w:r>
                  </w:hyperlink>
                </w:p>
              </w:tc>
            </w:tr>
            <w:tr w:rsidR="00000000" w:rsidTr="0045418D">
              <w:trPr>
                <w:tblCellSpacing w:w="15" w:type="dxa"/>
              </w:trPr>
              <w:tc>
                <w:tcPr>
                  <w:tcW w:w="3872" w:type="pct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Terms and Conditions of Specialized Instructor Certification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6" w:type="pct"/>
                  <w:vAlign w:val="center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Tr="0045418D">
              <w:trPr>
                <w:tblCellSpacing w:w="15" w:type="dxa"/>
              </w:trPr>
              <w:tc>
                <w:tcPr>
                  <w:tcW w:w="3872" w:type="pct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Completion of Basic Law Enforcement Training Course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6" w:type="pct"/>
                  <w:vAlign w:val="center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Tr="0045418D">
              <w:trPr>
                <w:tblCellSpacing w:w="15" w:type="dxa"/>
              </w:trPr>
              <w:tc>
                <w:tcPr>
                  <w:tcW w:w="3872" w:type="pct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Terms and Conditions of School Director Certification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Amend/*</w:t>
                  </w:r>
                </w:p>
              </w:tc>
              <w:tc>
                <w:tcPr>
                  <w:tcW w:w="96" w:type="pct"/>
                  <w:vAlign w:val="center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250" w:type="dxa"/>
                    <w:left w:w="125" w:type="dxa"/>
                    <w:bottom w:w="188" w:type="dxa"/>
                    <w:right w:w="15" w:type="dxa"/>
                  </w:tcMar>
                  <w:vAlign w:val="center"/>
                  <w:hideMark/>
                </w:tcPr>
                <w:p w:rsidR="00000000" w:rsidRPr="0045418D" w:rsidRDefault="00BF5E86" w:rsidP="0045418D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 xml:space="preserve">The rules in Subchapter 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t>9E relate to the law enforcement officers' in-service training program.</w:t>
                  </w:r>
                </w:p>
              </w:tc>
            </w:tr>
            <w:tr w:rsidR="00000000" w:rsidTr="0045418D">
              <w:trPr>
                <w:tblCellSpacing w:w="15" w:type="dxa"/>
              </w:trPr>
              <w:tc>
                <w:tcPr>
                  <w:tcW w:w="3872" w:type="pct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Training Specifications: Annual In-Service Training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6" w:type="pct"/>
                  <w:vAlign w:val="center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09E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250" w:type="dxa"/>
                    <w:left w:w="125" w:type="dxa"/>
                    <w:bottom w:w="188" w:type="dxa"/>
                    <w:right w:w="15" w:type="dxa"/>
                  </w:tcMar>
                  <w:vAlign w:val="center"/>
                  <w:hideMark/>
                </w:tcPr>
                <w:p w:rsidR="00000000" w:rsidRPr="0045418D" w:rsidRDefault="00BF5E86" w:rsidP="0045418D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The rules in Subchapter 9G are the standards for correction including scope, applicability and definitions (.0100); 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t>minimum standards for certification of correctional officers, probation/parole officers, and probation/parole officers-intermediate (.0200); certification of correctional officers, probation/parole officers, probation/parole officers intermediate and instr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t>uctors (.0300); minimum standards for training of correctional officers, probation/parole officers, and probation/parole officers-intermediate (.0400); enforcement of rules (.0500); professional certification program (.0600); and forms (.0700).</w:t>
                  </w:r>
                </w:p>
              </w:tc>
            </w:tr>
            <w:tr w:rsidR="00000000" w:rsidTr="0045418D">
              <w:trPr>
                <w:tblCellSpacing w:w="15" w:type="dxa"/>
              </w:trPr>
              <w:tc>
                <w:tcPr>
                  <w:tcW w:w="3872" w:type="pct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Ter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ms and Conditions of Specialized Instructor Certification</w:t>
                  </w:r>
                  <w:r w:rsidRPr="0045418D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96" w:type="pct"/>
                  <w:vAlign w:val="center"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4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254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63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09G</w:t>
                    </w:r>
                  </w:hyperlink>
                </w:p>
              </w:tc>
              <w:tc>
                <w:tcPr>
                  <w:tcW w:w="208" w:type="pct"/>
                  <w:noWrap/>
                  <w:hideMark/>
                </w:tcPr>
                <w:p w:rsidR="00000000" w:rsidRPr="0045418D" w:rsidRDefault="00BF5E8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45418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.0311</w:t>
                    </w:r>
                  </w:hyperlink>
                </w:p>
              </w:tc>
            </w:tr>
          </w:tbl>
          <w:p w:rsidR="00000000" w:rsidRDefault="00BF5E86" w:rsidP="0045418D">
            <w:pPr>
              <w:pStyle w:val="z-BottomofForm"/>
              <w:pBdr>
                <w:top w:val="none" w:sz="0" w:space="0" w:color="auto"/>
              </w:pBdr>
              <w:rPr>
                <w:rFonts w:eastAsia="Times New Roman"/>
              </w:rPr>
            </w:pPr>
          </w:p>
        </w:tc>
      </w:tr>
      <w:tr w:rsidR="00BF5E86" w:rsidRPr="00FD055E" w:rsidTr="00BF5E86">
        <w:trPr>
          <w:tblCellSpacing w:w="0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5" w:type="dxa"/>
              <w:bottom w:w="0" w:type="dxa"/>
              <w:right w:w="125" w:type="dxa"/>
            </w:tcMar>
            <w:hideMark/>
          </w:tcPr>
          <w:p w:rsidR="00BF5E86" w:rsidRDefault="00BF5E86" w:rsidP="00BF5E8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BF5E86" w:rsidRDefault="00BF5E86" w:rsidP="00BF5E8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BF5E86" w:rsidRPr="00BF5E86" w:rsidRDefault="00BF5E86" w:rsidP="00BF5E86">
            <w:pPr>
              <w:ind w:left="-9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5E86">
              <w:rPr>
                <w:rFonts w:ascii="Arial" w:eastAsia="Times New Roman" w:hAnsi="Arial" w:cs="Arial"/>
                <w:b/>
                <w:sz w:val="20"/>
                <w:szCs w:val="20"/>
              </w:rPr>
              <w:t>STATE BOARD OF EDUCATION</w:t>
            </w:r>
          </w:p>
        </w:tc>
      </w:tr>
      <w:tr w:rsidR="00BF5E86" w:rsidRPr="00FD055E" w:rsidTr="00BF5E86">
        <w:trPr>
          <w:tblCellSpacing w:w="0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5" w:type="dxa"/>
              <w:bottom w:w="0" w:type="dxa"/>
              <w:right w:w="125" w:type="dxa"/>
            </w:tcMar>
            <w:hideMark/>
          </w:tcPr>
          <w:p w:rsidR="00BF5E86" w:rsidRPr="00BF5E86" w:rsidRDefault="00BF5E86" w:rsidP="00BF5E8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F5E86" w:rsidRDefault="00BF5E86" w:rsidP="00BF5E8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5E86">
              <w:rPr>
                <w:rFonts w:ascii="Arial" w:eastAsia="Times New Roman" w:hAnsi="Arial" w:cs="Arial"/>
                <w:sz w:val="20"/>
                <w:szCs w:val="20"/>
              </w:rPr>
              <w:t>The rules in Subchapter 6D cover instruction including curriculum (.0100), textbooks (.0200), testing programs (.0300), and accountability standards and graduation requirements (.0500).</w:t>
            </w:r>
          </w:p>
          <w:p w:rsidR="00BF5E86" w:rsidRPr="00BF5E86" w:rsidRDefault="00BF5E86" w:rsidP="00BF5E8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5E86" w:rsidRPr="00FD055E" w:rsidTr="00BF5E8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7" w:type="pct"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5E86">
              <w:rPr>
                <w:rFonts w:ascii="Arial" w:eastAsia="Times New Roman" w:hAnsi="Arial" w:cs="Arial"/>
                <w:sz w:val="20"/>
                <w:szCs w:val="20"/>
                <w:u w:val="single"/>
              </w:rPr>
              <w:t>NC General Assembly's Read to Achieve Program</w:t>
            </w:r>
            <w:r w:rsidRPr="00BF5E86">
              <w:rPr>
                <w:rFonts w:ascii="Arial" w:eastAsia="Times New Roman" w:hAnsi="Arial" w:cs="Arial"/>
                <w:sz w:val="20"/>
                <w:szCs w:val="20"/>
              </w:rPr>
              <w:br/>
              <w:t>Adopt/**</w:t>
            </w:r>
          </w:p>
        </w:tc>
        <w:tc>
          <w:tcPr>
            <w:tcW w:w="34" w:type="pct"/>
            <w:vAlign w:val="center"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" w:type="pct"/>
            <w:noWrap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64" w:history="1">
              <w:r w:rsidRPr="00BF5E86">
                <w:rPr>
                  <w:rFonts w:ascii="Arial" w:eastAsia="Times New Roman" w:hAnsi="Arial" w:cs="Arial"/>
                  <w:sz w:val="20"/>
                  <w:szCs w:val="20"/>
                </w:rPr>
                <w:t>16</w:t>
              </w:r>
            </w:hyperlink>
          </w:p>
        </w:tc>
        <w:tc>
          <w:tcPr>
            <w:tcW w:w="326" w:type="pct"/>
            <w:noWrap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65" w:history="1">
              <w:r w:rsidRPr="00BF5E86">
                <w:rPr>
                  <w:rFonts w:ascii="Arial" w:eastAsia="Times New Roman" w:hAnsi="Arial" w:cs="Arial"/>
                  <w:sz w:val="20"/>
                  <w:szCs w:val="20"/>
                </w:rPr>
                <w:t>NCAC</w:t>
              </w:r>
            </w:hyperlink>
          </w:p>
        </w:tc>
        <w:tc>
          <w:tcPr>
            <w:tcW w:w="228" w:type="pct"/>
            <w:noWrap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66" w:history="1">
              <w:r w:rsidRPr="00BF5E86">
                <w:rPr>
                  <w:rFonts w:ascii="Arial" w:eastAsia="Times New Roman" w:hAnsi="Arial" w:cs="Arial"/>
                  <w:sz w:val="20"/>
                  <w:szCs w:val="20"/>
                </w:rPr>
                <w:t>06D</w:t>
              </w:r>
            </w:hyperlink>
          </w:p>
        </w:tc>
        <w:tc>
          <w:tcPr>
            <w:tcW w:w="301" w:type="pct"/>
            <w:noWrap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67" w:history="1">
              <w:r w:rsidRPr="00BF5E86">
                <w:rPr>
                  <w:rFonts w:ascii="Arial" w:eastAsia="Times New Roman" w:hAnsi="Arial" w:cs="Arial"/>
                  <w:sz w:val="20"/>
                  <w:szCs w:val="20"/>
                </w:rPr>
                <w:t>.0508</w:t>
              </w:r>
            </w:hyperlink>
          </w:p>
        </w:tc>
      </w:tr>
      <w:tr w:rsidR="00BF5E86" w:rsidRPr="00FD055E" w:rsidTr="00BF5E8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6"/>
            <w:tcMar>
              <w:top w:w="300" w:type="dxa"/>
              <w:left w:w="150" w:type="dxa"/>
              <w:bottom w:w="225" w:type="dxa"/>
              <w:right w:w="15" w:type="dxa"/>
            </w:tcMar>
            <w:vAlign w:val="center"/>
            <w:hideMark/>
          </w:tcPr>
          <w:p w:rsidR="00BF5E86" w:rsidRPr="00BF5E86" w:rsidRDefault="00BF5E86" w:rsidP="004E010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F5E86">
              <w:rPr>
                <w:rFonts w:ascii="Arial" w:eastAsia="Times New Roman" w:hAnsi="Arial" w:cs="Arial"/>
                <w:sz w:val="20"/>
                <w:szCs w:val="20"/>
              </w:rPr>
              <w:t>The rules in Subchapter 6G relate to education agency relations including rules about the school-based management and accountability program (.0300) and charter schools (.0500).</w:t>
            </w:r>
          </w:p>
        </w:tc>
      </w:tr>
      <w:tr w:rsidR="00BF5E86" w:rsidRPr="00FD055E" w:rsidTr="00BF5E8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7" w:type="pct"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5E86">
              <w:rPr>
                <w:rFonts w:ascii="Arial" w:eastAsia="Times New Roman" w:hAnsi="Arial" w:cs="Arial"/>
                <w:sz w:val="20"/>
                <w:szCs w:val="20"/>
                <w:u w:val="single"/>
              </w:rPr>
              <w:t>Annual Performance Standards Under the Ready Accountability...</w:t>
            </w:r>
            <w:r w:rsidRPr="00BF5E86">
              <w:rPr>
                <w:rFonts w:ascii="Arial" w:eastAsia="Times New Roman" w:hAnsi="Arial" w:cs="Arial"/>
                <w:sz w:val="20"/>
                <w:szCs w:val="20"/>
              </w:rPr>
              <w:br/>
              <w:t>Amend/**</w:t>
            </w:r>
          </w:p>
        </w:tc>
        <w:tc>
          <w:tcPr>
            <w:tcW w:w="34" w:type="pct"/>
            <w:vAlign w:val="center"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" w:type="pct"/>
            <w:noWrap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68" w:history="1">
              <w:r w:rsidRPr="00BF5E86">
                <w:rPr>
                  <w:rFonts w:ascii="Arial" w:eastAsia="Times New Roman" w:hAnsi="Arial" w:cs="Arial"/>
                  <w:sz w:val="20"/>
                  <w:szCs w:val="20"/>
                </w:rPr>
                <w:t>16</w:t>
              </w:r>
            </w:hyperlink>
          </w:p>
        </w:tc>
        <w:tc>
          <w:tcPr>
            <w:tcW w:w="326" w:type="pct"/>
            <w:noWrap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69" w:history="1">
              <w:r w:rsidRPr="00BF5E86">
                <w:rPr>
                  <w:rFonts w:ascii="Arial" w:eastAsia="Times New Roman" w:hAnsi="Arial" w:cs="Arial"/>
                  <w:sz w:val="20"/>
                  <w:szCs w:val="20"/>
                </w:rPr>
                <w:t>NCAC</w:t>
              </w:r>
            </w:hyperlink>
          </w:p>
        </w:tc>
        <w:tc>
          <w:tcPr>
            <w:tcW w:w="228" w:type="pct"/>
            <w:noWrap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70" w:history="1">
              <w:r w:rsidRPr="00BF5E86">
                <w:rPr>
                  <w:rFonts w:ascii="Arial" w:eastAsia="Times New Roman" w:hAnsi="Arial" w:cs="Arial"/>
                  <w:sz w:val="20"/>
                  <w:szCs w:val="20"/>
                </w:rPr>
                <w:t>06G</w:t>
              </w:r>
            </w:hyperlink>
          </w:p>
        </w:tc>
        <w:tc>
          <w:tcPr>
            <w:tcW w:w="301" w:type="pct"/>
            <w:noWrap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71" w:history="1">
              <w:r w:rsidRPr="00BF5E86">
                <w:rPr>
                  <w:rFonts w:ascii="Arial" w:eastAsia="Times New Roman" w:hAnsi="Arial" w:cs="Arial"/>
                  <w:sz w:val="20"/>
                  <w:szCs w:val="20"/>
                </w:rPr>
                <w:t>.0312</w:t>
              </w:r>
            </w:hyperlink>
          </w:p>
        </w:tc>
      </w:tr>
      <w:tr w:rsidR="00BF5E86" w:rsidRPr="00FD055E" w:rsidTr="00BF5E8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7" w:type="pct"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5E86">
              <w:rPr>
                <w:rFonts w:ascii="Arial" w:eastAsia="Times New Roman" w:hAnsi="Arial" w:cs="Arial"/>
                <w:sz w:val="20"/>
                <w:szCs w:val="20"/>
                <w:u w:val="single"/>
              </w:rPr>
              <w:t>Virtual Charter Schools</w:t>
            </w:r>
            <w:r w:rsidRPr="00BF5E86">
              <w:rPr>
                <w:rFonts w:ascii="Arial" w:eastAsia="Times New Roman" w:hAnsi="Arial" w:cs="Arial"/>
                <w:sz w:val="20"/>
                <w:szCs w:val="20"/>
              </w:rPr>
              <w:br/>
              <w:t>Adopt/**</w:t>
            </w:r>
          </w:p>
        </w:tc>
        <w:tc>
          <w:tcPr>
            <w:tcW w:w="34" w:type="pct"/>
            <w:vAlign w:val="center"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" w:type="pct"/>
            <w:noWrap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72" w:history="1">
              <w:r w:rsidRPr="00BF5E86">
                <w:rPr>
                  <w:rFonts w:ascii="Arial" w:eastAsia="Times New Roman" w:hAnsi="Arial" w:cs="Arial"/>
                  <w:sz w:val="20"/>
                  <w:szCs w:val="20"/>
                </w:rPr>
                <w:t>16</w:t>
              </w:r>
            </w:hyperlink>
          </w:p>
        </w:tc>
        <w:tc>
          <w:tcPr>
            <w:tcW w:w="326" w:type="pct"/>
            <w:noWrap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73" w:history="1">
              <w:r w:rsidRPr="00BF5E86">
                <w:rPr>
                  <w:rFonts w:ascii="Arial" w:eastAsia="Times New Roman" w:hAnsi="Arial" w:cs="Arial"/>
                  <w:sz w:val="20"/>
                  <w:szCs w:val="20"/>
                </w:rPr>
                <w:t>NCAC</w:t>
              </w:r>
            </w:hyperlink>
          </w:p>
        </w:tc>
        <w:tc>
          <w:tcPr>
            <w:tcW w:w="228" w:type="pct"/>
            <w:noWrap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74" w:history="1">
              <w:r w:rsidRPr="00BF5E86">
                <w:rPr>
                  <w:rFonts w:ascii="Arial" w:eastAsia="Times New Roman" w:hAnsi="Arial" w:cs="Arial"/>
                  <w:sz w:val="20"/>
                  <w:szCs w:val="20"/>
                </w:rPr>
                <w:t>06G</w:t>
              </w:r>
            </w:hyperlink>
          </w:p>
        </w:tc>
        <w:tc>
          <w:tcPr>
            <w:tcW w:w="301" w:type="pct"/>
            <w:noWrap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75" w:history="1">
              <w:r w:rsidRPr="00BF5E86">
                <w:rPr>
                  <w:rFonts w:ascii="Arial" w:eastAsia="Times New Roman" w:hAnsi="Arial" w:cs="Arial"/>
                  <w:sz w:val="20"/>
                  <w:szCs w:val="20"/>
                </w:rPr>
                <w:t>.0503</w:t>
              </w:r>
            </w:hyperlink>
          </w:p>
        </w:tc>
      </w:tr>
      <w:tr w:rsidR="00BF5E86" w:rsidRPr="00FD055E" w:rsidTr="00BF5E8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07" w:type="pct"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F5E86">
              <w:rPr>
                <w:rFonts w:ascii="Arial" w:eastAsia="Times New Roman" w:hAnsi="Arial" w:cs="Arial"/>
                <w:sz w:val="20"/>
                <w:szCs w:val="20"/>
                <w:u w:val="single"/>
              </w:rPr>
              <w:t>High School Accreditation Framework</w:t>
            </w:r>
            <w:r w:rsidRPr="00BF5E86">
              <w:rPr>
                <w:rFonts w:ascii="Arial" w:eastAsia="Times New Roman" w:hAnsi="Arial" w:cs="Arial"/>
                <w:sz w:val="20"/>
                <w:szCs w:val="20"/>
              </w:rPr>
              <w:br/>
              <w:t>Adopt/*</w:t>
            </w:r>
          </w:p>
        </w:tc>
        <w:tc>
          <w:tcPr>
            <w:tcW w:w="34" w:type="pct"/>
            <w:vAlign w:val="center"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" w:type="pct"/>
            <w:noWrap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76" w:history="1">
              <w:r w:rsidRPr="00BF5E86">
                <w:rPr>
                  <w:rFonts w:ascii="Arial" w:eastAsia="Times New Roman" w:hAnsi="Arial" w:cs="Arial"/>
                  <w:sz w:val="20"/>
                  <w:szCs w:val="20"/>
                </w:rPr>
                <w:t>16</w:t>
              </w:r>
            </w:hyperlink>
          </w:p>
        </w:tc>
        <w:tc>
          <w:tcPr>
            <w:tcW w:w="326" w:type="pct"/>
            <w:noWrap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77" w:history="1">
              <w:r w:rsidRPr="00BF5E86">
                <w:rPr>
                  <w:rFonts w:ascii="Arial" w:hAnsi="Arial" w:cs="Arial"/>
                  <w:sz w:val="20"/>
                  <w:szCs w:val="20"/>
                </w:rPr>
                <w:t>NCAC</w:t>
              </w:r>
            </w:hyperlink>
          </w:p>
        </w:tc>
        <w:tc>
          <w:tcPr>
            <w:tcW w:w="228" w:type="pct"/>
            <w:noWrap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78" w:history="1">
              <w:r w:rsidRPr="00BF5E86">
                <w:rPr>
                  <w:rFonts w:ascii="Arial" w:eastAsia="Times New Roman" w:hAnsi="Arial" w:cs="Arial"/>
                  <w:sz w:val="20"/>
                  <w:szCs w:val="20"/>
                </w:rPr>
                <w:t>06G</w:t>
              </w:r>
            </w:hyperlink>
          </w:p>
        </w:tc>
        <w:tc>
          <w:tcPr>
            <w:tcW w:w="301" w:type="pct"/>
            <w:noWrap/>
            <w:hideMark/>
          </w:tcPr>
          <w:p w:rsidR="00BF5E86" w:rsidRPr="00BF5E86" w:rsidRDefault="00BF5E86" w:rsidP="004E01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79" w:history="1">
              <w:r w:rsidRPr="00BF5E86">
                <w:rPr>
                  <w:rFonts w:ascii="Arial" w:eastAsia="Times New Roman" w:hAnsi="Arial" w:cs="Arial"/>
                  <w:sz w:val="20"/>
                  <w:szCs w:val="20"/>
                </w:rPr>
                <w:t>.0504</w:t>
              </w:r>
            </w:hyperlink>
          </w:p>
        </w:tc>
      </w:tr>
    </w:tbl>
    <w:p w:rsidR="00000000" w:rsidRDefault="00BF5E86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2B23A7"/>
    <w:rsid w:val="002B23A7"/>
    <w:rsid w:val="0045418D"/>
    <w:rsid w:val="00BF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41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84088">
      <w:marLeft w:val="0"/>
      <w:marRight w:val="0"/>
      <w:marTop w:val="2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ts/viewRule.pl?nRuleID=40021" TargetMode="External"/><Relationship Id="rId18" Type="http://schemas.openxmlformats.org/officeDocument/2006/relationships/hyperlink" Target="http://rats/viewRule.pl?nRuleID=40022" TargetMode="External"/><Relationship Id="rId26" Type="http://schemas.openxmlformats.org/officeDocument/2006/relationships/hyperlink" Target="http://rats/viewRule.pl?nRuleID=40009" TargetMode="External"/><Relationship Id="rId39" Type="http://schemas.openxmlformats.org/officeDocument/2006/relationships/hyperlink" Target="http://rats/viewRule.pl?nRuleID=40012" TargetMode="External"/><Relationship Id="rId21" Type="http://schemas.openxmlformats.org/officeDocument/2006/relationships/hyperlink" Target="http://rats/viewRule.pl?nRuleID=40008" TargetMode="External"/><Relationship Id="rId34" Type="http://schemas.openxmlformats.org/officeDocument/2006/relationships/hyperlink" Target="http://rats/viewRule.pl?nRuleID=40011" TargetMode="External"/><Relationship Id="rId42" Type="http://schemas.openxmlformats.org/officeDocument/2006/relationships/hyperlink" Target="http://rats/viewRule.pl?nRuleID=40013" TargetMode="External"/><Relationship Id="rId47" Type="http://schemas.openxmlformats.org/officeDocument/2006/relationships/hyperlink" Target="http://rats/viewRule.pl?nRuleID=40014" TargetMode="External"/><Relationship Id="rId50" Type="http://schemas.openxmlformats.org/officeDocument/2006/relationships/hyperlink" Target="http://rats/viewRule.pl?nRuleID=40016" TargetMode="External"/><Relationship Id="rId55" Type="http://schemas.openxmlformats.org/officeDocument/2006/relationships/hyperlink" Target="http://rats/viewRule.pl?nRuleID=40017" TargetMode="External"/><Relationship Id="rId63" Type="http://schemas.openxmlformats.org/officeDocument/2006/relationships/hyperlink" Target="http://rats/viewRule.pl?nRuleID=40015" TargetMode="External"/><Relationship Id="rId68" Type="http://schemas.openxmlformats.org/officeDocument/2006/relationships/hyperlink" Target="http://rats/viewRule.pl?nRuleID=39948" TargetMode="External"/><Relationship Id="rId76" Type="http://schemas.openxmlformats.org/officeDocument/2006/relationships/hyperlink" Target="http://rats/viewRule.pl?nRuleID=39950" TargetMode="External"/><Relationship Id="rId7" Type="http://schemas.openxmlformats.org/officeDocument/2006/relationships/hyperlink" Target="http://rats/viewRule.pl?nRuleID=40019" TargetMode="External"/><Relationship Id="rId71" Type="http://schemas.openxmlformats.org/officeDocument/2006/relationships/hyperlink" Target="http://rats/viewRule.pl?nRuleID=399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40022" TargetMode="External"/><Relationship Id="rId29" Type="http://schemas.openxmlformats.org/officeDocument/2006/relationships/hyperlink" Target="http://rats/viewRule.pl?nRuleID=40010" TargetMode="External"/><Relationship Id="rId11" Type="http://schemas.openxmlformats.org/officeDocument/2006/relationships/hyperlink" Target="http://rats/viewRule.pl?nRuleID=40020" TargetMode="External"/><Relationship Id="rId24" Type="http://schemas.openxmlformats.org/officeDocument/2006/relationships/hyperlink" Target="http://rats/viewRule.pl?nRuleID=40009" TargetMode="External"/><Relationship Id="rId32" Type="http://schemas.openxmlformats.org/officeDocument/2006/relationships/hyperlink" Target="http://rats/viewRule.pl?nRuleID=40011" TargetMode="External"/><Relationship Id="rId37" Type="http://schemas.openxmlformats.org/officeDocument/2006/relationships/hyperlink" Target="http://rats/viewRule.pl?nRuleID=40012" TargetMode="External"/><Relationship Id="rId40" Type="http://schemas.openxmlformats.org/officeDocument/2006/relationships/hyperlink" Target="http://rats/viewRule.pl?nRuleID=40013" TargetMode="External"/><Relationship Id="rId45" Type="http://schemas.openxmlformats.org/officeDocument/2006/relationships/hyperlink" Target="http://rats/viewRule.pl?nRuleID=40014" TargetMode="External"/><Relationship Id="rId53" Type="http://schemas.openxmlformats.org/officeDocument/2006/relationships/hyperlink" Target="http://rats/viewRule.pl?nRuleID=40017" TargetMode="External"/><Relationship Id="rId58" Type="http://schemas.openxmlformats.org/officeDocument/2006/relationships/hyperlink" Target="http://rats/viewRule.pl?nRuleID=40018" TargetMode="External"/><Relationship Id="rId66" Type="http://schemas.openxmlformats.org/officeDocument/2006/relationships/hyperlink" Target="http://rats/viewRule.pl?nRuleID=39947" TargetMode="External"/><Relationship Id="rId74" Type="http://schemas.openxmlformats.org/officeDocument/2006/relationships/hyperlink" Target="http://rats/viewRule.pl?nRuleID=39949" TargetMode="External"/><Relationship Id="rId79" Type="http://schemas.openxmlformats.org/officeDocument/2006/relationships/hyperlink" Target="http://rats/viewRule.pl?nRuleID=39950" TargetMode="External"/><Relationship Id="rId5" Type="http://schemas.openxmlformats.org/officeDocument/2006/relationships/hyperlink" Target="http://rats/viewRule.pl?nRuleID=40019" TargetMode="External"/><Relationship Id="rId61" Type="http://schemas.openxmlformats.org/officeDocument/2006/relationships/hyperlink" Target="http://rats/viewRule.pl?nRuleID=40015" TargetMode="External"/><Relationship Id="rId10" Type="http://schemas.openxmlformats.org/officeDocument/2006/relationships/hyperlink" Target="http://rats/viewRule.pl?nRuleID=40020" TargetMode="External"/><Relationship Id="rId19" Type="http://schemas.openxmlformats.org/officeDocument/2006/relationships/hyperlink" Target="http://rats/viewRule.pl?nRuleID=40022" TargetMode="External"/><Relationship Id="rId31" Type="http://schemas.openxmlformats.org/officeDocument/2006/relationships/hyperlink" Target="http://rats/viewRule.pl?nRuleID=40010" TargetMode="External"/><Relationship Id="rId44" Type="http://schemas.openxmlformats.org/officeDocument/2006/relationships/hyperlink" Target="http://rats/viewRule.pl?nRuleID=40014" TargetMode="External"/><Relationship Id="rId52" Type="http://schemas.openxmlformats.org/officeDocument/2006/relationships/hyperlink" Target="http://rats/viewRule.pl?nRuleID=40017" TargetMode="External"/><Relationship Id="rId60" Type="http://schemas.openxmlformats.org/officeDocument/2006/relationships/hyperlink" Target="http://rats/viewRule.pl?nRuleID=40015" TargetMode="External"/><Relationship Id="rId65" Type="http://schemas.openxmlformats.org/officeDocument/2006/relationships/hyperlink" Target="http://rats/viewRule.pl?nRuleID=39947" TargetMode="External"/><Relationship Id="rId73" Type="http://schemas.openxmlformats.org/officeDocument/2006/relationships/hyperlink" Target="http://rats/viewRule.pl?nRuleID=39949" TargetMode="External"/><Relationship Id="rId78" Type="http://schemas.openxmlformats.org/officeDocument/2006/relationships/hyperlink" Target="http://rats/viewRule.pl?nRuleID=39950" TargetMode="External"/><Relationship Id="rId81" Type="http://schemas.openxmlformats.org/officeDocument/2006/relationships/theme" Target="theme/theme1.xml"/><Relationship Id="rId4" Type="http://schemas.openxmlformats.org/officeDocument/2006/relationships/hyperlink" Target="http://rats/viewRule.pl?nRuleID=40019" TargetMode="External"/><Relationship Id="rId9" Type="http://schemas.openxmlformats.org/officeDocument/2006/relationships/hyperlink" Target="http://rats/viewRule.pl?nRuleID=40020" TargetMode="External"/><Relationship Id="rId14" Type="http://schemas.openxmlformats.org/officeDocument/2006/relationships/hyperlink" Target="http://rats/viewRule.pl?nRuleID=40021" TargetMode="External"/><Relationship Id="rId22" Type="http://schemas.openxmlformats.org/officeDocument/2006/relationships/hyperlink" Target="http://rats/viewRule.pl?nRuleID=40008" TargetMode="External"/><Relationship Id="rId27" Type="http://schemas.openxmlformats.org/officeDocument/2006/relationships/hyperlink" Target="http://rats/viewRule.pl?nRuleID=40009" TargetMode="External"/><Relationship Id="rId30" Type="http://schemas.openxmlformats.org/officeDocument/2006/relationships/hyperlink" Target="http://rats/viewRule.pl?nRuleID=40010" TargetMode="External"/><Relationship Id="rId35" Type="http://schemas.openxmlformats.org/officeDocument/2006/relationships/hyperlink" Target="http://rats/viewRule.pl?nRuleID=40011" TargetMode="External"/><Relationship Id="rId43" Type="http://schemas.openxmlformats.org/officeDocument/2006/relationships/hyperlink" Target="http://rats/viewRule.pl?nRuleID=40013" TargetMode="External"/><Relationship Id="rId48" Type="http://schemas.openxmlformats.org/officeDocument/2006/relationships/hyperlink" Target="http://rats/viewRule.pl?nRuleID=40016" TargetMode="External"/><Relationship Id="rId56" Type="http://schemas.openxmlformats.org/officeDocument/2006/relationships/hyperlink" Target="http://rats/viewRule.pl?nRuleID=40018" TargetMode="External"/><Relationship Id="rId64" Type="http://schemas.openxmlformats.org/officeDocument/2006/relationships/hyperlink" Target="http://rats/viewRule.pl?nRuleID=39947" TargetMode="External"/><Relationship Id="rId69" Type="http://schemas.openxmlformats.org/officeDocument/2006/relationships/hyperlink" Target="http://rats/viewRule.pl?nRuleID=39948" TargetMode="External"/><Relationship Id="rId77" Type="http://schemas.openxmlformats.org/officeDocument/2006/relationships/hyperlink" Target="http://rats/viewRule.pl?nRuleID=39950" TargetMode="External"/><Relationship Id="rId8" Type="http://schemas.openxmlformats.org/officeDocument/2006/relationships/hyperlink" Target="http://rats/viewRule.pl?nRuleID=40020" TargetMode="External"/><Relationship Id="rId51" Type="http://schemas.openxmlformats.org/officeDocument/2006/relationships/hyperlink" Target="http://rats/viewRule.pl?nRuleID=40016" TargetMode="External"/><Relationship Id="rId72" Type="http://schemas.openxmlformats.org/officeDocument/2006/relationships/hyperlink" Target="http://rats/viewRule.pl?nRuleID=39949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rats/viewRule.pl?nRuleID=40021" TargetMode="External"/><Relationship Id="rId17" Type="http://schemas.openxmlformats.org/officeDocument/2006/relationships/hyperlink" Target="http://rats/viewRule.pl?nRuleID=40022" TargetMode="External"/><Relationship Id="rId25" Type="http://schemas.openxmlformats.org/officeDocument/2006/relationships/hyperlink" Target="http://rats/viewRule.pl?nRuleID=40009" TargetMode="External"/><Relationship Id="rId33" Type="http://schemas.openxmlformats.org/officeDocument/2006/relationships/hyperlink" Target="http://rats/viewRule.pl?nRuleID=40011" TargetMode="External"/><Relationship Id="rId38" Type="http://schemas.openxmlformats.org/officeDocument/2006/relationships/hyperlink" Target="http://rats/viewRule.pl?nRuleID=40012" TargetMode="External"/><Relationship Id="rId46" Type="http://schemas.openxmlformats.org/officeDocument/2006/relationships/hyperlink" Target="http://rats/viewRule.pl?nRuleID=40014" TargetMode="External"/><Relationship Id="rId59" Type="http://schemas.openxmlformats.org/officeDocument/2006/relationships/hyperlink" Target="http://rats/viewRule.pl?nRuleID=40018" TargetMode="External"/><Relationship Id="rId67" Type="http://schemas.openxmlformats.org/officeDocument/2006/relationships/hyperlink" Target="http://rats/viewRule.pl?nRuleID=39947" TargetMode="External"/><Relationship Id="rId20" Type="http://schemas.openxmlformats.org/officeDocument/2006/relationships/hyperlink" Target="http://rats/viewRule.pl?nRuleID=40008" TargetMode="External"/><Relationship Id="rId41" Type="http://schemas.openxmlformats.org/officeDocument/2006/relationships/hyperlink" Target="http://rats/viewRule.pl?nRuleID=40013" TargetMode="External"/><Relationship Id="rId54" Type="http://schemas.openxmlformats.org/officeDocument/2006/relationships/hyperlink" Target="http://rats/viewRule.pl?nRuleID=40017" TargetMode="External"/><Relationship Id="rId62" Type="http://schemas.openxmlformats.org/officeDocument/2006/relationships/hyperlink" Target="http://rats/viewRule.pl?nRuleID=40015" TargetMode="External"/><Relationship Id="rId70" Type="http://schemas.openxmlformats.org/officeDocument/2006/relationships/hyperlink" Target="http://rats/viewRule.pl?nRuleID=39948" TargetMode="External"/><Relationship Id="rId75" Type="http://schemas.openxmlformats.org/officeDocument/2006/relationships/hyperlink" Target="http://rats/viewRule.pl?nRuleID=39949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40019" TargetMode="External"/><Relationship Id="rId15" Type="http://schemas.openxmlformats.org/officeDocument/2006/relationships/hyperlink" Target="http://rats/viewRule.pl?nRuleID=40021" TargetMode="External"/><Relationship Id="rId23" Type="http://schemas.openxmlformats.org/officeDocument/2006/relationships/hyperlink" Target="http://rats/viewRule.pl?nRuleID=40008" TargetMode="External"/><Relationship Id="rId28" Type="http://schemas.openxmlformats.org/officeDocument/2006/relationships/hyperlink" Target="http://rats/viewRule.pl?nRuleID=40010" TargetMode="External"/><Relationship Id="rId36" Type="http://schemas.openxmlformats.org/officeDocument/2006/relationships/hyperlink" Target="http://rats/viewRule.pl?nRuleID=40012" TargetMode="External"/><Relationship Id="rId49" Type="http://schemas.openxmlformats.org/officeDocument/2006/relationships/hyperlink" Target="http://rats/viewRule.pl?nRuleID=40016" TargetMode="External"/><Relationship Id="rId57" Type="http://schemas.openxmlformats.org/officeDocument/2006/relationships/hyperlink" Target="http://rats/viewRule.pl?nRuleID=4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7498</Characters>
  <Application>Microsoft Office Word</Application>
  <DocSecurity>0</DocSecurity>
  <Lines>62</Lines>
  <Paragraphs>15</Paragraphs>
  <ScaleCrop>false</ScaleCrop>
  <Company>State of NC ITS</Company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for G.S. 150B-19.1 Certification</dc:title>
  <dc:subject/>
  <dc:creator>dvojtko</dc:creator>
  <cp:keywords/>
  <dc:description/>
  <cp:lastModifiedBy>dvojtko</cp:lastModifiedBy>
  <cp:revision>2</cp:revision>
  <dcterms:created xsi:type="dcterms:W3CDTF">2013-05-08T17:56:00Z</dcterms:created>
  <dcterms:modified xsi:type="dcterms:W3CDTF">2013-05-08T17:56:00Z</dcterms:modified>
</cp:coreProperties>
</file>