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10"/>
      </w:tblGrid>
      <w:tr w:rsidR="0000000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5" w:type="dxa"/>
              <w:bottom w:w="0" w:type="dxa"/>
              <w:right w:w="125" w:type="dxa"/>
            </w:tcMar>
            <w:hideMark/>
          </w:tcPr>
          <w:p w:rsidR="00000000" w:rsidRPr="00F1269A" w:rsidRDefault="00F1269A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F1269A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Commission Review</w:t>
            </w:r>
          </w:p>
          <w:p w:rsidR="00000000" w:rsidRPr="00F1269A" w:rsidRDefault="00F1269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F1269A">
              <w:rPr>
                <w:rFonts w:ascii="Arial" w:eastAsia="Times New Roman" w:hAnsi="Arial" w:cs="Arial"/>
                <w:b/>
                <w:bCs/>
                <w:i/>
                <w:iCs/>
              </w:rPr>
              <w:t>Rules for G.S. 150B-19.1 Certification</w:t>
            </w:r>
          </w:p>
          <w:p w:rsidR="00000000" w:rsidRPr="00F1269A" w:rsidRDefault="00F1269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F1269A">
              <w:rPr>
                <w:rFonts w:ascii="Arial" w:eastAsia="Times New Roman" w:hAnsi="Arial" w:cs="Arial"/>
                <w:b/>
                <w:bCs/>
                <w:i/>
                <w:iCs/>
              </w:rPr>
              <w:t>May 16, 2013 through June 19, 2013</w:t>
            </w:r>
          </w:p>
          <w:p w:rsidR="00000000" w:rsidRPr="00F1269A" w:rsidRDefault="00F1269A">
            <w:pPr>
              <w:divId w:val="495537114"/>
              <w:rPr>
                <w:rFonts w:ascii="Arial" w:eastAsia="Times New Roman" w:hAnsi="Arial" w:cs="Arial"/>
                <w:sz w:val="16"/>
                <w:szCs w:val="16"/>
              </w:rPr>
            </w:pPr>
            <w:r w:rsidRPr="00F1269A">
              <w:rPr>
                <w:rFonts w:ascii="Arial" w:eastAsia="Times New Roman" w:hAnsi="Arial" w:cs="Arial"/>
                <w:sz w:val="16"/>
                <w:szCs w:val="16"/>
              </w:rPr>
              <w:t>* Certification Recommended, ** Certification Not Recommended, *** Other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008"/>
              <w:gridCol w:w="66"/>
              <w:gridCol w:w="644"/>
              <w:gridCol w:w="627"/>
              <w:gridCol w:w="439"/>
              <w:gridCol w:w="576"/>
            </w:tblGrid>
            <w:tr w:rsidR="00000000" w:rsidRPr="00F1269A">
              <w:trPr>
                <w:tblCellSpacing w:w="15" w:type="dxa"/>
              </w:trPr>
              <w:tc>
                <w:tcPr>
                  <w:tcW w:w="0" w:type="auto"/>
                  <w:gridSpan w:val="6"/>
                  <w:tcMar>
                    <w:top w:w="313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F1269A" w:rsidRDefault="00F1269A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F1269A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Home Inspector Licensure Board</w:t>
                  </w:r>
                </w:p>
              </w:tc>
            </w:tr>
            <w:tr w:rsidR="00000000" w:rsidRPr="00F1269A">
              <w:trPr>
                <w:tblCellSpacing w:w="15" w:type="dxa"/>
              </w:trPr>
              <w:tc>
                <w:tcPr>
                  <w:tcW w:w="0" w:type="auto"/>
                  <w:gridSpan w:val="6"/>
                  <w:tcMar>
                    <w:top w:w="63" w:type="dxa"/>
                    <w:left w:w="125" w:type="dxa"/>
                    <w:bottom w:w="188" w:type="dxa"/>
                    <w:right w:w="15" w:type="dxa"/>
                  </w:tcMar>
                  <w:vAlign w:val="center"/>
                  <w:hideMark/>
                </w:tcPr>
                <w:p w:rsidR="00000000" w:rsidRPr="00F1269A" w:rsidRDefault="00F1269A" w:rsidP="00F1269A">
                  <w:pPr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1269A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The rules in Chapter 8 are the engineering and building codes including the approval of school maintenance electricians </w:t>
                  </w:r>
                  <w:r w:rsidRPr="00F1269A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(.0400); qualification board-limited certificate (.0500); qualification board-probationary certificate (.0600); qualification board-standard certificate (.0700); disciplinary actions and other contested matters (.0800); manufactured housing board (.0900); </w:t>
                  </w:r>
                  <w:r w:rsidRPr="00F1269A">
                    <w:rPr>
                      <w:rFonts w:ascii="Arial" w:eastAsia="Times New Roman" w:hAnsi="Arial" w:cs="Arial"/>
                      <w:sz w:val="20"/>
                      <w:szCs w:val="20"/>
                    </w:rPr>
                    <w:t>NC Home Inspector Licensure Board (.1000); home inspector standards of practice and code of ethics (.1100); disciplinary actions (.1200); home inspector continuing education (.1300); Manufactured Housing Board continuing education (.1400); and alternate de</w:t>
                  </w:r>
                  <w:r w:rsidRPr="00F1269A">
                    <w:rPr>
                      <w:rFonts w:ascii="Arial" w:eastAsia="Times New Roman" w:hAnsi="Arial" w:cs="Arial"/>
                      <w:sz w:val="20"/>
                      <w:szCs w:val="20"/>
                    </w:rPr>
                    <w:t>signs and construction appeals (.1500).</w:t>
                  </w:r>
                </w:p>
              </w:tc>
            </w:tr>
            <w:tr w:rsidR="00000000" w:rsidRPr="00F1269A" w:rsidTr="00F1269A">
              <w:trPr>
                <w:tblCellSpacing w:w="15" w:type="dxa"/>
              </w:trPr>
              <w:tc>
                <w:tcPr>
                  <w:tcW w:w="3870" w:type="pct"/>
                  <w:hideMark/>
                </w:tcPr>
                <w:p w:rsidR="00000000" w:rsidRPr="00F1269A" w:rsidRDefault="00F1269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1269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Complaints</w:t>
                  </w:r>
                  <w:r w:rsidRPr="00F1269A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Amend/*</w:t>
                  </w:r>
                </w:p>
              </w:tc>
              <w:tc>
                <w:tcPr>
                  <w:tcW w:w="98" w:type="pct"/>
                  <w:vAlign w:val="center"/>
                  <w:hideMark/>
                </w:tcPr>
                <w:p w:rsidR="00000000" w:rsidRPr="00F1269A" w:rsidRDefault="00F1269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4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F1269A" w:rsidRDefault="00F1269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" w:history="1">
                    <w:r w:rsidRPr="00F1269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254" w:type="pct"/>
                  <w:noWrap/>
                  <w:hideMark/>
                </w:tcPr>
                <w:p w:rsidR="00000000" w:rsidRPr="00F1269A" w:rsidRDefault="00F1269A" w:rsidP="00F1269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" w:history="1">
                    <w:r w:rsidRPr="00F1269A">
                      <w:rPr>
                        <w:rFonts w:ascii="Arial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163" w:type="pct"/>
                  <w:noWrap/>
                  <w:hideMark/>
                </w:tcPr>
                <w:p w:rsidR="00000000" w:rsidRPr="00F1269A" w:rsidRDefault="00F1269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" w:history="1">
                    <w:r w:rsidRPr="00F1269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08</w:t>
                    </w:r>
                  </w:hyperlink>
                </w:p>
              </w:tc>
              <w:tc>
                <w:tcPr>
                  <w:tcW w:w="208" w:type="pct"/>
                  <w:noWrap/>
                  <w:hideMark/>
                </w:tcPr>
                <w:p w:rsidR="00000000" w:rsidRPr="00F1269A" w:rsidRDefault="00F1269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" w:history="1">
                    <w:r w:rsidRPr="00F1269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.1202</w:t>
                    </w:r>
                  </w:hyperlink>
                </w:p>
              </w:tc>
            </w:tr>
            <w:tr w:rsidR="00000000" w:rsidRPr="00F1269A" w:rsidTr="00F1269A">
              <w:trPr>
                <w:tblCellSpacing w:w="15" w:type="dxa"/>
              </w:trPr>
              <w:tc>
                <w:tcPr>
                  <w:tcW w:w="3870" w:type="pct"/>
                  <w:hideMark/>
                </w:tcPr>
                <w:p w:rsidR="00000000" w:rsidRPr="00F1269A" w:rsidRDefault="00F1269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1269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Board Staff</w:t>
                  </w:r>
                  <w:r w:rsidRPr="00F1269A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Repeal/*</w:t>
                  </w:r>
                </w:p>
              </w:tc>
              <w:tc>
                <w:tcPr>
                  <w:tcW w:w="98" w:type="pct"/>
                  <w:vAlign w:val="center"/>
                  <w:hideMark/>
                </w:tcPr>
                <w:p w:rsidR="00000000" w:rsidRPr="00F1269A" w:rsidRDefault="00F1269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4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F1269A" w:rsidRDefault="00F1269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" w:history="1">
                    <w:r w:rsidRPr="00F1269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254" w:type="pct"/>
                  <w:noWrap/>
                  <w:hideMark/>
                </w:tcPr>
                <w:p w:rsidR="00000000" w:rsidRPr="00F1269A" w:rsidRDefault="00F1269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" w:history="1">
                    <w:r w:rsidRPr="00F1269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163" w:type="pct"/>
                  <w:noWrap/>
                  <w:hideMark/>
                </w:tcPr>
                <w:p w:rsidR="00000000" w:rsidRPr="00F1269A" w:rsidRDefault="00F1269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" w:history="1">
                    <w:r w:rsidRPr="00F1269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08</w:t>
                    </w:r>
                  </w:hyperlink>
                </w:p>
              </w:tc>
              <w:tc>
                <w:tcPr>
                  <w:tcW w:w="208" w:type="pct"/>
                  <w:noWrap/>
                  <w:hideMark/>
                </w:tcPr>
                <w:p w:rsidR="00000000" w:rsidRPr="00F1269A" w:rsidRDefault="00F1269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" w:history="1">
                    <w:r w:rsidRPr="00F1269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.1203</w:t>
                    </w:r>
                  </w:hyperlink>
                </w:p>
              </w:tc>
            </w:tr>
            <w:tr w:rsidR="00000000" w:rsidRPr="00F1269A" w:rsidTr="00F1269A">
              <w:trPr>
                <w:tblCellSpacing w:w="15" w:type="dxa"/>
              </w:trPr>
              <w:tc>
                <w:tcPr>
                  <w:tcW w:w="3870" w:type="pct"/>
                  <w:hideMark/>
                </w:tcPr>
                <w:p w:rsidR="00000000" w:rsidRPr="00F1269A" w:rsidRDefault="00F1269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1269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Investigation</w:t>
                  </w:r>
                  <w:r w:rsidRPr="00F1269A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Amend/*</w:t>
                  </w:r>
                </w:p>
              </w:tc>
              <w:tc>
                <w:tcPr>
                  <w:tcW w:w="98" w:type="pct"/>
                  <w:vAlign w:val="center"/>
                  <w:hideMark/>
                </w:tcPr>
                <w:p w:rsidR="00000000" w:rsidRPr="00F1269A" w:rsidRDefault="00F1269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4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F1269A" w:rsidRDefault="00F1269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" w:history="1">
                    <w:r w:rsidRPr="00F1269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254" w:type="pct"/>
                  <w:noWrap/>
                  <w:hideMark/>
                </w:tcPr>
                <w:p w:rsidR="00000000" w:rsidRPr="00F1269A" w:rsidRDefault="00F1269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" w:history="1">
                    <w:r w:rsidRPr="00F1269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163" w:type="pct"/>
                  <w:noWrap/>
                  <w:hideMark/>
                </w:tcPr>
                <w:p w:rsidR="00000000" w:rsidRPr="00F1269A" w:rsidRDefault="00F1269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" w:history="1">
                    <w:r w:rsidRPr="00F1269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08</w:t>
                    </w:r>
                  </w:hyperlink>
                </w:p>
              </w:tc>
              <w:tc>
                <w:tcPr>
                  <w:tcW w:w="208" w:type="pct"/>
                  <w:noWrap/>
                  <w:hideMark/>
                </w:tcPr>
                <w:p w:rsidR="00000000" w:rsidRPr="00F1269A" w:rsidRDefault="00F1269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" w:history="1">
                    <w:r w:rsidRPr="00F1269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.1204</w:t>
                    </w:r>
                  </w:hyperlink>
                </w:p>
              </w:tc>
            </w:tr>
            <w:tr w:rsidR="00000000" w:rsidRPr="00F1269A" w:rsidTr="00F1269A">
              <w:trPr>
                <w:tblCellSpacing w:w="15" w:type="dxa"/>
              </w:trPr>
              <w:tc>
                <w:tcPr>
                  <w:tcW w:w="3870" w:type="pct"/>
                  <w:hideMark/>
                </w:tcPr>
                <w:p w:rsidR="00000000" w:rsidRPr="00F1269A" w:rsidRDefault="00F1269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1269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Disciplinary Hearing</w:t>
                  </w:r>
                  <w:r w:rsidRPr="00F1269A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Amend/*</w:t>
                  </w:r>
                </w:p>
              </w:tc>
              <w:tc>
                <w:tcPr>
                  <w:tcW w:w="98" w:type="pct"/>
                  <w:vAlign w:val="center"/>
                  <w:hideMark/>
                </w:tcPr>
                <w:p w:rsidR="00000000" w:rsidRPr="00F1269A" w:rsidRDefault="00F1269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4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F1269A" w:rsidRDefault="00F1269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" w:history="1">
                    <w:r w:rsidRPr="00F1269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254" w:type="pct"/>
                  <w:noWrap/>
                  <w:hideMark/>
                </w:tcPr>
                <w:p w:rsidR="00000000" w:rsidRPr="00F1269A" w:rsidRDefault="00F1269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" w:history="1">
                    <w:r w:rsidRPr="00F1269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163" w:type="pct"/>
                  <w:noWrap/>
                  <w:hideMark/>
                </w:tcPr>
                <w:p w:rsidR="00000000" w:rsidRPr="00F1269A" w:rsidRDefault="00F1269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" w:history="1">
                    <w:r w:rsidRPr="00F1269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08</w:t>
                    </w:r>
                  </w:hyperlink>
                </w:p>
              </w:tc>
              <w:tc>
                <w:tcPr>
                  <w:tcW w:w="208" w:type="pct"/>
                  <w:noWrap/>
                  <w:hideMark/>
                </w:tcPr>
                <w:p w:rsidR="00000000" w:rsidRPr="00F1269A" w:rsidRDefault="00F1269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" w:history="1">
                    <w:r w:rsidRPr="00F1269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.1205</w:t>
                    </w:r>
                  </w:hyperlink>
                </w:p>
              </w:tc>
            </w:tr>
            <w:tr w:rsidR="00000000" w:rsidRPr="00F1269A">
              <w:trPr>
                <w:tblCellSpacing w:w="15" w:type="dxa"/>
              </w:trPr>
              <w:tc>
                <w:tcPr>
                  <w:tcW w:w="0" w:type="auto"/>
                  <w:gridSpan w:val="6"/>
                  <w:tcMar>
                    <w:top w:w="313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F1269A" w:rsidRDefault="00F1269A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F1269A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Private Protective Services Board</w:t>
                  </w:r>
                </w:p>
              </w:tc>
            </w:tr>
            <w:tr w:rsidR="00000000" w:rsidRPr="00F1269A">
              <w:trPr>
                <w:tblCellSpacing w:w="15" w:type="dxa"/>
              </w:trPr>
              <w:tc>
                <w:tcPr>
                  <w:tcW w:w="0" w:type="auto"/>
                  <w:gridSpan w:val="6"/>
                  <w:tcMar>
                    <w:top w:w="63" w:type="dxa"/>
                    <w:left w:w="125" w:type="dxa"/>
                    <w:bottom w:w="188" w:type="dxa"/>
                    <w:right w:w="15" w:type="dxa"/>
                  </w:tcMar>
                  <w:vAlign w:val="center"/>
                  <w:hideMark/>
                </w:tcPr>
                <w:p w:rsidR="00000000" w:rsidRPr="00F1269A" w:rsidRDefault="00F1269A" w:rsidP="00F1269A">
                  <w:pPr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1269A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The rules in Subchapter 7D cover organization and general provisions (.0100); licenses and trainee permits (.0200); security guard patrol and guard dog service (.0300); private investigator and counterintelligence (.0400); polygraph (.0500); psychological </w:t>
                  </w:r>
                  <w:r w:rsidRPr="00F1269A">
                    <w:rPr>
                      <w:rFonts w:ascii="Arial" w:eastAsia="Times New Roman" w:hAnsi="Arial" w:cs="Arial"/>
                      <w:sz w:val="20"/>
                      <w:szCs w:val="20"/>
                    </w:rPr>
                    <w:t>stress evaluator (PSE) (.0600); unarmed security guard registration (.0700); armed security guard firearm registration permit (.0800); trainer certificate (.0900); recovery fund (.1000); training and supervision for private investigator associates (.1100);</w:t>
                  </w:r>
                  <w:r w:rsidRPr="00F1269A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continuing education (.1300); unarmed armored car service guard registration requirements (.1400); and armed armored car service guard registration permit requirements (.1500).</w:t>
                  </w:r>
                </w:p>
              </w:tc>
            </w:tr>
            <w:tr w:rsidR="00000000" w:rsidRPr="00F1269A" w:rsidTr="00F1269A">
              <w:trPr>
                <w:tblCellSpacing w:w="15" w:type="dxa"/>
              </w:trPr>
              <w:tc>
                <w:tcPr>
                  <w:tcW w:w="3870" w:type="pct"/>
                  <w:hideMark/>
                </w:tcPr>
                <w:p w:rsidR="00000000" w:rsidRPr="00F1269A" w:rsidRDefault="00F1269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1269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Experience Requirements for a Polygraph License</w:t>
                  </w:r>
                  <w:r w:rsidRPr="00F1269A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Amend/*</w:t>
                  </w:r>
                </w:p>
              </w:tc>
              <w:tc>
                <w:tcPr>
                  <w:tcW w:w="98" w:type="pct"/>
                  <w:vAlign w:val="center"/>
                  <w:hideMark/>
                </w:tcPr>
                <w:p w:rsidR="00000000" w:rsidRPr="00F1269A" w:rsidRDefault="00F1269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4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F1269A" w:rsidRDefault="00F1269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" w:history="1">
                    <w:r w:rsidRPr="00F1269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254" w:type="pct"/>
                  <w:noWrap/>
                  <w:hideMark/>
                </w:tcPr>
                <w:p w:rsidR="00000000" w:rsidRPr="00F1269A" w:rsidRDefault="00F1269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" w:history="1">
                    <w:r w:rsidRPr="00F1269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163" w:type="pct"/>
                  <w:noWrap/>
                  <w:hideMark/>
                </w:tcPr>
                <w:p w:rsidR="00000000" w:rsidRPr="00F1269A" w:rsidRDefault="00F1269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" w:history="1">
                    <w:r w:rsidRPr="00F1269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07D</w:t>
                    </w:r>
                  </w:hyperlink>
                </w:p>
              </w:tc>
              <w:tc>
                <w:tcPr>
                  <w:tcW w:w="208" w:type="pct"/>
                  <w:noWrap/>
                  <w:hideMark/>
                </w:tcPr>
                <w:p w:rsidR="00000000" w:rsidRPr="00F1269A" w:rsidRDefault="00F1269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" w:history="1">
                    <w:r w:rsidRPr="00F1269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.0501</w:t>
                    </w:r>
                  </w:hyperlink>
                </w:p>
              </w:tc>
            </w:tr>
            <w:tr w:rsidR="00000000" w:rsidRPr="00F1269A" w:rsidTr="00F1269A">
              <w:trPr>
                <w:tblCellSpacing w:w="15" w:type="dxa"/>
              </w:trPr>
              <w:tc>
                <w:tcPr>
                  <w:tcW w:w="3870" w:type="pct"/>
                  <w:hideMark/>
                </w:tcPr>
                <w:p w:rsidR="00000000" w:rsidRPr="00F1269A" w:rsidRDefault="00F1269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1269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Polygraph Trainee Permit Requirements</w:t>
                  </w:r>
                  <w:r w:rsidRPr="00F1269A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Amend/*</w:t>
                  </w:r>
                </w:p>
              </w:tc>
              <w:tc>
                <w:tcPr>
                  <w:tcW w:w="98" w:type="pct"/>
                  <w:vAlign w:val="center"/>
                  <w:hideMark/>
                </w:tcPr>
                <w:p w:rsidR="00000000" w:rsidRPr="00F1269A" w:rsidRDefault="00F1269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4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F1269A" w:rsidRDefault="00F1269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" w:history="1">
                    <w:r w:rsidRPr="00F1269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254" w:type="pct"/>
                  <w:noWrap/>
                  <w:hideMark/>
                </w:tcPr>
                <w:p w:rsidR="00000000" w:rsidRPr="00F1269A" w:rsidRDefault="00F1269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" w:history="1">
                    <w:r w:rsidRPr="00F1269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163" w:type="pct"/>
                  <w:noWrap/>
                  <w:hideMark/>
                </w:tcPr>
                <w:p w:rsidR="00000000" w:rsidRPr="00F1269A" w:rsidRDefault="00F1269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" w:history="1">
                    <w:r w:rsidRPr="00F1269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07D</w:t>
                    </w:r>
                  </w:hyperlink>
                </w:p>
              </w:tc>
              <w:tc>
                <w:tcPr>
                  <w:tcW w:w="208" w:type="pct"/>
                  <w:noWrap/>
                  <w:hideMark/>
                </w:tcPr>
                <w:p w:rsidR="00000000" w:rsidRPr="00F1269A" w:rsidRDefault="00F1269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" w:history="1">
                    <w:r w:rsidRPr="00F1269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.0502</w:t>
                    </w:r>
                  </w:hyperlink>
                </w:p>
              </w:tc>
            </w:tr>
            <w:tr w:rsidR="00000000" w:rsidRPr="00F1269A" w:rsidTr="00F1269A">
              <w:trPr>
                <w:tblCellSpacing w:w="15" w:type="dxa"/>
              </w:trPr>
              <w:tc>
                <w:tcPr>
                  <w:tcW w:w="3870" w:type="pct"/>
                  <w:hideMark/>
                </w:tcPr>
                <w:p w:rsidR="00000000" w:rsidRPr="00F1269A" w:rsidRDefault="00F1269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1269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Polygraph Examination Requirements</w:t>
                  </w:r>
                  <w:r w:rsidRPr="00F1269A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Amend/*</w:t>
                  </w:r>
                </w:p>
              </w:tc>
              <w:tc>
                <w:tcPr>
                  <w:tcW w:w="98" w:type="pct"/>
                  <w:vAlign w:val="center"/>
                  <w:hideMark/>
                </w:tcPr>
                <w:p w:rsidR="00000000" w:rsidRPr="00F1269A" w:rsidRDefault="00F1269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4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F1269A" w:rsidRDefault="00F1269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" w:history="1">
                    <w:r w:rsidRPr="00F1269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254" w:type="pct"/>
                  <w:noWrap/>
                  <w:hideMark/>
                </w:tcPr>
                <w:p w:rsidR="00000000" w:rsidRPr="00F1269A" w:rsidRDefault="00F1269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" w:history="1">
                    <w:r w:rsidRPr="00F1269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163" w:type="pct"/>
                  <w:noWrap/>
                  <w:hideMark/>
                </w:tcPr>
                <w:p w:rsidR="00000000" w:rsidRPr="00F1269A" w:rsidRDefault="00F1269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" w:history="1">
                    <w:r w:rsidRPr="00F1269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07D</w:t>
                    </w:r>
                  </w:hyperlink>
                </w:p>
              </w:tc>
              <w:tc>
                <w:tcPr>
                  <w:tcW w:w="208" w:type="pct"/>
                  <w:noWrap/>
                  <w:hideMark/>
                </w:tcPr>
                <w:p w:rsidR="00000000" w:rsidRPr="00F1269A" w:rsidRDefault="00F1269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" w:history="1">
                    <w:r w:rsidRPr="00F1269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.0503</w:t>
                    </w:r>
                  </w:hyperlink>
                </w:p>
              </w:tc>
            </w:tr>
            <w:tr w:rsidR="00000000" w:rsidRPr="00F1269A" w:rsidTr="00F1269A">
              <w:trPr>
                <w:tblCellSpacing w:w="15" w:type="dxa"/>
              </w:trPr>
              <w:tc>
                <w:tcPr>
                  <w:tcW w:w="3870" w:type="pct"/>
                  <w:hideMark/>
                </w:tcPr>
                <w:p w:rsidR="00000000" w:rsidRPr="00F1269A" w:rsidRDefault="00F1269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1269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Polygraph Instruments</w:t>
                  </w:r>
                  <w:r w:rsidRPr="00F1269A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Amend/*</w:t>
                  </w:r>
                </w:p>
              </w:tc>
              <w:tc>
                <w:tcPr>
                  <w:tcW w:w="98" w:type="pct"/>
                  <w:vAlign w:val="center"/>
                  <w:hideMark/>
                </w:tcPr>
                <w:p w:rsidR="00000000" w:rsidRPr="00F1269A" w:rsidRDefault="00F1269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4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F1269A" w:rsidRDefault="00F1269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" w:history="1">
                    <w:r w:rsidRPr="00F1269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254" w:type="pct"/>
                  <w:noWrap/>
                  <w:hideMark/>
                </w:tcPr>
                <w:p w:rsidR="00000000" w:rsidRPr="00F1269A" w:rsidRDefault="00F1269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" w:history="1">
                    <w:r w:rsidRPr="00F1269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163" w:type="pct"/>
                  <w:noWrap/>
                  <w:hideMark/>
                </w:tcPr>
                <w:p w:rsidR="00000000" w:rsidRPr="00F1269A" w:rsidRDefault="00F1269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" w:history="1">
                    <w:r w:rsidRPr="00F1269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07D</w:t>
                    </w:r>
                  </w:hyperlink>
                </w:p>
              </w:tc>
              <w:tc>
                <w:tcPr>
                  <w:tcW w:w="208" w:type="pct"/>
                  <w:noWrap/>
                  <w:hideMark/>
                </w:tcPr>
                <w:p w:rsidR="00000000" w:rsidRPr="00F1269A" w:rsidRDefault="00F1269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" w:history="1">
                    <w:r w:rsidRPr="00F1269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.0504</w:t>
                    </w:r>
                  </w:hyperlink>
                </w:p>
              </w:tc>
            </w:tr>
            <w:tr w:rsidR="00000000" w:rsidRPr="00F1269A">
              <w:trPr>
                <w:tblCellSpacing w:w="15" w:type="dxa"/>
              </w:trPr>
              <w:tc>
                <w:tcPr>
                  <w:tcW w:w="0" w:type="auto"/>
                  <w:gridSpan w:val="6"/>
                  <w:tcMar>
                    <w:top w:w="313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F1269A" w:rsidRDefault="00F1269A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F1269A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Criminal Justice Education and Training Standards Commission</w:t>
                  </w:r>
                </w:p>
              </w:tc>
            </w:tr>
            <w:tr w:rsidR="00000000" w:rsidRPr="00F1269A">
              <w:trPr>
                <w:tblCellSpacing w:w="15" w:type="dxa"/>
              </w:trPr>
              <w:tc>
                <w:tcPr>
                  <w:tcW w:w="0" w:type="auto"/>
                  <w:gridSpan w:val="6"/>
                  <w:tcMar>
                    <w:top w:w="63" w:type="dxa"/>
                    <w:left w:w="125" w:type="dxa"/>
                    <w:bottom w:w="188" w:type="dxa"/>
                    <w:right w:w="15" w:type="dxa"/>
                  </w:tcMar>
                  <w:vAlign w:val="center"/>
                  <w:hideMark/>
                </w:tcPr>
                <w:p w:rsidR="00F1269A" w:rsidRDefault="00F1269A" w:rsidP="00F1269A">
                  <w:pPr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1269A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The rules in Chapter 9 are from the Criminal Justice Education and Training Standards Commission. This Commission has primary responsibility for setting statewide education, training, employment, and retention standards for criminal justice personnel (not </w:t>
                  </w:r>
                  <w:r w:rsidRPr="00F1269A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including sheriffs). </w:t>
                  </w:r>
                </w:p>
                <w:p w:rsidR="00F1269A" w:rsidRDefault="00F1269A" w:rsidP="00F1269A">
                  <w:pPr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p w:rsidR="00000000" w:rsidRPr="00F1269A" w:rsidRDefault="00F1269A" w:rsidP="00F1269A">
                  <w:pPr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1269A">
                    <w:rPr>
                      <w:rFonts w:ascii="Arial" w:eastAsia="Times New Roman" w:hAnsi="Arial" w:cs="Arial"/>
                      <w:sz w:val="20"/>
                      <w:szCs w:val="20"/>
                    </w:rPr>
                    <w:t>The rules in Subchapter 9B cover minimum standards for: employment (.0100); schools and training programs (.0200); criminal justice instructors (.0300); completion of training (.0400); school directors (.0500); and certification of pos</w:t>
                  </w:r>
                  <w:r w:rsidRPr="00F1269A">
                    <w:rPr>
                      <w:rFonts w:ascii="Arial" w:eastAsia="Times New Roman" w:hAnsi="Arial" w:cs="Arial"/>
                      <w:sz w:val="20"/>
                      <w:szCs w:val="20"/>
                    </w:rPr>
                    <w:t>t-secondary criminal justice education programs (.0600).</w:t>
                  </w:r>
                </w:p>
              </w:tc>
            </w:tr>
            <w:tr w:rsidR="00000000" w:rsidRPr="00F1269A" w:rsidTr="00F1269A">
              <w:trPr>
                <w:tblCellSpacing w:w="15" w:type="dxa"/>
              </w:trPr>
              <w:tc>
                <w:tcPr>
                  <w:tcW w:w="3870" w:type="pct"/>
                  <w:hideMark/>
                </w:tcPr>
                <w:p w:rsidR="00000000" w:rsidRPr="00F1269A" w:rsidRDefault="00F1269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1269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lastRenderedPageBreak/>
                    <w:t>Basic Law Enforcement Training</w:t>
                  </w:r>
                  <w:r w:rsidRPr="00F1269A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Amend/*</w:t>
                  </w:r>
                </w:p>
              </w:tc>
              <w:tc>
                <w:tcPr>
                  <w:tcW w:w="98" w:type="pct"/>
                  <w:vAlign w:val="center"/>
                  <w:hideMark/>
                </w:tcPr>
                <w:p w:rsidR="00000000" w:rsidRPr="00F1269A" w:rsidRDefault="00F1269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4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F1269A" w:rsidRDefault="00F1269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" w:history="1">
                    <w:r w:rsidRPr="00F1269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254" w:type="pct"/>
                  <w:noWrap/>
                  <w:hideMark/>
                </w:tcPr>
                <w:p w:rsidR="00000000" w:rsidRPr="00F1269A" w:rsidRDefault="00F1269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" w:history="1">
                    <w:r w:rsidRPr="00F1269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163" w:type="pct"/>
                  <w:noWrap/>
                  <w:hideMark/>
                </w:tcPr>
                <w:p w:rsidR="00000000" w:rsidRPr="00F1269A" w:rsidRDefault="00F1269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" w:history="1">
                    <w:r w:rsidRPr="00F1269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09B</w:t>
                    </w:r>
                  </w:hyperlink>
                </w:p>
              </w:tc>
              <w:tc>
                <w:tcPr>
                  <w:tcW w:w="208" w:type="pct"/>
                  <w:noWrap/>
                  <w:hideMark/>
                </w:tcPr>
                <w:p w:rsidR="00000000" w:rsidRPr="00F1269A" w:rsidRDefault="00F1269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" w:history="1">
                    <w:r w:rsidRPr="00F1269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.0205</w:t>
                    </w:r>
                  </w:hyperlink>
                </w:p>
              </w:tc>
            </w:tr>
            <w:tr w:rsidR="00000000" w:rsidRPr="00F1269A" w:rsidTr="00F1269A">
              <w:trPr>
                <w:tblCellSpacing w:w="15" w:type="dxa"/>
              </w:trPr>
              <w:tc>
                <w:tcPr>
                  <w:tcW w:w="3870" w:type="pct"/>
                  <w:hideMark/>
                </w:tcPr>
                <w:p w:rsidR="00000000" w:rsidRPr="00F1269A" w:rsidRDefault="00F1269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1269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Juvenile Justice Specialized Instructor Training - </w:t>
                  </w:r>
                  <w:proofErr w:type="spellStart"/>
                  <w:r w:rsidRPr="00F1269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Restra</w:t>
                  </w:r>
                  <w:proofErr w:type="spellEnd"/>
                  <w:r w:rsidRPr="00F1269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...</w:t>
                  </w:r>
                  <w:r w:rsidRPr="00F1269A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Amend/*</w:t>
                  </w:r>
                </w:p>
              </w:tc>
              <w:tc>
                <w:tcPr>
                  <w:tcW w:w="98" w:type="pct"/>
                  <w:vAlign w:val="center"/>
                  <w:hideMark/>
                </w:tcPr>
                <w:p w:rsidR="00000000" w:rsidRPr="00F1269A" w:rsidRDefault="00F1269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4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F1269A" w:rsidRDefault="00F1269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0" w:history="1">
                    <w:r w:rsidRPr="00F1269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254" w:type="pct"/>
                  <w:noWrap/>
                  <w:hideMark/>
                </w:tcPr>
                <w:p w:rsidR="00000000" w:rsidRPr="00F1269A" w:rsidRDefault="00F1269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1" w:history="1">
                    <w:r w:rsidRPr="00F1269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163" w:type="pct"/>
                  <w:noWrap/>
                  <w:hideMark/>
                </w:tcPr>
                <w:p w:rsidR="00000000" w:rsidRPr="00F1269A" w:rsidRDefault="00F1269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2" w:history="1">
                    <w:r w:rsidRPr="00F1269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09B</w:t>
                    </w:r>
                  </w:hyperlink>
                </w:p>
              </w:tc>
              <w:tc>
                <w:tcPr>
                  <w:tcW w:w="208" w:type="pct"/>
                  <w:noWrap/>
                  <w:hideMark/>
                </w:tcPr>
                <w:p w:rsidR="00000000" w:rsidRPr="00F1269A" w:rsidRDefault="00F1269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3" w:history="1">
                    <w:r w:rsidRPr="00F1269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.0241</w:t>
                    </w:r>
                  </w:hyperlink>
                </w:p>
              </w:tc>
            </w:tr>
            <w:tr w:rsidR="00000000" w:rsidRPr="00F1269A">
              <w:trPr>
                <w:tblCellSpacing w:w="15" w:type="dxa"/>
              </w:trPr>
              <w:tc>
                <w:tcPr>
                  <w:tcW w:w="0" w:type="auto"/>
                  <w:gridSpan w:val="6"/>
                  <w:tcMar>
                    <w:top w:w="250" w:type="dxa"/>
                    <w:left w:w="125" w:type="dxa"/>
                    <w:bottom w:w="188" w:type="dxa"/>
                    <w:right w:w="15" w:type="dxa"/>
                  </w:tcMar>
                  <w:vAlign w:val="center"/>
                  <w:hideMark/>
                </w:tcPr>
                <w:p w:rsidR="00000000" w:rsidRPr="00F1269A" w:rsidRDefault="00F1269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1269A">
                    <w:rPr>
                      <w:rFonts w:ascii="Arial" w:eastAsia="Times New Roman" w:hAnsi="Arial" w:cs="Arial"/>
                      <w:sz w:val="20"/>
                      <w:szCs w:val="20"/>
                    </w:rPr>
                    <w:t>The rules in Subchapter 9E relate to the law enforcement officers' in-service training program.</w:t>
                  </w:r>
                </w:p>
              </w:tc>
            </w:tr>
            <w:tr w:rsidR="00000000" w:rsidRPr="00F1269A" w:rsidTr="00F1269A">
              <w:trPr>
                <w:tblCellSpacing w:w="15" w:type="dxa"/>
              </w:trPr>
              <w:tc>
                <w:tcPr>
                  <w:tcW w:w="3870" w:type="pct"/>
                  <w:hideMark/>
                </w:tcPr>
                <w:p w:rsidR="00000000" w:rsidRPr="00F1269A" w:rsidRDefault="00F1269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1269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Instructors: Annual In-Service Training</w:t>
                  </w:r>
                  <w:r w:rsidRPr="00F1269A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Amend/*</w:t>
                  </w:r>
                </w:p>
              </w:tc>
              <w:tc>
                <w:tcPr>
                  <w:tcW w:w="98" w:type="pct"/>
                  <w:vAlign w:val="center"/>
                  <w:hideMark/>
                </w:tcPr>
                <w:p w:rsidR="00000000" w:rsidRPr="00F1269A" w:rsidRDefault="00F1269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4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F1269A" w:rsidRDefault="00F1269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4" w:history="1">
                    <w:r w:rsidRPr="00F1269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254" w:type="pct"/>
                  <w:noWrap/>
                  <w:hideMark/>
                </w:tcPr>
                <w:p w:rsidR="00000000" w:rsidRPr="00F1269A" w:rsidRDefault="00F1269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5" w:history="1">
                    <w:r w:rsidRPr="00F1269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163" w:type="pct"/>
                  <w:noWrap/>
                  <w:hideMark/>
                </w:tcPr>
                <w:p w:rsidR="00000000" w:rsidRPr="00F1269A" w:rsidRDefault="00F1269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6" w:history="1">
                    <w:r w:rsidRPr="00F1269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09E</w:t>
                    </w:r>
                  </w:hyperlink>
                </w:p>
              </w:tc>
              <w:tc>
                <w:tcPr>
                  <w:tcW w:w="208" w:type="pct"/>
                  <w:noWrap/>
                  <w:hideMark/>
                </w:tcPr>
                <w:p w:rsidR="00000000" w:rsidRPr="00F1269A" w:rsidRDefault="00F1269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7" w:history="1">
                    <w:r w:rsidRPr="00F1269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.0104</w:t>
                    </w:r>
                  </w:hyperlink>
                </w:p>
              </w:tc>
            </w:tr>
            <w:tr w:rsidR="00000000" w:rsidRPr="00F1269A">
              <w:trPr>
                <w:tblCellSpacing w:w="15" w:type="dxa"/>
              </w:trPr>
              <w:tc>
                <w:tcPr>
                  <w:tcW w:w="0" w:type="auto"/>
                  <w:gridSpan w:val="6"/>
                  <w:tcMar>
                    <w:top w:w="250" w:type="dxa"/>
                    <w:left w:w="125" w:type="dxa"/>
                    <w:bottom w:w="188" w:type="dxa"/>
                    <w:right w:w="15" w:type="dxa"/>
                  </w:tcMar>
                  <w:vAlign w:val="center"/>
                  <w:hideMark/>
                </w:tcPr>
                <w:p w:rsidR="00000000" w:rsidRPr="00F1269A" w:rsidRDefault="00F1269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1269A">
                    <w:rPr>
                      <w:rFonts w:ascii="Arial" w:eastAsia="Times New Roman" w:hAnsi="Arial" w:cs="Arial"/>
                      <w:sz w:val="20"/>
                      <w:szCs w:val="20"/>
                    </w:rPr>
                    <w:t>The rules in Subchapter 9F cover concealed handgun training.</w:t>
                  </w:r>
                </w:p>
              </w:tc>
            </w:tr>
            <w:tr w:rsidR="00000000" w:rsidRPr="00F1269A" w:rsidTr="00F1269A">
              <w:trPr>
                <w:tblCellSpacing w:w="15" w:type="dxa"/>
              </w:trPr>
              <w:tc>
                <w:tcPr>
                  <w:tcW w:w="3870" w:type="pct"/>
                  <w:hideMark/>
                </w:tcPr>
                <w:p w:rsidR="00000000" w:rsidRPr="00F1269A" w:rsidRDefault="00F1269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1269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Filing and Fees</w:t>
                  </w:r>
                  <w:r w:rsidRPr="00F1269A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Amend/</w:t>
                  </w:r>
                </w:p>
              </w:tc>
              <w:tc>
                <w:tcPr>
                  <w:tcW w:w="98" w:type="pct"/>
                  <w:vAlign w:val="center"/>
                  <w:hideMark/>
                </w:tcPr>
                <w:p w:rsidR="00000000" w:rsidRPr="00F1269A" w:rsidRDefault="00F1269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4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F1269A" w:rsidRDefault="00F1269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8" w:history="1">
                    <w:r w:rsidRPr="00F1269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254" w:type="pct"/>
                  <w:noWrap/>
                  <w:hideMark/>
                </w:tcPr>
                <w:p w:rsidR="00000000" w:rsidRPr="00F1269A" w:rsidRDefault="00F1269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9" w:history="1">
                    <w:r w:rsidRPr="00F1269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163" w:type="pct"/>
                  <w:noWrap/>
                  <w:hideMark/>
                </w:tcPr>
                <w:p w:rsidR="00000000" w:rsidRPr="00F1269A" w:rsidRDefault="00F1269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0" w:history="1">
                    <w:r w:rsidRPr="00F1269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09F</w:t>
                    </w:r>
                  </w:hyperlink>
                </w:p>
              </w:tc>
              <w:tc>
                <w:tcPr>
                  <w:tcW w:w="208" w:type="pct"/>
                  <w:noWrap/>
                  <w:hideMark/>
                </w:tcPr>
                <w:p w:rsidR="00000000" w:rsidRPr="00F1269A" w:rsidRDefault="00F1269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1" w:history="1">
                    <w:r w:rsidRPr="00F1269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.0107</w:t>
                    </w:r>
                  </w:hyperlink>
                </w:p>
              </w:tc>
            </w:tr>
            <w:tr w:rsidR="00000000" w:rsidRPr="00F1269A">
              <w:trPr>
                <w:tblCellSpacing w:w="15" w:type="dxa"/>
              </w:trPr>
              <w:tc>
                <w:tcPr>
                  <w:tcW w:w="0" w:type="auto"/>
                  <w:gridSpan w:val="6"/>
                  <w:tcMar>
                    <w:top w:w="250" w:type="dxa"/>
                    <w:left w:w="125" w:type="dxa"/>
                    <w:bottom w:w="188" w:type="dxa"/>
                    <w:right w:w="15" w:type="dxa"/>
                  </w:tcMar>
                  <w:vAlign w:val="center"/>
                  <w:hideMark/>
                </w:tcPr>
                <w:p w:rsidR="00000000" w:rsidRPr="00F1269A" w:rsidRDefault="00F1269A" w:rsidP="00F1269A">
                  <w:pPr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1269A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The rules in Subchapter 9G are the standards for correction including scope, applicability and definitions (.0100); minimum standards for certification of correctional officers, probation/parole officers, and probation/parole </w:t>
                  </w:r>
                  <w:r w:rsidRPr="00F1269A">
                    <w:rPr>
                      <w:rFonts w:ascii="Arial" w:eastAsia="Times New Roman" w:hAnsi="Arial" w:cs="Arial"/>
                      <w:sz w:val="20"/>
                      <w:szCs w:val="20"/>
                    </w:rPr>
                    <w:t>officers-intermediate (.0200); certification of correctional officers, probation/parole officers, probation/parole officers intermediate and instructors (.0300); minimum standards for training of correctional officers, probation/parole officers, and probat</w:t>
                  </w:r>
                  <w:r w:rsidRPr="00F1269A">
                    <w:rPr>
                      <w:rFonts w:ascii="Arial" w:eastAsia="Times New Roman" w:hAnsi="Arial" w:cs="Arial"/>
                      <w:sz w:val="20"/>
                      <w:szCs w:val="20"/>
                    </w:rPr>
                    <w:t>ion/parole officers-intermediate (.0400); enforcement of rules (.0500); professional certification program (.0600); and forms (.0700).</w:t>
                  </w:r>
                </w:p>
              </w:tc>
            </w:tr>
            <w:tr w:rsidR="00000000" w:rsidRPr="00F1269A" w:rsidTr="00F1269A">
              <w:trPr>
                <w:tblCellSpacing w:w="15" w:type="dxa"/>
              </w:trPr>
              <w:tc>
                <w:tcPr>
                  <w:tcW w:w="3870" w:type="pct"/>
                  <w:hideMark/>
                </w:tcPr>
                <w:p w:rsidR="00000000" w:rsidRPr="00F1269A" w:rsidRDefault="00F1269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1269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Corrections Specialized Instructor Training - Firearms</w:t>
                  </w:r>
                  <w:r w:rsidRPr="00F1269A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Amend/*</w:t>
                  </w:r>
                </w:p>
              </w:tc>
              <w:tc>
                <w:tcPr>
                  <w:tcW w:w="98" w:type="pct"/>
                  <w:vAlign w:val="center"/>
                  <w:hideMark/>
                </w:tcPr>
                <w:p w:rsidR="00000000" w:rsidRPr="00F1269A" w:rsidRDefault="00F1269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4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F1269A" w:rsidRDefault="00F1269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2" w:history="1">
                    <w:r w:rsidRPr="00F1269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254" w:type="pct"/>
                  <w:noWrap/>
                  <w:hideMark/>
                </w:tcPr>
                <w:p w:rsidR="00000000" w:rsidRPr="00F1269A" w:rsidRDefault="00F1269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3" w:history="1">
                    <w:r w:rsidRPr="00F1269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163" w:type="pct"/>
                  <w:noWrap/>
                  <w:hideMark/>
                </w:tcPr>
                <w:p w:rsidR="00000000" w:rsidRPr="00F1269A" w:rsidRDefault="00F1269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4" w:history="1">
                    <w:r w:rsidRPr="00F1269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09G</w:t>
                    </w:r>
                  </w:hyperlink>
                </w:p>
              </w:tc>
              <w:tc>
                <w:tcPr>
                  <w:tcW w:w="208" w:type="pct"/>
                  <w:noWrap/>
                  <w:hideMark/>
                </w:tcPr>
                <w:p w:rsidR="00000000" w:rsidRPr="00F1269A" w:rsidRDefault="00F1269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5" w:history="1">
                    <w:r w:rsidRPr="00F1269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.0415</w:t>
                    </w:r>
                  </w:hyperlink>
                </w:p>
              </w:tc>
            </w:tr>
            <w:tr w:rsidR="00000000" w:rsidRPr="00F1269A" w:rsidTr="00F1269A">
              <w:trPr>
                <w:tblCellSpacing w:w="15" w:type="dxa"/>
              </w:trPr>
              <w:tc>
                <w:tcPr>
                  <w:tcW w:w="3870" w:type="pct"/>
                  <w:hideMark/>
                </w:tcPr>
                <w:p w:rsidR="00000000" w:rsidRPr="00F1269A" w:rsidRDefault="00F1269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1269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Corrections Specialized Instructor Training - Controls, R...</w:t>
                  </w:r>
                  <w:r w:rsidRPr="00F1269A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Amend/*</w:t>
                  </w:r>
                </w:p>
              </w:tc>
              <w:tc>
                <w:tcPr>
                  <w:tcW w:w="98" w:type="pct"/>
                  <w:vAlign w:val="center"/>
                  <w:hideMark/>
                </w:tcPr>
                <w:p w:rsidR="00000000" w:rsidRPr="00F1269A" w:rsidRDefault="00F1269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4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F1269A" w:rsidRDefault="00F1269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6" w:history="1">
                    <w:r w:rsidRPr="00F1269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254" w:type="pct"/>
                  <w:noWrap/>
                  <w:hideMark/>
                </w:tcPr>
                <w:p w:rsidR="00000000" w:rsidRPr="00F1269A" w:rsidRDefault="00F1269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7" w:history="1">
                    <w:r w:rsidRPr="00F1269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163" w:type="pct"/>
                  <w:noWrap/>
                  <w:hideMark/>
                </w:tcPr>
                <w:p w:rsidR="00000000" w:rsidRPr="00F1269A" w:rsidRDefault="00F1269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8" w:history="1">
                    <w:r w:rsidRPr="00F1269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09G</w:t>
                    </w:r>
                  </w:hyperlink>
                </w:p>
              </w:tc>
              <w:tc>
                <w:tcPr>
                  <w:tcW w:w="208" w:type="pct"/>
                  <w:noWrap/>
                  <w:hideMark/>
                </w:tcPr>
                <w:p w:rsidR="00000000" w:rsidRPr="00F1269A" w:rsidRDefault="00F1269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9" w:history="1">
                    <w:r w:rsidRPr="00F1269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.0416</w:t>
                    </w:r>
                  </w:hyperlink>
                </w:p>
              </w:tc>
            </w:tr>
            <w:tr w:rsidR="00000000" w:rsidRPr="00F1269A">
              <w:trPr>
                <w:tblCellSpacing w:w="15" w:type="dxa"/>
              </w:trPr>
              <w:tc>
                <w:tcPr>
                  <w:tcW w:w="0" w:type="auto"/>
                  <w:gridSpan w:val="6"/>
                  <w:tcMar>
                    <w:top w:w="313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F1269A" w:rsidRDefault="00F1269A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F1269A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State Board of Education</w:t>
                  </w:r>
                </w:p>
              </w:tc>
            </w:tr>
            <w:tr w:rsidR="00000000" w:rsidRPr="00F1269A">
              <w:trPr>
                <w:tblCellSpacing w:w="15" w:type="dxa"/>
              </w:trPr>
              <w:tc>
                <w:tcPr>
                  <w:tcW w:w="0" w:type="auto"/>
                  <w:gridSpan w:val="6"/>
                  <w:tcMar>
                    <w:top w:w="63" w:type="dxa"/>
                    <w:left w:w="125" w:type="dxa"/>
                    <w:bottom w:w="188" w:type="dxa"/>
                    <w:right w:w="15" w:type="dxa"/>
                  </w:tcMar>
                  <w:vAlign w:val="center"/>
                  <w:hideMark/>
                </w:tcPr>
                <w:p w:rsidR="00000000" w:rsidRPr="00F1269A" w:rsidRDefault="00F1269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1269A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The rules in Subchapter 6G relate to education agency relations including rules about the school-based management and </w:t>
                  </w:r>
                  <w:r w:rsidRPr="00F1269A">
                    <w:rPr>
                      <w:rFonts w:ascii="Arial" w:eastAsia="Times New Roman" w:hAnsi="Arial" w:cs="Arial"/>
                      <w:sz w:val="20"/>
                      <w:szCs w:val="20"/>
                    </w:rPr>
                    <w:t>accountability program (.0300) and charter schools (.0500).</w:t>
                  </w:r>
                </w:p>
              </w:tc>
            </w:tr>
            <w:tr w:rsidR="00000000" w:rsidRPr="00F1269A" w:rsidTr="00F1269A">
              <w:trPr>
                <w:tblCellSpacing w:w="15" w:type="dxa"/>
              </w:trPr>
              <w:tc>
                <w:tcPr>
                  <w:tcW w:w="3870" w:type="pct"/>
                  <w:hideMark/>
                </w:tcPr>
                <w:p w:rsidR="00000000" w:rsidRPr="00F1269A" w:rsidRDefault="00F1269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1269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Annual Performance Standards Under the Ready </w:t>
                  </w:r>
                  <w:proofErr w:type="spellStart"/>
                  <w:r w:rsidRPr="00F1269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Accountabi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</w:t>
                  </w:r>
                  <w:r w:rsidRPr="00F1269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it</w:t>
                  </w:r>
                  <w:proofErr w:type="spellEnd"/>
                  <w:r w:rsidRPr="00F1269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...</w:t>
                  </w:r>
                  <w:r w:rsidRPr="00F1269A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Amend/*</w:t>
                  </w:r>
                </w:p>
              </w:tc>
              <w:tc>
                <w:tcPr>
                  <w:tcW w:w="98" w:type="pct"/>
                  <w:vAlign w:val="center"/>
                  <w:hideMark/>
                </w:tcPr>
                <w:p w:rsidR="00000000" w:rsidRPr="00F1269A" w:rsidRDefault="00F1269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4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F1269A" w:rsidRDefault="00F1269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0" w:history="1">
                    <w:r w:rsidRPr="00F1269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16</w:t>
                    </w:r>
                  </w:hyperlink>
                </w:p>
              </w:tc>
              <w:tc>
                <w:tcPr>
                  <w:tcW w:w="254" w:type="pct"/>
                  <w:noWrap/>
                  <w:hideMark/>
                </w:tcPr>
                <w:p w:rsidR="00000000" w:rsidRPr="00F1269A" w:rsidRDefault="00F1269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1" w:history="1">
                    <w:r w:rsidRPr="00F1269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163" w:type="pct"/>
                  <w:noWrap/>
                  <w:hideMark/>
                </w:tcPr>
                <w:p w:rsidR="00000000" w:rsidRPr="00F1269A" w:rsidRDefault="00F1269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2" w:history="1">
                    <w:r w:rsidRPr="00F1269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06G</w:t>
                    </w:r>
                  </w:hyperlink>
                </w:p>
              </w:tc>
              <w:tc>
                <w:tcPr>
                  <w:tcW w:w="208" w:type="pct"/>
                  <w:noWrap/>
                  <w:hideMark/>
                </w:tcPr>
                <w:p w:rsidR="00000000" w:rsidRPr="00F1269A" w:rsidRDefault="00F1269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3" w:history="1">
                    <w:r w:rsidRPr="00F1269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.0312</w:t>
                    </w:r>
                  </w:hyperlink>
                </w:p>
              </w:tc>
            </w:tr>
          </w:tbl>
          <w:p w:rsidR="00000000" w:rsidRPr="00F1269A" w:rsidRDefault="00F1269A" w:rsidP="00F1269A">
            <w:pPr>
              <w:pStyle w:val="z-BottomofForm"/>
              <w:pBdr>
                <w:top w:val="none" w:sz="0" w:space="0" w:color="auto"/>
              </w:pBdr>
              <w:rPr>
                <w:rFonts w:eastAsia="Times New Roman"/>
              </w:rPr>
            </w:pPr>
          </w:p>
        </w:tc>
      </w:tr>
    </w:tbl>
    <w:p w:rsidR="00000000" w:rsidRDefault="00F1269A">
      <w:pPr>
        <w:rPr>
          <w:rFonts w:eastAsia="Times New Roman"/>
        </w:rPr>
      </w:pPr>
    </w:p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noPunctuationKerning/>
  <w:characterSpacingControl w:val="doNotCompress"/>
  <w:compat/>
  <w:rsids>
    <w:rsidRoot w:val="007D6EE6"/>
    <w:rsid w:val="007D6EE6"/>
    <w:rsid w:val="00F12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rPr>
      <w:color w:val="235986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Pr>
      <w:rFonts w:ascii="Arial" w:eastAsiaTheme="minorEastAsia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537114">
      <w:marLeft w:val="0"/>
      <w:marRight w:val="0"/>
      <w:marTop w:val="2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ats/viewRule.pl?nRuleID=40100" TargetMode="External"/><Relationship Id="rId18" Type="http://schemas.openxmlformats.org/officeDocument/2006/relationships/hyperlink" Target="http://rats/viewRule.pl?nRuleID=40101" TargetMode="External"/><Relationship Id="rId26" Type="http://schemas.openxmlformats.org/officeDocument/2006/relationships/hyperlink" Target="http://rats/viewRule.pl?nRuleID=40056" TargetMode="External"/><Relationship Id="rId39" Type="http://schemas.openxmlformats.org/officeDocument/2006/relationships/hyperlink" Target="http://rats/viewRule.pl?nRuleID=40097" TargetMode="External"/><Relationship Id="rId21" Type="http://schemas.openxmlformats.org/officeDocument/2006/relationships/hyperlink" Target="http://rats/viewRule.pl?nRuleID=40055" TargetMode="External"/><Relationship Id="rId34" Type="http://schemas.openxmlformats.org/officeDocument/2006/relationships/hyperlink" Target="http://rats/viewRule.pl?nRuleID=40058" TargetMode="External"/><Relationship Id="rId42" Type="http://schemas.openxmlformats.org/officeDocument/2006/relationships/hyperlink" Target="http://rats/viewRule.pl?nRuleID=40094" TargetMode="External"/><Relationship Id="rId47" Type="http://schemas.openxmlformats.org/officeDocument/2006/relationships/hyperlink" Target="http://rats/viewRule.pl?nRuleID=40092" TargetMode="External"/><Relationship Id="rId50" Type="http://schemas.openxmlformats.org/officeDocument/2006/relationships/hyperlink" Target="http://rats/viewRule.pl?nRuleID=40093" TargetMode="External"/><Relationship Id="rId55" Type="http://schemas.openxmlformats.org/officeDocument/2006/relationships/hyperlink" Target="http://rats/viewRule.pl?nRuleID=40095" TargetMode="External"/><Relationship Id="rId63" Type="http://schemas.openxmlformats.org/officeDocument/2006/relationships/hyperlink" Target="http://rats/viewRule.pl?nRuleID=40090" TargetMode="External"/><Relationship Id="rId7" Type="http://schemas.openxmlformats.org/officeDocument/2006/relationships/hyperlink" Target="http://rats/viewRule.pl?nRuleID=4009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rats/viewRule.pl?nRuleID=40101" TargetMode="External"/><Relationship Id="rId20" Type="http://schemas.openxmlformats.org/officeDocument/2006/relationships/hyperlink" Target="http://rats/viewRule.pl?nRuleID=40055" TargetMode="External"/><Relationship Id="rId29" Type="http://schemas.openxmlformats.org/officeDocument/2006/relationships/hyperlink" Target="http://rats/viewRule.pl?nRuleID=40057" TargetMode="External"/><Relationship Id="rId41" Type="http://schemas.openxmlformats.org/officeDocument/2006/relationships/hyperlink" Target="http://rats/viewRule.pl?nRuleID=40094" TargetMode="External"/><Relationship Id="rId54" Type="http://schemas.openxmlformats.org/officeDocument/2006/relationships/hyperlink" Target="http://rats/viewRule.pl?nRuleID=40095" TargetMode="External"/><Relationship Id="rId62" Type="http://schemas.openxmlformats.org/officeDocument/2006/relationships/hyperlink" Target="http://rats/viewRule.pl?nRuleID=40090" TargetMode="External"/><Relationship Id="rId1" Type="http://schemas.openxmlformats.org/officeDocument/2006/relationships/styles" Target="styles.xml"/><Relationship Id="rId6" Type="http://schemas.openxmlformats.org/officeDocument/2006/relationships/hyperlink" Target="http://rats/viewRule.pl?nRuleID=40098" TargetMode="External"/><Relationship Id="rId11" Type="http://schemas.openxmlformats.org/officeDocument/2006/relationships/hyperlink" Target="http://rats/viewRule.pl?nRuleID=40099" TargetMode="External"/><Relationship Id="rId24" Type="http://schemas.openxmlformats.org/officeDocument/2006/relationships/hyperlink" Target="http://rats/viewRule.pl?nRuleID=40056" TargetMode="External"/><Relationship Id="rId32" Type="http://schemas.openxmlformats.org/officeDocument/2006/relationships/hyperlink" Target="http://rats/viewRule.pl?nRuleID=40058" TargetMode="External"/><Relationship Id="rId37" Type="http://schemas.openxmlformats.org/officeDocument/2006/relationships/hyperlink" Target="http://rats/viewRule.pl?nRuleID=40097" TargetMode="External"/><Relationship Id="rId40" Type="http://schemas.openxmlformats.org/officeDocument/2006/relationships/hyperlink" Target="http://rats/viewRule.pl?nRuleID=40094" TargetMode="External"/><Relationship Id="rId45" Type="http://schemas.openxmlformats.org/officeDocument/2006/relationships/hyperlink" Target="http://rats/viewRule.pl?nRuleID=40092" TargetMode="External"/><Relationship Id="rId53" Type="http://schemas.openxmlformats.org/officeDocument/2006/relationships/hyperlink" Target="http://rats/viewRule.pl?nRuleID=40095" TargetMode="External"/><Relationship Id="rId58" Type="http://schemas.openxmlformats.org/officeDocument/2006/relationships/hyperlink" Target="http://rats/viewRule.pl?nRuleID=40096" TargetMode="External"/><Relationship Id="rId5" Type="http://schemas.openxmlformats.org/officeDocument/2006/relationships/hyperlink" Target="http://rats/viewRule.pl?nRuleID=40098" TargetMode="External"/><Relationship Id="rId15" Type="http://schemas.openxmlformats.org/officeDocument/2006/relationships/hyperlink" Target="http://rats/viewRule.pl?nRuleID=40100" TargetMode="External"/><Relationship Id="rId23" Type="http://schemas.openxmlformats.org/officeDocument/2006/relationships/hyperlink" Target="http://rats/viewRule.pl?nRuleID=40055" TargetMode="External"/><Relationship Id="rId28" Type="http://schemas.openxmlformats.org/officeDocument/2006/relationships/hyperlink" Target="http://rats/viewRule.pl?nRuleID=40057" TargetMode="External"/><Relationship Id="rId36" Type="http://schemas.openxmlformats.org/officeDocument/2006/relationships/hyperlink" Target="http://rats/viewRule.pl?nRuleID=40097" TargetMode="External"/><Relationship Id="rId49" Type="http://schemas.openxmlformats.org/officeDocument/2006/relationships/hyperlink" Target="http://rats/viewRule.pl?nRuleID=40093" TargetMode="External"/><Relationship Id="rId57" Type="http://schemas.openxmlformats.org/officeDocument/2006/relationships/hyperlink" Target="http://rats/viewRule.pl?nRuleID=40096" TargetMode="External"/><Relationship Id="rId61" Type="http://schemas.openxmlformats.org/officeDocument/2006/relationships/hyperlink" Target="http://rats/viewRule.pl?nRuleID=40090" TargetMode="External"/><Relationship Id="rId10" Type="http://schemas.openxmlformats.org/officeDocument/2006/relationships/hyperlink" Target="http://rats/viewRule.pl?nRuleID=40099" TargetMode="External"/><Relationship Id="rId19" Type="http://schemas.openxmlformats.org/officeDocument/2006/relationships/hyperlink" Target="http://rats/viewRule.pl?nRuleID=40101" TargetMode="External"/><Relationship Id="rId31" Type="http://schemas.openxmlformats.org/officeDocument/2006/relationships/hyperlink" Target="http://rats/viewRule.pl?nRuleID=40057" TargetMode="External"/><Relationship Id="rId44" Type="http://schemas.openxmlformats.org/officeDocument/2006/relationships/hyperlink" Target="http://rats/viewRule.pl?nRuleID=40092" TargetMode="External"/><Relationship Id="rId52" Type="http://schemas.openxmlformats.org/officeDocument/2006/relationships/hyperlink" Target="http://rats/viewRule.pl?nRuleID=40095" TargetMode="External"/><Relationship Id="rId60" Type="http://schemas.openxmlformats.org/officeDocument/2006/relationships/hyperlink" Target="http://rats/viewRule.pl?nRuleID=40090" TargetMode="External"/><Relationship Id="rId65" Type="http://schemas.openxmlformats.org/officeDocument/2006/relationships/theme" Target="theme/theme1.xml"/><Relationship Id="rId4" Type="http://schemas.openxmlformats.org/officeDocument/2006/relationships/hyperlink" Target="http://rats/viewRule.pl?nRuleID=40098" TargetMode="External"/><Relationship Id="rId9" Type="http://schemas.openxmlformats.org/officeDocument/2006/relationships/hyperlink" Target="http://rats/viewRule.pl?nRuleID=40099" TargetMode="External"/><Relationship Id="rId14" Type="http://schemas.openxmlformats.org/officeDocument/2006/relationships/hyperlink" Target="http://rats/viewRule.pl?nRuleID=40100" TargetMode="External"/><Relationship Id="rId22" Type="http://schemas.openxmlformats.org/officeDocument/2006/relationships/hyperlink" Target="http://rats/viewRule.pl?nRuleID=40055" TargetMode="External"/><Relationship Id="rId27" Type="http://schemas.openxmlformats.org/officeDocument/2006/relationships/hyperlink" Target="http://rats/viewRule.pl?nRuleID=40056" TargetMode="External"/><Relationship Id="rId30" Type="http://schemas.openxmlformats.org/officeDocument/2006/relationships/hyperlink" Target="http://rats/viewRule.pl?nRuleID=40057" TargetMode="External"/><Relationship Id="rId35" Type="http://schemas.openxmlformats.org/officeDocument/2006/relationships/hyperlink" Target="http://rats/viewRule.pl?nRuleID=40058" TargetMode="External"/><Relationship Id="rId43" Type="http://schemas.openxmlformats.org/officeDocument/2006/relationships/hyperlink" Target="http://rats/viewRule.pl?nRuleID=40094" TargetMode="External"/><Relationship Id="rId48" Type="http://schemas.openxmlformats.org/officeDocument/2006/relationships/hyperlink" Target="http://rats/viewRule.pl?nRuleID=40093" TargetMode="External"/><Relationship Id="rId56" Type="http://schemas.openxmlformats.org/officeDocument/2006/relationships/hyperlink" Target="http://rats/viewRule.pl?nRuleID=40096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://rats/viewRule.pl?nRuleID=40099" TargetMode="External"/><Relationship Id="rId51" Type="http://schemas.openxmlformats.org/officeDocument/2006/relationships/hyperlink" Target="http://rats/viewRule.pl?nRuleID=4009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rats/viewRule.pl?nRuleID=40100" TargetMode="External"/><Relationship Id="rId17" Type="http://schemas.openxmlformats.org/officeDocument/2006/relationships/hyperlink" Target="http://rats/viewRule.pl?nRuleID=40101" TargetMode="External"/><Relationship Id="rId25" Type="http://schemas.openxmlformats.org/officeDocument/2006/relationships/hyperlink" Target="http://rats/viewRule.pl?nRuleID=40056" TargetMode="External"/><Relationship Id="rId33" Type="http://schemas.openxmlformats.org/officeDocument/2006/relationships/hyperlink" Target="http://rats/viewRule.pl?nRuleID=40058" TargetMode="External"/><Relationship Id="rId38" Type="http://schemas.openxmlformats.org/officeDocument/2006/relationships/hyperlink" Target="http://rats/viewRule.pl?nRuleID=40097" TargetMode="External"/><Relationship Id="rId46" Type="http://schemas.openxmlformats.org/officeDocument/2006/relationships/hyperlink" Target="http://rats/viewRule.pl?nRuleID=40092" TargetMode="External"/><Relationship Id="rId59" Type="http://schemas.openxmlformats.org/officeDocument/2006/relationships/hyperlink" Target="http://rats/viewRule.pl?nRuleID=40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6876</Characters>
  <Application>Microsoft Office Word</Application>
  <DocSecurity>0</DocSecurity>
  <Lines>57</Lines>
  <Paragraphs>14</Paragraphs>
  <ScaleCrop>false</ScaleCrop>
  <Company>State of NC ITS</Company>
  <LinksUpToDate>false</LinksUpToDate>
  <CharactersWithSpaces>7384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Rules for G.S. 150B-19.1 Certification</dc:title>
  <dc:subject/>
  <dc:creator>dvojtko</dc:creator>
  <cp:keywords/>
  <dc:description/>
  <cp:lastModifiedBy>dvojtko</cp:lastModifiedBy>
  <cp:revision>2</cp:revision>
  <dcterms:created xsi:type="dcterms:W3CDTF">2013-06-06T19:00:00Z</dcterms:created>
  <dcterms:modified xsi:type="dcterms:W3CDTF">2013-06-06T19:00:00Z</dcterms:modified>
</cp:coreProperties>
</file>