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D2" w:rsidRDefault="006973D2" w:rsidP="006973D2">
      <w:pPr>
        <w:pStyle w:val="Paragraph"/>
        <w:jc w:val="center"/>
        <w:rPr>
          <w:sz w:val="24"/>
          <w:szCs w:val="24"/>
        </w:rPr>
        <w:sectPr w:rsidR="006973D2" w:rsidSect="00A8074E">
          <w:headerReference w:type="first" r:id="rId6"/>
          <w:footerReference w:type="firs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7C590C" w:rsidRPr="00895379" w:rsidRDefault="00FB6C10" w:rsidP="007C590C">
      <w:pPr>
        <w:tabs>
          <w:tab w:val="left" w:pos="3420"/>
        </w:tabs>
        <w:spacing w:after="4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July 22</w:t>
      </w:r>
      <w:r w:rsidR="007C590C">
        <w:rPr>
          <w:sz w:val="24"/>
          <w:szCs w:val="24"/>
        </w:rPr>
        <w:t>, 201</w:t>
      </w:r>
      <w:r>
        <w:rPr>
          <w:sz w:val="24"/>
          <w:szCs w:val="24"/>
        </w:rPr>
        <w:t>1</w:t>
      </w:r>
    </w:p>
    <w:p w:rsidR="00EA65AB" w:rsidRDefault="00EA65AB" w:rsidP="00EA65AB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David S. Tuttle</w:t>
      </w:r>
    </w:p>
    <w:p w:rsidR="00EA65AB" w:rsidRDefault="00EA65AB" w:rsidP="00EA65AB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4601 Six Forks Road</w:t>
      </w:r>
    </w:p>
    <w:p w:rsidR="00EA65AB" w:rsidRDefault="00EA65AB" w:rsidP="00EA65AB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Suite 310</w:t>
      </w:r>
    </w:p>
    <w:p w:rsidR="00EA65AB" w:rsidRDefault="00EA65AB" w:rsidP="00EA65AB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Raleigh, NC  27609</w:t>
      </w:r>
    </w:p>
    <w:p w:rsidR="007C590C" w:rsidRPr="00FB6C10" w:rsidRDefault="007C590C" w:rsidP="007C590C">
      <w:pPr>
        <w:pStyle w:val="Base"/>
      </w:pPr>
    </w:p>
    <w:p w:rsidR="007C590C" w:rsidRPr="00895379" w:rsidRDefault="007C590C" w:rsidP="007C590C">
      <w:pPr>
        <w:pStyle w:val="Paragraph"/>
        <w:rPr>
          <w:sz w:val="24"/>
          <w:szCs w:val="24"/>
        </w:rPr>
      </w:pPr>
      <w:r w:rsidRPr="00895379">
        <w:rPr>
          <w:sz w:val="24"/>
          <w:szCs w:val="24"/>
        </w:rPr>
        <w:t xml:space="preserve">Re: </w:t>
      </w:r>
      <w:r w:rsidR="00FB6C10">
        <w:rPr>
          <w:sz w:val="24"/>
          <w:szCs w:val="24"/>
        </w:rPr>
        <w:t>21 NCAC 56 .</w:t>
      </w:r>
      <w:r w:rsidR="00EA65AB">
        <w:rPr>
          <w:sz w:val="24"/>
          <w:szCs w:val="24"/>
        </w:rPr>
        <w:t>1602</w:t>
      </w:r>
    </w:p>
    <w:p w:rsidR="007C590C" w:rsidRPr="00FB6C10" w:rsidRDefault="007C590C" w:rsidP="007C590C">
      <w:pPr>
        <w:pStyle w:val="Base"/>
      </w:pPr>
    </w:p>
    <w:p w:rsidR="007C590C" w:rsidRPr="00895379" w:rsidRDefault="007C590C" w:rsidP="007C590C">
      <w:pPr>
        <w:pStyle w:val="Paragraph"/>
        <w:rPr>
          <w:sz w:val="24"/>
          <w:szCs w:val="24"/>
        </w:rPr>
      </w:pPr>
      <w:r w:rsidRPr="00895379">
        <w:rPr>
          <w:sz w:val="24"/>
          <w:szCs w:val="24"/>
        </w:rPr>
        <w:t>Dear</w:t>
      </w:r>
      <w:r>
        <w:rPr>
          <w:sz w:val="24"/>
          <w:szCs w:val="24"/>
        </w:rPr>
        <w:t xml:space="preserve"> Mr. </w:t>
      </w:r>
      <w:r w:rsidR="00FB6C10">
        <w:rPr>
          <w:sz w:val="24"/>
          <w:szCs w:val="24"/>
        </w:rPr>
        <w:t>Tuttle</w:t>
      </w:r>
      <w:r w:rsidRPr="00895379">
        <w:rPr>
          <w:sz w:val="24"/>
          <w:szCs w:val="24"/>
        </w:rPr>
        <w:t xml:space="preserve">: </w:t>
      </w:r>
    </w:p>
    <w:p w:rsidR="007C590C" w:rsidRPr="00895379" w:rsidRDefault="007C590C" w:rsidP="007C590C">
      <w:pPr>
        <w:pStyle w:val="Paragraph"/>
        <w:rPr>
          <w:sz w:val="24"/>
          <w:szCs w:val="24"/>
        </w:rPr>
      </w:pPr>
    </w:p>
    <w:p w:rsidR="007C590C" w:rsidRPr="00FB6C10" w:rsidRDefault="007C590C" w:rsidP="007C590C">
      <w:pPr>
        <w:pStyle w:val="Paragraph"/>
        <w:ind w:firstLine="720"/>
        <w:rPr>
          <w:sz w:val="24"/>
          <w:szCs w:val="24"/>
        </w:rPr>
      </w:pPr>
      <w:r w:rsidRPr="00FB6C10">
        <w:rPr>
          <w:sz w:val="24"/>
          <w:szCs w:val="24"/>
        </w:rPr>
        <w:t xml:space="preserve">At its </w:t>
      </w:r>
      <w:r w:rsidR="00FB6C10">
        <w:rPr>
          <w:sz w:val="24"/>
          <w:szCs w:val="24"/>
        </w:rPr>
        <w:t>July 21, 2011</w:t>
      </w:r>
      <w:r w:rsidRPr="00FB6C10">
        <w:rPr>
          <w:sz w:val="24"/>
          <w:szCs w:val="24"/>
        </w:rPr>
        <w:t xml:space="preserve"> meeting the Rules Review Commission extended th</w:t>
      </w:r>
      <w:r w:rsidR="001936DB">
        <w:rPr>
          <w:sz w:val="24"/>
          <w:szCs w:val="24"/>
        </w:rPr>
        <w:t>e period of review on the above-captioned rule</w:t>
      </w:r>
      <w:r w:rsidRPr="00FB6C10">
        <w:rPr>
          <w:sz w:val="24"/>
          <w:szCs w:val="24"/>
        </w:rPr>
        <w:t xml:space="preserve"> in accordance with G.S. 150B-21.13.</w:t>
      </w:r>
    </w:p>
    <w:p w:rsidR="007C590C" w:rsidRPr="00FB6C10" w:rsidRDefault="007C590C" w:rsidP="007C590C">
      <w:pPr>
        <w:pStyle w:val="Base"/>
        <w:rPr>
          <w:sz w:val="24"/>
          <w:szCs w:val="24"/>
        </w:rPr>
      </w:pPr>
    </w:p>
    <w:p w:rsidR="00F9575A" w:rsidRDefault="001936DB" w:rsidP="00F9575A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Commission did this to give you an opportunity to explore with your</w:t>
      </w:r>
      <w:r w:rsidR="00F9575A">
        <w:rPr>
          <w:sz w:val="24"/>
          <w:szCs w:val="24"/>
        </w:rPr>
        <w:t xml:space="preserve"> surveyor</w:t>
      </w:r>
      <w:r>
        <w:rPr>
          <w:sz w:val="24"/>
          <w:szCs w:val="24"/>
        </w:rPr>
        <w:t xml:space="preserve"> board</w:t>
      </w:r>
      <w:r w:rsidR="00F9575A">
        <w:rPr>
          <w:sz w:val="24"/>
          <w:szCs w:val="24"/>
        </w:rPr>
        <w:t xml:space="preserve"> members </w:t>
      </w:r>
      <w:r>
        <w:rPr>
          <w:sz w:val="24"/>
          <w:szCs w:val="24"/>
        </w:rPr>
        <w:t xml:space="preserve">acceptable language which could define </w:t>
      </w:r>
      <w:r w:rsidR="00F9575A">
        <w:rPr>
          <w:sz w:val="24"/>
          <w:szCs w:val="24"/>
        </w:rPr>
        <w:t>in (a) line 4 what is meant or required by the necessity for a licensee “to make adequate investigation” or “to determine.” This was prompted by my ea</w:t>
      </w:r>
      <w:r w:rsidR="00623567">
        <w:rPr>
          <w:sz w:val="24"/>
          <w:szCs w:val="24"/>
        </w:rPr>
        <w:t>rlier technical change request to delete or define</w:t>
      </w:r>
      <w:r w:rsidR="00152C4B">
        <w:rPr>
          <w:sz w:val="24"/>
          <w:szCs w:val="24"/>
        </w:rPr>
        <w:t xml:space="preserve"> </w:t>
      </w:r>
      <w:r w:rsidR="00623567">
        <w:rPr>
          <w:sz w:val="24"/>
          <w:szCs w:val="24"/>
        </w:rPr>
        <w:t xml:space="preserve">“adequate.” It would seem that an “investigation to determine if there are encroachments, gaps, </w:t>
      </w:r>
      <w:proofErr w:type="spellStart"/>
      <w:r w:rsidR="00152C4B">
        <w:rPr>
          <w:sz w:val="24"/>
          <w:szCs w:val="24"/>
        </w:rPr>
        <w:t>lappages</w:t>
      </w:r>
      <w:proofErr w:type="spellEnd"/>
      <w:r w:rsidR="00623567">
        <w:rPr>
          <w:sz w:val="24"/>
          <w:szCs w:val="24"/>
        </w:rPr>
        <w:t>, or other irregularities along each line surveyed” is the definition of “adequate” and makes that word unnecessary. It is unclear what that word adds to the requirement</w:t>
      </w:r>
      <w:r w:rsidR="00152C4B">
        <w:rPr>
          <w:sz w:val="24"/>
          <w:szCs w:val="24"/>
        </w:rPr>
        <w:t>s and appears to make the rule ambiguous.</w:t>
      </w:r>
    </w:p>
    <w:p w:rsidR="00F9575A" w:rsidRDefault="00F9575A" w:rsidP="00F9575A">
      <w:pPr>
        <w:ind w:firstLine="720"/>
        <w:rPr>
          <w:sz w:val="24"/>
          <w:szCs w:val="24"/>
        </w:rPr>
      </w:pPr>
    </w:p>
    <w:p w:rsidR="00FB6C10" w:rsidRPr="00FB6C10" w:rsidRDefault="00F9575A" w:rsidP="00F9575A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same issue applies in line 6 in regards to what constitutes a “nearby” closed or verified traverse.</w:t>
      </w:r>
      <w:r w:rsidR="00623567">
        <w:rPr>
          <w:sz w:val="24"/>
          <w:szCs w:val="24"/>
        </w:rPr>
        <w:t xml:space="preserve"> By requiring that the points be from a “nearby” closed or verified traverse, there is an implication that some point may be too far away to be used. If that is the case then there needs to be a definition of “nearby” or a listing of the standards that are to be used to make that determination.</w:t>
      </w:r>
    </w:p>
    <w:p w:rsidR="007C590C" w:rsidRPr="00FB6C10" w:rsidRDefault="007C590C" w:rsidP="007C590C">
      <w:pPr>
        <w:pStyle w:val="Paragraph"/>
        <w:ind w:firstLine="720"/>
        <w:rPr>
          <w:sz w:val="24"/>
          <w:szCs w:val="24"/>
        </w:rPr>
      </w:pPr>
    </w:p>
    <w:p w:rsidR="00623567" w:rsidRDefault="007C590C" w:rsidP="007C590C">
      <w:pPr>
        <w:pStyle w:val="Paragraph"/>
        <w:ind w:firstLine="720"/>
        <w:rPr>
          <w:sz w:val="24"/>
          <w:szCs w:val="24"/>
        </w:rPr>
      </w:pPr>
      <w:r w:rsidRPr="00FB6C10">
        <w:rPr>
          <w:sz w:val="24"/>
          <w:szCs w:val="24"/>
        </w:rPr>
        <w:t>If you have any questions re</w:t>
      </w:r>
      <w:r w:rsidR="00F9575A">
        <w:rPr>
          <w:sz w:val="24"/>
          <w:szCs w:val="24"/>
        </w:rPr>
        <w:t xml:space="preserve">garding the Commission’s action or if I may be of </w:t>
      </w:r>
    </w:p>
    <w:p w:rsidR="00623567" w:rsidRDefault="00623567">
      <w:pPr>
        <w:jc w:val="left"/>
        <w:rPr>
          <w:snapToGrid w:val="0"/>
          <w:kern w:val="0"/>
          <w:sz w:val="24"/>
          <w:szCs w:val="24"/>
        </w:rPr>
      </w:pPr>
      <w:r>
        <w:rPr>
          <w:sz w:val="24"/>
          <w:szCs w:val="24"/>
        </w:rPr>
        <w:br w:type="page"/>
      </w:r>
    </w:p>
    <w:p w:rsidR="007C590C" w:rsidRPr="00FB6C10" w:rsidRDefault="00F9575A" w:rsidP="007C590C">
      <w:pPr>
        <w:pStyle w:val="Paragraph"/>
        <w:ind w:firstLine="720"/>
        <w:rPr>
          <w:rFonts w:cs="Arial"/>
          <w:sz w:val="24"/>
          <w:szCs w:val="24"/>
        </w:rPr>
      </w:pPr>
      <w:r>
        <w:rPr>
          <w:sz w:val="24"/>
          <w:szCs w:val="24"/>
        </w:rPr>
        <w:lastRenderedPageBreak/>
        <w:t>any assistance</w:t>
      </w:r>
      <w:r w:rsidR="007C590C" w:rsidRPr="00FB6C10">
        <w:rPr>
          <w:sz w:val="24"/>
          <w:szCs w:val="24"/>
        </w:rPr>
        <w:t xml:space="preserve"> please let me know.  </w:t>
      </w:r>
    </w:p>
    <w:p w:rsidR="007C590C" w:rsidRPr="00FB6C10" w:rsidRDefault="007C590C" w:rsidP="007C590C">
      <w:pPr>
        <w:pStyle w:val="Paragraph"/>
        <w:rPr>
          <w:rFonts w:cs="Arial"/>
          <w:sz w:val="24"/>
          <w:szCs w:val="24"/>
        </w:rPr>
      </w:pPr>
    </w:p>
    <w:p w:rsidR="007C590C" w:rsidRPr="00FB6C10" w:rsidRDefault="007C590C" w:rsidP="007C590C">
      <w:pPr>
        <w:pStyle w:val="Paragraph"/>
        <w:ind w:firstLine="720"/>
        <w:rPr>
          <w:sz w:val="24"/>
          <w:szCs w:val="24"/>
        </w:rPr>
      </w:pPr>
    </w:p>
    <w:p w:rsidR="007C590C" w:rsidRPr="00FB6C10" w:rsidRDefault="007C590C" w:rsidP="007C590C">
      <w:pPr>
        <w:pStyle w:val="Paragraph"/>
        <w:ind w:left="3600" w:firstLine="720"/>
        <w:jc w:val="left"/>
        <w:rPr>
          <w:sz w:val="24"/>
          <w:szCs w:val="24"/>
        </w:rPr>
      </w:pPr>
      <w:r w:rsidRPr="00FB6C10">
        <w:rPr>
          <w:sz w:val="24"/>
          <w:szCs w:val="24"/>
        </w:rPr>
        <w:t>Sincerely,</w:t>
      </w:r>
    </w:p>
    <w:p w:rsidR="007C590C" w:rsidRPr="00FB6C10" w:rsidRDefault="007C590C" w:rsidP="007C590C">
      <w:pPr>
        <w:pStyle w:val="Paragraph"/>
        <w:jc w:val="left"/>
        <w:rPr>
          <w:sz w:val="24"/>
          <w:szCs w:val="24"/>
        </w:rPr>
      </w:pPr>
    </w:p>
    <w:p w:rsidR="007C590C" w:rsidRPr="00FB6C10" w:rsidRDefault="007C590C" w:rsidP="007C590C">
      <w:pPr>
        <w:pStyle w:val="Paragraph"/>
        <w:jc w:val="left"/>
        <w:rPr>
          <w:sz w:val="24"/>
          <w:szCs w:val="24"/>
        </w:rPr>
      </w:pPr>
    </w:p>
    <w:p w:rsidR="007C590C" w:rsidRPr="00FB6C10" w:rsidRDefault="007C590C" w:rsidP="007C590C">
      <w:pPr>
        <w:pStyle w:val="Paragraph"/>
        <w:jc w:val="left"/>
        <w:rPr>
          <w:sz w:val="24"/>
          <w:szCs w:val="24"/>
        </w:rPr>
      </w:pPr>
    </w:p>
    <w:p w:rsidR="007C590C" w:rsidRPr="00FB6C10" w:rsidRDefault="007C590C" w:rsidP="007C590C">
      <w:pPr>
        <w:pStyle w:val="Paragraph"/>
        <w:ind w:left="4320"/>
        <w:rPr>
          <w:sz w:val="24"/>
          <w:szCs w:val="24"/>
        </w:rPr>
      </w:pPr>
      <w:r w:rsidRPr="00FB6C10">
        <w:rPr>
          <w:sz w:val="24"/>
          <w:szCs w:val="24"/>
        </w:rPr>
        <w:t>Joseph J. DeLuca, Jr.</w:t>
      </w:r>
    </w:p>
    <w:p w:rsidR="007C590C" w:rsidRPr="00FB6C10" w:rsidRDefault="007C590C" w:rsidP="007C590C">
      <w:pPr>
        <w:pStyle w:val="Paragraph"/>
        <w:ind w:left="3600" w:firstLine="720"/>
        <w:jc w:val="left"/>
        <w:rPr>
          <w:sz w:val="24"/>
          <w:szCs w:val="24"/>
        </w:rPr>
      </w:pPr>
      <w:r w:rsidRPr="00FB6C10">
        <w:rPr>
          <w:sz w:val="24"/>
          <w:szCs w:val="24"/>
        </w:rPr>
        <w:t>Commission Counsel</w:t>
      </w:r>
    </w:p>
    <w:p w:rsidR="007C590C" w:rsidRPr="00FB6C10" w:rsidRDefault="007C590C" w:rsidP="007C590C">
      <w:pPr>
        <w:pStyle w:val="Paragraph"/>
        <w:ind w:left="3600" w:firstLine="720"/>
        <w:jc w:val="left"/>
        <w:rPr>
          <w:sz w:val="24"/>
          <w:szCs w:val="24"/>
        </w:rPr>
      </w:pPr>
    </w:p>
    <w:p w:rsidR="007C590C" w:rsidRPr="00FB6C10" w:rsidRDefault="007C590C" w:rsidP="007C590C">
      <w:pPr>
        <w:pStyle w:val="Paragraph"/>
        <w:rPr>
          <w:sz w:val="24"/>
          <w:szCs w:val="24"/>
        </w:rPr>
      </w:pPr>
      <w:r w:rsidRPr="00FB6C10">
        <w:rPr>
          <w:sz w:val="24"/>
          <w:szCs w:val="24"/>
        </w:rPr>
        <w:t>JJD:jbe</w:t>
      </w:r>
    </w:p>
    <w:p w:rsidR="007C590C" w:rsidRPr="00FB6C10" w:rsidRDefault="007C590C" w:rsidP="007C590C">
      <w:pPr>
        <w:pStyle w:val="Base"/>
        <w:rPr>
          <w:sz w:val="24"/>
          <w:szCs w:val="24"/>
        </w:rPr>
      </w:pPr>
    </w:p>
    <w:p w:rsidR="00CB7EFD" w:rsidRPr="00FB6C10" w:rsidRDefault="00CB7EFD">
      <w:pPr>
        <w:rPr>
          <w:sz w:val="24"/>
          <w:szCs w:val="24"/>
        </w:rPr>
      </w:pPr>
    </w:p>
    <w:p w:rsidR="00A8074E" w:rsidRPr="00FB6C10" w:rsidRDefault="00A8074E">
      <w:pPr>
        <w:rPr>
          <w:sz w:val="24"/>
          <w:szCs w:val="24"/>
        </w:rPr>
      </w:pPr>
    </w:p>
    <w:p w:rsidR="00A8074E" w:rsidRPr="00FB6C10" w:rsidRDefault="00A8074E">
      <w:pPr>
        <w:rPr>
          <w:sz w:val="24"/>
          <w:szCs w:val="24"/>
        </w:rPr>
      </w:pPr>
    </w:p>
    <w:p w:rsidR="00A8074E" w:rsidRPr="00FB6C10" w:rsidRDefault="00A8074E">
      <w:pPr>
        <w:rPr>
          <w:sz w:val="24"/>
          <w:szCs w:val="24"/>
        </w:rPr>
      </w:pPr>
    </w:p>
    <w:sectPr w:rsidR="00A8074E" w:rsidRPr="00FB6C10" w:rsidSect="006973D2"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C86" w:rsidRDefault="007C1C86">
      <w:r>
        <w:separator/>
      </w:r>
    </w:p>
  </w:endnote>
  <w:endnote w:type="continuationSeparator" w:id="0">
    <w:p w:rsidR="007C1C86" w:rsidRDefault="007C1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76"/>
      <w:gridCol w:w="1476"/>
      <w:gridCol w:w="1476"/>
      <w:gridCol w:w="1476"/>
      <w:gridCol w:w="1476"/>
      <w:gridCol w:w="1476"/>
    </w:tblGrid>
    <w:tr w:rsidR="00A8074E" w:rsidTr="00305BFB">
      <w:tc>
        <w:tcPr>
          <w:tcW w:w="1476" w:type="dxa"/>
        </w:tcPr>
        <w:p w:rsidR="00A8074E" w:rsidRPr="00305BFB" w:rsidRDefault="00A8074E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 xml:space="preserve">Administration </w:t>
          </w:r>
        </w:p>
        <w:p w:rsidR="00A8074E" w:rsidRPr="00305BFB" w:rsidRDefault="00693E2D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919/431-3000</w:t>
          </w:r>
          <w:r w:rsidR="00A8074E" w:rsidRPr="00305BFB">
            <w:rPr>
              <w:sz w:val="16"/>
            </w:rPr>
            <w:t xml:space="preserve"> </w:t>
          </w:r>
        </w:p>
        <w:p w:rsidR="00A8074E" w:rsidRDefault="00693E2D" w:rsidP="00154882">
          <w:pPr>
            <w:pStyle w:val="Footer"/>
          </w:pPr>
          <w:r w:rsidRPr="00305BFB">
            <w:rPr>
              <w:sz w:val="16"/>
            </w:rPr>
            <w:t>fax:919/431-3100</w:t>
          </w:r>
        </w:p>
      </w:tc>
      <w:tc>
        <w:tcPr>
          <w:tcW w:w="1476" w:type="dxa"/>
        </w:tcPr>
        <w:p w:rsidR="00A8074E" w:rsidRPr="00305BFB" w:rsidRDefault="00A8074E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Rules Division</w:t>
          </w:r>
        </w:p>
        <w:p w:rsidR="00A8074E" w:rsidRPr="00305BFB" w:rsidRDefault="00693E2D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919/431-3000</w:t>
          </w:r>
        </w:p>
        <w:p w:rsidR="00A8074E" w:rsidRDefault="00693E2D" w:rsidP="00154882">
          <w:pPr>
            <w:pStyle w:val="Footer"/>
          </w:pPr>
          <w:r w:rsidRPr="00305BFB">
            <w:rPr>
              <w:sz w:val="16"/>
            </w:rPr>
            <w:t>fax: 919/431-3104</w:t>
          </w:r>
        </w:p>
      </w:tc>
      <w:tc>
        <w:tcPr>
          <w:tcW w:w="1476" w:type="dxa"/>
        </w:tcPr>
        <w:p w:rsidR="00A8074E" w:rsidRPr="00305BFB" w:rsidRDefault="00A8074E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Judges and Assistants</w:t>
          </w:r>
        </w:p>
        <w:p w:rsidR="00A8074E" w:rsidRPr="00305BFB" w:rsidRDefault="00693E2D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919/431-3000</w:t>
          </w:r>
        </w:p>
        <w:p w:rsidR="00A8074E" w:rsidRDefault="00693E2D" w:rsidP="00154882">
          <w:pPr>
            <w:pStyle w:val="Footer"/>
          </w:pPr>
          <w:r w:rsidRPr="00305BFB">
            <w:rPr>
              <w:sz w:val="16"/>
            </w:rPr>
            <w:t>fax: 919/431-3100</w:t>
          </w:r>
        </w:p>
      </w:tc>
      <w:tc>
        <w:tcPr>
          <w:tcW w:w="1476" w:type="dxa"/>
        </w:tcPr>
        <w:p w:rsidR="00A8074E" w:rsidRPr="00305BFB" w:rsidRDefault="00A8074E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Clerk’s Office</w:t>
          </w:r>
        </w:p>
        <w:p w:rsidR="00A8074E" w:rsidRPr="00305BFB" w:rsidRDefault="00693E2D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919/431-3000</w:t>
          </w:r>
        </w:p>
        <w:p w:rsidR="00A8074E" w:rsidRDefault="00693E2D" w:rsidP="00154882">
          <w:pPr>
            <w:pStyle w:val="Footer"/>
          </w:pPr>
          <w:r w:rsidRPr="00305BFB">
            <w:rPr>
              <w:sz w:val="16"/>
            </w:rPr>
            <w:t>fax: 919/431-3100</w:t>
          </w:r>
        </w:p>
      </w:tc>
      <w:tc>
        <w:tcPr>
          <w:tcW w:w="1476" w:type="dxa"/>
        </w:tcPr>
        <w:p w:rsidR="00A8074E" w:rsidRPr="00305BFB" w:rsidRDefault="00A8074E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Rules Review Commission</w:t>
          </w:r>
        </w:p>
        <w:p w:rsidR="00A8074E" w:rsidRPr="00305BFB" w:rsidRDefault="00693E2D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919/431-3000</w:t>
          </w:r>
        </w:p>
        <w:p w:rsidR="00A8074E" w:rsidRDefault="00693E2D" w:rsidP="00154882">
          <w:pPr>
            <w:pStyle w:val="Footer"/>
          </w:pPr>
          <w:r w:rsidRPr="00305BFB">
            <w:rPr>
              <w:sz w:val="16"/>
            </w:rPr>
            <w:t>fax: 919/431-3104</w:t>
          </w:r>
        </w:p>
      </w:tc>
      <w:tc>
        <w:tcPr>
          <w:tcW w:w="1476" w:type="dxa"/>
        </w:tcPr>
        <w:p w:rsidR="00A8074E" w:rsidRPr="00305BFB" w:rsidRDefault="00A8074E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Civil Rights Division</w:t>
          </w:r>
        </w:p>
        <w:p w:rsidR="00A8074E" w:rsidRPr="00305BFB" w:rsidRDefault="00693E2D" w:rsidP="00305BFB">
          <w:pPr>
            <w:jc w:val="center"/>
            <w:rPr>
              <w:sz w:val="16"/>
            </w:rPr>
          </w:pPr>
          <w:r w:rsidRPr="00305BFB">
            <w:rPr>
              <w:sz w:val="16"/>
            </w:rPr>
            <w:t>919/431-3036</w:t>
          </w:r>
        </w:p>
        <w:p w:rsidR="00A8074E" w:rsidRDefault="00693E2D" w:rsidP="00154882">
          <w:pPr>
            <w:pStyle w:val="Footer"/>
          </w:pPr>
          <w:r w:rsidRPr="00305BFB">
            <w:rPr>
              <w:sz w:val="16"/>
            </w:rPr>
            <w:t>fax: 919/431-3103</w:t>
          </w:r>
        </w:p>
      </w:tc>
    </w:tr>
  </w:tbl>
  <w:p w:rsidR="00A8074E" w:rsidRDefault="00A8074E" w:rsidP="00A8074E">
    <w:pPr>
      <w:pStyle w:val="Footer"/>
      <w:tabs>
        <w:tab w:val="center" w:pos="5040"/>
        <w:tab w:val="right" w:pos="10080"/>
      </w:tabs>
      <w:jc w:val="center"/>
    </w:pPr>
  </w:p>
  <w:p w:rsidR="00A8074E" w:rsidRDefault="00A8074E" w:rsidP="00A8074E">
    <w:pPr>
      <w:pStyle w:val="Footer"/>
      <w:tabs>
        <w:tab w:val="center" w:pos="5040"/>
        <w:tab w:val="right" w:pos="10080"/>
      </w:tabs>
      <w:jc w:val="center"/>
    </w:pPr>
    <w:r>
      <w:t xml:space="preserve">An Equal Employment </w:t>
    </w:r>
    <w:smartTag w:uri="urn:schemas-microsoft-com:office:smarttags" w:element="place">
      <w:r>
        <w:t>Opportunity</w:t>
      </w:r>
    </w:smartTag>
    <w:r>
      <w:t xml:space="preserve">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C86" w:rsidRDefault="007C1C86">
      <w:r>
        <w:separator/>
      </w:r>
    </w:p>
  </w:footnote>
  <w:footnote w:type="continuationSeparator" w:id="0">
    <w:p w:rsidR="007C1C86" w:rsidRDefault="007C1C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74E" w:rsidRDefault="00005E2D" w:rsidP="00A8074E">
    <w:pPr>
      <w:widowControl w:val="0"/>
      <w:jc w:val="center"/>
      <w:rPr>
        <w:b/>
        <w:sz w:val="16"/>
      </w:rPr>
    </w:pPr>
    <w:r>
      <w:rPr>
        <w:b/>
        <w:noProof/>
        <w:sz w:val="16"/>
      </w:rPr>
      <w:drawing>
        <wp:inline distT="0" distB="0" distL="0" distR="0">
          <wp:extent cx="1085850" cy="1019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0" t="-1016" r="-140" b="266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074E" w:rsidRDefault="00A8074E" w:rsidP="00A8074E">
    <w:pPr>
      <w:jc w:val="center"/>
      <w:rPr>
        <w:b/>
      </w:rPr>
    </w:pPr>
    <w:r>
      <w:rPr>
        <w:b/>
      </w:rPr>
      <w:t xml:space="preserve">STATE OF </w:t>
    </w:r>
    <w:smartTag w:uri="urn:schemas-microsoft-com:office:smarttags" w:element="place">
      <w:smartTag w:uri="urn:schemas-microsoft-com:office:smarttags" w:element="State">
        <w:r>
          <w:rPr>
            <w:b/>
          </w:rPr>
          <w:t>NORTH CAROLINA</w:t>
        </w:r>
      </w:smartTag>
    </w:smartTag>
  </w:p>
  <w:p w:rsidR="00A8074E" w:rsidRDefault="00A8074E" w:rsidP="00A8074E">
    <w:pPr>
      <w:jc w:val="center"/>
      <w:rPr>
        <w:b/>
        <w:sz w:val="28"/>
      </w:rPr>
    </w:pPr>
    <w:r>
      <w:rPr>
        <w:b/>
        <w:sz w:val="28"/>
      </w:rPr>
      <w:t>OFFICE OF ADMINISTRATIVE HEARINGS</w:t>
    </w:r>
  </w:p>
  <w:p w:rsidR="00A8074E" w:rsidRPr="00CB7EFD" w:rsidRDefault="00A8074E" w:rsidP="00A8074E">
    <w:pPr>
      <w:ind w:left="630"/>
      <w:jc w:val="center"/>
      <w:rPr>
        <w:sz w:val="12"/>
        <w:szCs w:val="12"/>
      </w:rPr>
    </w:pPr>
  </w:p>
  <w:tbl>
    <w:tblPr>
      <w:tblW w:w="0" w:type="auto"/>
      <w:tblLook w:val="01E0"/>
    </w:tblPr>
    <w:tblGrid>
      <w:gridCol w:w="4428"/>
      <w:gridCol w:w="4428"/>
    </w:tblGrid>
    <w:tr w:rsidR="00A8074E" w:rsidTr="00305BFB">
      <w:tc>
        <w:tcPr>
          <w:tcW w:w="4428" w:type="dxa"/>
        </w:tcPr>
        <w:p w:rsidR="00A8074E" w:rsidRPr="00305BFB" w:rsidRDefault="00A8074E" w:rsidP="00305BFB">
          <w:pPr>
            <w:ind w:left="720"/>
            <w:rPr>
              <w:sz w:val="18"/>
            </w:rPr>
          </w:pPr>
          <w:r w:rsidRPr="00305BFB">
            <w:rPr>
              <w:sz w:val="18"/>
            </w:rPr>
            <w:t>Mailing address:</w:t>
          </w:r>
        </w:p>
        <w:p w:rsidR="00A8074E" w:rsidRPr="00305BFB" w:rsidRDefault="00A8074E" w:rsidP="00305BFB">
          <w:pPr>
            <w:ind w:left="720"/>
            <w:rPr>
              <w:sz w:val="18"/>
            </w:rPr>
          </w:pPr>
          <w:r w:rsidRPr="00305BFB">
            <w:rPr>
              <w:sz w:val="18"/>
            </w:rPr>
            <w:t xml:space="preserve">6714 </w:t>
          </w:r>
          <w:smartTag w:uri="urn:schemas-microsoft-com:office:smarttags" w:element="place">
            <w:smartTag w:uri="urn:schemas-microsoft-com:office:smarttags" w:element="PlaceName">
              <w:r w:rsidRPr="00305BFB">
                <w:rPr>
                  <w:sz w:val="18"/>
                </w:rPr>
                <w:t>Mail</w:t>
              </w:r>
            </w:smartTag>
            <w:r w:rsidRPr="00305BFB">
              <w:rPr>
                <w:sz w:val="18"/>
              </w:rPr>
              <w:t xml:space="preserve"> </w:t>
            </w:r>
            <w:smartTag w:uri="urn:schemas-microsoft-com:office:smarttags" w:element="PlaceName">
              <w:r w:rsidRPr="00305BFB">
                <w:rPr>
                  <w:sz w:val="18"/>
                </w:rPr>
                <w:t>Service</w:t>
              </w:r>
            </w:smartTag>
            <w:r w:rsidRPr="00305BFB">
              <w:rPr>
                <w:sz w:val="18"/>
              </w:rPr>
              <w:t xml:space="preserve"> </w:t>
            </w:r>
            <w:smartTag w:uri="urn:schemas-microsoft-com:office:smarttags" w:element="PlaceType">
              <w:r w:rsidRPr="00305BFB">
                <w:rPr>
                  <w:sz w:val="18"/>
                </w:rPr>
                <w:t>Center</w:t>
              </w:r>
            </w:smartTag>
          </w:smartTag>
        </w:p>
        <w:p w:rsidR="00A8074E" w:rsidRDefault="00A8074E" w:rsidP="00305BFB">
          <w:pPr>
            <w:pStyle w:val="Header"/>
            <w:ind w:left="720"/>
          </w:pPr>
          <w:smartTag w:uri="urn:schemas-microsoft-com:office:smarttags" w:element="place">
            <w:smartTag w:uri="urn:schemas-microsoft-com:office:smarttags" w:element="City">
              <w:r w:rsidRPr="00305BFB">
                <w:rPr>
                  <w:sz w:val="18"/>
                </w:rPr>
                <w:t>Raleigh</w:t>
              </w:r>
            </w:smartTag>
            <w:r w:rsidRPr="00305BFB">
              <w:rPr>
                <w:sz w:val="18"/>
              </w:rPr>
              <w:t xml:space="preserve">, </w:t>
            </w:r>
            <w:smartTag w:uri="urn:schemas-microsoft-com:office:smarttags" w:element="State">
              <w:r w:rsidRPr="00305BFB">
                <w:rPr>
                  <w:sz w:val="18"/>
                </w:rPr>
                <w:t>NC</w:t>
              </w:r>
            </w:smartTag>
            <w:r w:rsidRPr="00305BFB">
              <w:rPr>
                <w:sz w:val="18"/>
              </w:rPr>
              <w:t xml:space="preserve"> </w:t>
            </w:r>
            <w:smartTag w:uri="urn:schemas-microsoft-com:office:smarttags" w:element="PostalCode">
              <w:r w:rsidRPr="00305BFB">
                <w:rPr>
                  <w:sz w:val="18"/>
                </w:rPr>
                <w:t>27699-6714</w:t>
              </w:r>
            </w:smartTag>
          </w:smartTag>
        </w:p>
      </w:tc>
      <w:tc>
        <w:tcPr>
          <w:tcW w:w="4428" w:type="dxa"/>
        </w:tcPr>
        <w:p w:rsidR="00A8074E" w:rsidRPr="00305BFB" w:rsidRDefault="00A8074E" w:rsidP="00305BFB">
          <w:pPr>
            <w:tabs>
              <w:tab w:val="left" w:pos="3492"/>
            </w:tabs>
            <w:ind w:left="2160"/>
            <w:rPr>
              <w:sz w:val="18"/>
            </w:rPr>
          </w:pPr>
          <w:r w:rsidRPr="00305BFB">
            <w:rPr>
              <w:sz w:val="18"/>
            </w:rPr>
            <w:t>Street address:</w:t>
          </w:r>
        </w:p>
        <w:p w:rsidR="00A8074E" w:rsidRPr="00305BFB" w:rsidRDefault="00693E2D" w:rsidP="00305BFB">
          <w:pPr>
            <w:tabs>
              <w:tab w:val="left" w:pos="3492"/>
            </w:tabs>
            <w:ind w:left="2160"/>
            <w:rPr>
              <w:sz w:val="18"/>
            </w:rPr>
          </w:pPr>
          <w:smartTag w:uri="urn:schemas-microsoft-com:office:smarttags" w:element="Street">
            <w:smartTag w:uri="urn:schemas-microsoft-com:office:smarttags" w:element="address">
              <w:r w:rsidRPr="00305BFB">
                <w:rPr>
                  <w:sz w:val="18"/>
                </w:rPr>
                <w:t>1711 New Hope Church Rd</w:t>
              </w:r>
            </w:smartTag>
          </w:smartTag>
        </w:p>
        <w:p w:rsidR="00A8074E" w:rsidRDefault="00693E2D" w:rsidP="00305BFB">
          <w:pPr>
            <w:pStyle w:val="Header"/>
            <w:ind w:left="2160"/>
          </w:pPr>
          <w:smartTag w:uri="urn:schemas-microsoft-com:office:smarttags" w:element="place">
            <w:smartTag w:uri="urn:schemas-microsoft-com:office:smarttags" w:element="City">
              <w:r w:rsidRPr="00305BFB">
                <w:rPr>
                  <w:sz w:val="18"/>
                </w:rPr>
                <w:t>Raleigh</w:t>
              </w:r>
            </w:smartTag>
            <w:r w:rsidRPr="00305BFB">
              <w:rPr>
                <w:sz w:val="18"/>
              </w:rPr>
              <w:t xml:space="preserve">, </w:t>
            </w:r>
            <w:smartTag w:uri="urn:schemas-microsoft-com:office:smarttags" w:element="State">
              <w:r w:rsidRPr="00305BFB">
                <w:rPr>
                  <w:sz w:val="18"/>
                </w:rPr>
                <w:t>NC</w:t>
              </w:r>
            </w:smartTag>
            <w:r w:rsidRPr="00305BFB">
              <w:rPr>
                <w:sz w:val="18"/>
              </w:rPr>
              <w:t xml:space="preserve"> </w:t>
            </w:r>
            <w:smartTag w:uri="urn:schemas-microsoft-com:office:smarttags" w:element="PostalCode">
              <w:r w:rsidRPr="00305BFB">
                <w:rPr>
                  <w:sz w:val="18"/>
                </w:rPr>
                <w:t>27609-6285</w:t>
              </w:r>
            </w:smartTag>
          </w:smartTag>
        </w:p>
      </w:tc>
    </w:tr>
  </w:tbl>
  <w:p w:rsidR="00A8074E" w:rsidRDefault="00A8074E" w:rsidP="00A807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B7EFD"/>
    <w:rsid w:val="00005E2D"/>
    <w:rsid w:val="00152C4B"/>
    <w:rsid w:val="00154882"/>
    <w:rsid w:val="001936DB"/>
    <w:rsid w:val="001A7F24"/>
    <w:rsid w:val="001C4A3A"/>
    <w:rsid w:val="00305BFB"/>
    <w:rsid w:val="003312C3"/>
    <w:rsid w:val="005B7504"/>
    <w:rsid w:val="00623567"/>
    <w:rsid w:val="00693E2D"/>
    <w:rsid w:val="006973D2"/>
    <w:rsid w:val="007C1C86"/>
    <w:rsid w:val="007C590C"/>
    <w:rsid w:val="009449C3"/>
    <w:rsid w:val="00984771"/>
    <w:rsid w:val="009B1EC6"/>
    <w:rsid w:val="009C1803"/>
    <w:rsid w:val="00A8074E"/>
    <w:rsid w:val="00B66229"/>
    <w:rsid w:val="00CB7EFD"/>
    <w:rsid w:val="00D57403"/>
    <w:rsid w:val="00EA65AB"/>
    <w:rsid w:val="00EB7640"/>
    <w:rsid w:val="00F9575A"/>
    <w:rsid w:val="00FB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6973D2"/>
    <w:pPr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7E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7E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7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84771"/>
  </w:style>
  <w:style w:type="paragraph" w:customStyle="1" w:styleId="Paragraph">
    <w:name w:val="Paragraph"/>
    <w:basedOn w:val="Base"/>
    <w:rsid w:val="006973D2"/>
    <w:pPr>
      <w:suppressAutoHyphens/>
      <w:outlineLvl w:val="4"/>
    </w:pPr>
    <w:rPr>
      <w:snapToGrid w:val="0"/>
    </w:rPr>
  </w:style>
  <w:style w:type="paragraph" w:customStyle="1" w:styleId="Base">
    <w:name w:val="Base"/>
    <w:rsid w:val="006973D2"/>
    <w:pPr>
      <w:jc w:val="both"/>
    </w:pPr>
  </w:style>
  <w:style w:type="paragraph" w:styleId="Title">
    <w:name w:val="Title"/>
    <w:basedOn w:val="Normal"/>
    <w:link w:val="TitleChar"/>
    <w:qFormat/>
    <w:rsid w:val="00FB6C10"/>
    <w:pPr>
      <w:jc w:val="center"/>
    </w:pPr>
    <w:rPr>
      <w:rFonts w:ascii="Arial" w:hAnsi="Arial"/>
      <w:b/>
      <w:smallCaps/>
      <w:kern w:val="0"/>
      <w:sz w:val="24"/>
    </w:rPr>
  </w:style>
  <w:style w:type="character" w:customStyle="1" w:styleId="TitleChar">
    <w:name w:val="Title Char"/>
    <w:basedOn w:val="DefaultParagraphFont"/>
    <w:link w:val="Title"/>
    <w:rsid w:val="00FB6C10"/>
    <w:rPr>
      <w:rFonts w:ascii="Arial" w:hAnsi="Arial"/>
      <w:b/>
      <w:smallCaps/>
      <w:sz w:val="24"/>
    </w:rPr>
  </w:style>
  <w:style w:type="paragraph" w:styleId="BalloonText">
    <w:name w:val="Balloon Text"/>
    <w:basedOn w:val="Normal"/>
    <w:link w:val="BalloonTextChar"/>
    <w:rsid w:val="00193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6DB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NC Office of Administrative Hearings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NC Office of Administrative Hearings</dc:creator>
  <cp:keywords/>
  <dc:description/>
  <cp:lastModifiedBy>NC Register</cp:lastModifiedBy>
  <cp:revision>3</cp:revision>
  <dcterms:created xsi:type="dcterms:W3CDTF">2011-07-22T15:41:00Z</dcterms:created>
  <dcterms:modified xsi:type="dcterms:W3CDTF">2011-07-25T14:41:00Z</dcterms:modified>
</cp:coreProperties>
</file>