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56FFF"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4877DE18"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F834BC">
        <w:rPr>
          <w:b/>
          <w:bCs/>
          <w:sz w:val="30"/>
          <w:szCs w:val="30"/>
        </w:rPr>
        <w:t>34</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F834BC">
        <w:rPr>
          <w:b/>
          <w:bCs/>
          <w:sz w:val="30"/>
          <w:szCs w:val="30"/>
        </w:rPr>
        <w:t>15</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F834BC">
        <w:rPr>
          <w:b/>
          <w:bCs/>
          <w:sz w:val="30"/>
          <w:szCs w:val="30"/>
        </w:rPr>
        <w:t>1334</w:t>
      </w:r>
      <w:r>
        <w:rPr>
          <w:b/>
          <w:bCs/>
          <w:sz w:val="30"/>
          <w:szCs w:val="30"/>
        </w:rPr>
        <w:fldChar w:fldCharType="end"/>
      </w:r>
      <w:r>
        <w:rPr>
          <w:b/>
          <w:bCs/>
          <w:sz w:val="30"/>
          <w:szCs w:val="30"/>
        </w:rPr>
        <w:t xml:space="preserve"> – </w:t>
      </w:r>
      <w:r w:rsidR="00FB47D9">
        <w:rPr>
          <w:b/>
          <w:bCs/>
          <w:sz w:val="30"/>
          <w:szCs w:val="30"/>
        </w:rPr>
        <w:t>1420</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686C57A6"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F834BC">
        <w:rPr>
          <w:b/>
          <w:sz w:val="24"/>
        </w:rPr>
        <w:t>February 3, 2020</w:t>
      </w:r>
      <w:r>
        <w:rPr>
          <w:b/>
          <w:sz w:val="24"/>
        </w:rPr>
        <w:fldChar w:fldCharType="end"/>
      </w:r>
    </w:p>
    <w:p w14:paraId="06290F74" w14:textId="77777777" w:rsidR="00D52FD0" w:rsidRDefault="00D52FD0" w:rsidP="00D52FD0">
      <w:pPr>
        <w:jc w:val="center"/>
        <w:rPr>
          <w:b/>
        </w:rPr>
      </w:pPr>
    </w:p>
    <w:p w14:paraId="5725B431" w14:textId="77777777" w:rsidR="00A17BD3" w:rsidRDefault="00A17BD3" w:rsidP="00A17BD3">
      <w:pPr>
        <w:pStyle w:val="oahRegisterTOC1"/>
      </w:pPr>
    </w:p>
    <w:p w14:paraId="3C5E797E" w14:textId="6C0A0319" w:rsidR="00A17BD3" w:rsidRDefault="00A17BD3" w:rsidP="00A17BD3">
      <w:pPr>
        <w:pStyle w:val="oahRegisterTOC1"/>
      </w:pPr>
      <w:r>
        <w:tab/>
        <w:t>I.</w:t>
      </w:r>
      <w:r>
        <w:tab/>
        <w:t>PROPOSED RULES</w:t>
      </w:r>
    </w:p>
    <w:p w14:paraId="3C603227" w14:textId="77777777" w:rsidR="00A17BD3" w:rsidRDefault="00A17BD3" w:rsidP="00A17BD3">
      <w:pPr>
        <w:pStyle w:val="oahRegisterTOC2"/>
      </w:pPr>
      <w:r>
        <w:tab/>
      </w:r>
      <w:r>
        <w:tab/>
        <w:t>Public Safety, Department of</w:t>
      </w:r>
    </w:p>
    <w:p w14:paraId="6E4E1195" w14:textId="77777777" w:rsidR="00A17BD3" w:rsidRDefault="00A17BD3" w:rsidP="00A17BD3">
      <w:pPr>
        <w:pStyle w:val="oahRegisterTOC3"/>
      </w:pPr>
      <w:r>
        <w:tab/>
      </w:r>
      <w:r>
        <w:tab/>
      </w:r>
      <w:r>
        <w:tab/>
        <w:t>Alarm Systems Licensing Board</w:t>
      </w:r>
      <w:r>
        <w:tab/>
        <w:t>1334 – 1335</w:t>
      </w:r>
    </w:p>
    <w:p w14:paraId="1F962A5A" w14:textId="77777777" w:rsidR="00A17BD3" w:rsidRDefault="00A17BD3" w:rsidP="00A17BD3">
      <w:pPr>
        <w:pStyle w:val="oahRegisterTOC2"/>
      </w:pPr>
      <w:r>
        <w:tab/>
      </w:r>
      <w:r>
        <w:tab/>
        <w:t>Environmental Quality, Department of</w:t>
      </w:r>
    </w:p>
    <w:p w14:paraId="5B48BDFC" w14:textId="77777777" w:rsidR="00A17BD3" w:rsidRDefault="00A17BD3" w:rsidP="00A17BD3">
      <w:pPr>
        <w:pStyle w:val="oahRegisterTOC3"/>
      </w:pPr>
      <w:r>
        <w:tab/>
      </w:r>
      <w:r>
        <w:tab/>
      </w:r>
      <w:r>
        <w:tab/>
        <w:t>Environmental Management Commission</w:t>
      </w:r>
      <w:r>
        <w:tab/>
        <w:t>1335 – 1340</w:t>
      </w:r>
    </w:p>
    <w:p w14:paraId="64CADA9B" w14:textId="25ACA927" w:rsidR="00A17BD3" w:rsidRDefault="00A17BD3" w:rsidP="00A17BD3">
      <w:pPr>
        <w:pStyle w:val="oahRegisterTOC2"/>
      </w:pPr>
      <w:r>
        <w:tab/>
      </w:r>
      <w:r>
        <w:tab/>
        <w:t>Occupational Licensing Boards and Commissions</w:t>
      </w:r>
    </w:p>
    <w:p w14:paraId="074F3833" w14:textId="000E7CF1" w:rsidR="00A17BD3" w:rsidRDefault="00A17BD3" w:rsidP="00A17BD3">
      <w:pPr>
        <w:pStyle w:val="oahRegisterTOC3"/>
      </w:pPr>
      <w:r>
        <w:tab/>
      </w:r>
      <w:r>
        <w:tab/>
      </w:r>
      <w:r>
        <w:tab/>
        <w:t>Real Estate Commission</w:t>
      </w:r>
      <w:r>
        <w:tab/>
        <w:t>1340 – 1359</w:t>
      </w:r>
    </w:p>
    <w:p w14:paraId="3E38CCCD" w14:textId="6D5E6DF6" w:rsidR="00A17BD3" w:rsidRPr="00A17BD3" w:rsidRDefault="00A17BD3" w:rsidP="00A17BD3">
      <w:pPr>
        <w:pStyle w:val="oahRegisterTOC1"/>
        <w:rPr>
          <w:b w:val="0"/>
        </w:rPr>
      </w:pPr>
      <w:r>
        <w:tab/>
        <w:t>II.</w:t>
      </w:r>
      <w:r>
        <w:tab/>
        <w:t>APPROVED RULES</w:t>
      </w:r>
      <w:r w:rsidRPr="00A17BD3">
        <w:rPr>
          <w:b w:val="0"/>
        </w:rPr>
        <w:tab/>
        <w:t>1360 – 1413</w:t>
      </w:r>
    </w:p>
    <w:p w14:paraId="6E6E2900" w14:textId="77777777" w:rsidR="00A17BD3" w:rsidRDefault="00A17BD3" w:rsidP="00A17BD3">
      <w:pPr>
        <w:pStyle w:val="oahRegisterTOC2"/>
      </w:pPr>
      <w:r>
        <w:tab/>
      </w:r>
      <w:r>
        <w:tab/>
        <w:t>Health and Human Services, Department of</w:t>
      </w:r>
    </w:p>
    <w:p w14:paraId="79E1CC78" w14:textId="77777777" w:rsidR="00A17BD3" w:rsidRDefault="00A17BD3" w:rsidP="00A17BD3">
      <w:pPr>
        <w:pStyle w:val="oahRegisterTOC3"/>
      </w:pPr>
      <w:r>
        <w:tab/>
      </w:r>
      <w:r>
        <w:tab/>
      </w:r>
      <w:r>
        <w:tab/>
        <w:t>Medical Care Commission</w:t>
      </w:r>
    </w:p>
    <w:p w14:paraId="26A2754E" w14:textId="77777777" w:rsidR="00A17BD3" w:rsidRDefault="00A17BD3" w:rsidP="00A17BD3">
      <w:pPr>
        <w:pStyle w:val="oahRegisterTOC3"/>
      </w:pPr>
      <w:r>
        <w:tab/>
      </w:r>
      <w:r>
        <w:tab/>
      </w:r>
      <w:r>
        <w:tab/>
        <w:t>Public Health, Commission for</w:t>
      </w:r>
    </w:p>
    <w:p w14:paraId="2809B34A" w14:textId="77777777" w:rsidR="00A17BD3" w:rsidRDefault="00A17BD3" w:rsidP="00A17BD3">
      <w:pPr>
        <w:pStyle w:val="oahRegisterTOC2"/>
      </w:pPr>
      <w:r>
        <w:tab/>
      </w:r>
      <w:r>
        <w:tab/>
        <w:t>Public Safety, Department of</w:t>
      </w:r>
    </w:p>
    <w:p w14:paraId="239044CA" w14:textId="77777777" w:rsidR="00A17BD3" w:rsidRDefault="00A17BD3" w:rsidP="00A17BD3">
      <w:pPr>
        <w:pStyle w:val="oahRegisterTOC3"/>
      </w:pPr>
      <w:r>
        <w:tab/>
      </w:r>
      <w:r>
        <w:tab/>
      </w:r>
      <w:r>
        <w:tab/>
        <w:t>Alcoholic Beverage Control Commission</w:t>
      </w:r>
    </w:p>
    <w:p w14:paraId="569FEA9E" w14:textId="77777777" w:rsidR="00A17BD3" w:rsidRDefault="00A17BD3" w:rsidP="00A17BD3">
      <w:pPr>
        <w:pStyle w:val="oahRegisterTOC2"/>
      </w:pPr>
      <w:r>
        <w:tab/>
      </w:r>
      <w:r>
        <w:tab/>
        <w:t>Environmental Quality, Department of</w:t>
      </w:r>
    </w:p>
    <w:p w14:paraId="0DCC8E4A" w14:textId="77777777" w:rsidR="00A17BD3" w:rsidRDefault="00A17BD3" w:rsidP="00A17BD3">
      <w:pPr>
        <w:pStyle w:val="oahRegisterTOC3"/>
      </w:pPr>
      <w:r>
        <w:tab/>
      </w:r>
      <w:r>
        <w:tab/>
      </w:r>
      <w:r>
        <w:tab/>
        <w:t>Environmental Management Commission</w:t>
      </w:r>
    </w:p>
    <w:p w14:paraId="0EEFDFE5" w14:textId="14C82DB6" w:rsidR="00A17BD3" w:rsidRPr="00FB47D9" w:rsidRDefault="00A17BD3" w:rsidP="00FB47D9">
      <w:pPr>
        <w:pStyle w:val="oahRegisterTOC3"/>
        <w:rPr>
          <w:b/>
          <w:bCs w:val="0"/>
        </w:rPr>
      </w:pPr>
      <w:r>
        <w:tab/>
      </w:r>
      <w:r>
        <w:tab/>
      </w:r>
      <w:r w:rsidRPr="00FB47D9">
        <w:rPr>
          <w:b/>
          <w:bCs w:val="0"/>
        </w:rPr>
        <w:t>Occupational Licensing Boards and Commissions</w:t>
      </w:r>
    </w:p>
    <w:p w14:paraId="2828242B" w14:textId="77777777" w:rsidR="00A17BD3" w:rsidRDefault="00A17BD3" w:rsidP="00A17BD3">
      <w:pPr>
        <w:pStyle w:val="oahRegisterTOC3"/>
      </w:pPr>
      <w:r>
        <w:tab/>
      </w:r>
      <w:r>
        <w:tab/>
      </w:r>
      <w:r>
        <w:tab/>
        <w:t>Certified Public Accountant Examiners, Board of</w:t>
      </w:r>
    </w:p>
    <w:p w14:paraId="4F3F1E62" w14:textId="77777777" w:rsidR="00A17BD3" w:rsidRDefault="00A17BD3" w:rsidP="00A17BD3">
      <w:pPr>
        <w:pStyle w:val="oahRegisterTOC3"/>
      </w:pPr>
      <w:r>
        <w:tab/>
      </w:r>
      <w:r>
        <w:tab/>
      </w:r>
      <w:r>
        <w:tab/>
        <w:t>Chiropractic Examiners, Board of</w:t>
      </w:r>
    </w:p>
    <w:p w14:paraId="3D62BCA6" w14:textId="77777777" w:rsidR="00A17BD3" w:rsidRDefault="00A17BD3" w:rsidP="00A17BD3">
      <w:pPr>
        <w:pStyle w:val="oahRegisterTOC3"/>
      </w:pPr>
      <w:r>
        <w:tab/>
      </w:r>
      <w:r>
        <w:tab/>
      </w:r>
      <w:r>
        <w:tab/>
        <w:t>Occupational Therapy, Board of</w:t>
      </w:r>
    </w:p>
    <w:p w14:paraId="0B4EE972" w14:textId="77777777" w:rsidR="00A17BD3" w:rsidRDefault="00A17BD3" w:rsidP="00A17BD3">
      <w:pPr>
        <w:pStyle w:val="oahRegisterTOC1"/>
      </w:pPr>
    </w:p>
    <w:p w14:paraId="694212D0" w14:textId="37106712" w:rsidR="00A17BD3" w:rsidRPr="00A17BD3" w:rsidRDefault="00A17BD3" w:rsidP="00A17BD3">
      <w:pPr>
        <w:pStyle w:val="oahRegisterTOC1"/>
        <w:rPr>
          <w:b w:val="0"/>
        </w:rPr>
      </w:pPr>
      <w:r>
        <w:tab/>
        <w:t>III.</w:t>
      </w:r>
      <w:r>
        <w:tab/>
        <w:t>RULES REVIEW COMMISSION</w:t>
      </w:r>
      <w:r w:rsidRPr="00A17BD3">
        <w:rPr>
          <w:b w:val="0"/>
        </w:rPr>
        <w:tab/>
        <w:t>1414 – 1418</w:t>
      </w:r>
    </w:p>
    <w:p w14:paraId="6B65AFA6" w14:textId="77777777" w:rsidR="00A17BD3" w:rsidRDefault="00A17BD3" w:rsidP="00A17BD3">
      <w:pPr>
        <w:pStyle w:val="oahRegisterTOC1"/>
      </w:pPr>
    </w:p>
    <w:p w14:paraId="72BBEF9F" w14:textId="79E899EA" w:rsidR="00A17BD3" w:rsidRDefault="00A17BD3" w:rsidP="00A17BD3">
      <w:pPr>
        <w:pStyle w:val="oahRegisterTOC1"/>
      </w:pPr>
      <w:r>
        <w:tab/>
        <w:t>IV.</w:t>
      </w:r>
      <w:r>
        <w:tab/>
        <w:t>CONTESTED CASE DECISIONS</w:t>
      </w:r>
    </w:p>
    <w:p w14:paraId="12344285" w14:textId="77777777" w:rsidR="00A17BD3" w:rsidRDefault="00A17BD3" w:rsidP="00A17BD3">
      <w:pPr>
        <w:pStyle w:val="oahRegisterTOC3"/>
      </w:pPr>
      <w:r>
        <w:tab/>
      </w:r>
      <w:r>
        <w:tab/>
      </w:r>
      <w:r>
        <w:tab/>
        <w:t>Index to ALJ Decisions</w:t>
      </w:r>
      <w:r>
        <w:tab/>
        <w:t>1419 – 1420</w:t>
      </w:r>
    </w:p>
    <w:p w14:paraId="0EED06A6" w14:textId="2EE494FC" w:rsidR="00A17BD3" w:rsidRDefault="00A17BD3" w:rsidP="00A6101E">
      <w:pPr>
        <w:pStyle w:val="oahRegisterTOC1"/>
      </w:pPr>
    </w:p>
    <w:p w14:paraId="43E85CB9" w14:textId="443A0B8F" w:rsidR="00A17BD3" w:rsidRDefault="00A17BD3" w:rsidP="00A6101E">
      <w:pPr>
        <w:pStyle w:val="oahRegisterTOC1"/>
      </w:pPr>
    </w:p>
    <w:p w14:paraId="01DA4B70" w14:textId="2E8CBD0A" w:rsidR="00A17BD3" w:rsidRDefault="00A17BD3" w:rsidP="00A6101E">
      <w:pPr>
        <w:pStyle w:val="oahRegisterTOC1"/>
      </w:pPr>
    </w:p>
    <w:p w14:paraId="683CE8B2" w14:textId="77777777" w:rsidR="00A17BD3" w:rsidRDefault="00A17BD3" w:rsidP="00A6101E">
      <w:pPr>
        <w:pStyle w:val="oahRegisterTOC1"/>
      </w:pPr>
    </w:p>
    <w:p w14:paraId="08D248A5" w14:textId="77777777" w:rsidR="00A6101E" w:rsidRDefault="00A6101E" w:rsidP="00D52FD0">
      <w:pPr>
        <w:tabs>
          <w:tab w:val="decimal" w:pos="2160"/>
          <w:tab w:val="left" w:pos="2340"/>
          <w:tab w:val="left" w:pos="2520"/>
          <w:tab w:val="left" w:leader="dot" w:pos="8640"/>
        </w:tabs>
        <w:outlineLvl w:val="0"/>
        <w:rPr>
          <w:b/>
          <w:bCs/>
        </w:rPr>
      </w:pPr>
    </w:p>
    <w:p w14:paraId="4101C3C8" w14:textId="5E8E6B65" w:rsidR="00FB04D4" w:rsidRDefault="00FB04D4" w:rsidP="00D52FD0">
      <w:pPr>
        <w:tabs>
          <w:tab w:val="decimal" w:pos="2160"/>
          <w:tab w:val="left" w:pos="2340"/>
          <w:tab w:val="left" w:pos="2520"/>
          <w:tab w:val="left" w:leader="dot" w:pos="8640"/>
        </w:tabs>
        <w:outlineLvl w:val="0"/>
        <w:rPr>
          <w:b/>
          <w:bCs/>
        </w:rPr>
      </w:pPr>
    </w:p>
    <w:p w14:paraId="18BAD816" w14:textId="53008807" w:rsidR="00FB47D9" w:rsidRDefault="00FB47D9" w:rsidP="00D52FD0">
      <w:pPr>
        <w:tabs>
          <w:tab w:val="decimal" w:pos="2160"/>
          <w:tab w:val="left" w:pos="2340"/>
          <w:tab w:val="left" w:pos="2520"/>
          <w:tab w:val="left" w:leader="dot" w:pos="8640"/>
        </w:tabs>
        <w:outlineLvl w:val="0"/>
        <w:rPr>
          <w:b/>
          <w:bCs/>
        </w:rPr>
      </w:pPr>
    </w:p>
    <w:p w14:paraId="566F4BAF" w14:textId="06B75BEF" w:rsidR="00FB47D9" w:rsidRDefault="00FB47D9" w:rsidP="00D52FD0">
      <w:pPr>
        <w:tabs>
          <w:tab w:val="decimal" w:pos="2160"/>
          <w:tab w:val="left" w:pos="2340"/>
          <w:tab w:val="left" w:pos="2520"/>
          <w:tab w:val="left" w:leader="dot" w:pos="8640"/>
        </w:tabs>
        <w:outlineLvl w:val="0"/>
        <w:rPr>
          <w:b/>
          <w:bCs/>
        </w:rPr>
      </w:pPr>
    </w:p>
    <w:p w14:paraId="434E8DC1" w14:textId="37A10C37" w:rsidR="00FB47D9" w:rsidRDefault="00FB47D9" w:rsidP="00D52FD0">
      <w:pPr>
        <w:tabs>
          <w:tab w:val="decimal" w:pos="2160"/>
          <w:tab w:val="left" w:pos="2340"/>
          <w:tab w:val="left" w:pos="2520"/>
          <w:tab w:val="left" w:leader="dot" w:pos="8640"/>
        </w:tabs>
        <w:outlineLvl w:val="0"/>
        <w:rPr>
          <w:b/>
          <w:bCs/>
        </w:rPr>
      </w:pPr>
    </w:p>
    <w:p w14:paraId="385E716C" w14:textId="1A32151A" w:rsidR="00FB47D9" w:rsidRDefault="00FB47D9" w:rsidP="00D52FD0">
      <w:pPr>
        <w:tabs>
          <w:tab w:val="decimal" w:pos="2160"/>
          <w:tab w:val="left" w:pos="2340"/>
          <w:tab w:val="left" w:pos="2520"/>
          <w:tab w:val="left" w:leader="dot" w:pos="8640"/>
        </w:tabs>
        <w:outlineLvl w:val="0"/>
        <w:rPr>
          <w:b/>
          <w:bCs/>
        </w:rPr>
      </w:pPr>
    </w:p>
    <w:p w14:paraId="0E604A42" w14:textId="77777777" w:rsidR="00FB47D9" w:rsidRDefault="00FB47D9" w:rsidP="00D52FD0">
      <w:pPr>
        <w:tabs>
          <w:tab w:val="decimal" w:pos="2160"/>
          <w:tab w:val="left" w:pos="2340"/>
          <w:tab w:val="left" w:pos="2520"/>
          <w:tab w:val="left" w:leader="dot" w:pos="8640"/>
        </w:tabs>
        <w:outlineLvl w:val="0"/>
        <w:rPr>
          <w:b/>
          <w:bCs/>
        </w:rPr>
      </w:pPr>
    </w:p>
    <w:p w14:paraId="7BC0A333" w14:textId="77777777" w:rsidR="00FB04D4" w:rsidRDefault="00FB04D4" w:rsidP="00D52FD0">
      <w:pPr>
        <w:tabs>
          <w:tab w:val="decimal" w:pos="2160"/>
          <w:tab w:val="left" w:pos="2340"/>
          <w:tab w:val="left" w:pos="2520"/>
          <w:tab w:val="left" w:leader="dot" w:pos="8640"/>
        </w:tabs>
        <w:outlineLvl w:val="0"/>
        <w:rPr>
          <w:b/>
          <w:bCs/>
        </w:rPr>
      </w:pPr>
    </w:p>
    <w:p w14:paraId="2841C9AC" w14:textId="77777777" w:rsidR="00FB04D4" w:rsidRDefault="00FB04D4" w:rsidP="00D52FD0">
      <w:pPr>
        <w:tabs>
          <w:tab w:val="decimal" w:pos="2160"/>
          <w:tab w:val="left" w:pos="2340"/>
          <w:tab w:val="left" w:pos="2520"/>
          <w:tab w:val="left" w:leader="dot" w:pos="8640"/>
        </w:tabs>
        <w:outlineLvl w:val="0"/>
        <w:rPr>
          <w:b/>
          <w:bCs/>
        </w:rPr>
      </w:pPr>
    </w:p>
    <w:p w14:paraId="7EE2A5EB" w14:textId="77777777" w:rsidR="00D52FD0" w:rsidRDefault="00D52FD0" w:rsidP="00D52FD0">
      <w:pPr>
        <w:tabs>
          <w:tab w:val="left" w:pos="0"/>
          <w:tab w:val="decimal" w:pos="2160"/>
          <w:tab w:val="left" w:pos="2340"/>
          <w:tab w:val="left" w:pos="2520"/>
          <w:tab w:val="left" w:leader="dot" w:pos="8640"/>
        </w:tabs>
        <w:outlineLvl w:val="0"/>
      </w:pPr>
    </w:p>
    <w:p w14:paraId="580431CA" w14:textId="77777777" w:rsidR="00262BBC" w:rsidRDefault="00262BBC" w:rsidP="00262BBC">
      <w:pPr>
        <w:ind w:left="1260"/>
        <w:rPr>
          <w:b/>
        </w:rPr>
      </w:pPr>
      <w:r>
        <w:rPr>
          <w:b/>
        </w:rPr>
        <w:t>PUBLISHED BY</w:t>
      </w:r>
    </w:p>
    <w:p w14:paraId="33F6F151" w14:textId="77777777" w:rsidR="00262BBC" w:rsidRDefault="00262BBC" w:rsidP="00262BBC">
      <w:pPr>
        <w:tabs>
          <w:tab w:val="right" w:pos="9630"/>
        </w:tabs>
        <w:ind w:left="1260"/>
        <w:rPr>
          <w:b/>
          <w:i/>
        </w:rPr>
      </w:pPr>
      <w:r>
        <w:rPr>
          <w:b/>
          <w:i/>
        </w:rPr>
        <w:t>The Office of Administrative Hearings</w:t>
      </w:r>
    </w:p>
    <w:p w14:paraId="23948F96" w14:textId="77777777" w:rsidR="00262BBC" w:rsidRDefault="00262BBC" w:rsidP="00262BBC">
      <w:pPr>
        <w:tabs>
          <w:tab w:val="right" w:pos="9630"/>
        </w:tabs>
        <w:ind w:left="1260"/>
        <w:rPr>
          <w:b/>
          <w:i/>
        </w:rPr>
      </w:pPr>
      <w:r>
        <w:rPr>
          <w:b/>
          <w:i/>
        </w:rPr>
        <w:t>Rules Division</w:t>
      </w:r>
      <w:r>
        <w:rPr>
          <w:b/>
          <w:i/>
        </w:rPr>
        <w:tab/>
        <w:t>Julian Mann III, Director</w:t>
      </w:r>
    </w:p>
    <w:p w14:paraId="15553B32" w14:textId="77777777" w:rsidR="00262BBC" w:rsidRDefault="00262BBC" w:rsidP="00262BBC">
      <w:pPr>
        <w:tabs>
          <w:tab w:val="right" w:pos="9630"/>
        </w:tabs>
        <w:ind w:left="1260"/>
        <w:rPr>
          <w:b/>
          <w:i/>
        </w:rPr>
      </w:pPr>
      <w:r>
        <w:rPr>
          <w:b/>
          <w:i/>
        </w:rPr>
        <w:t>6714 Mail Service Center</w:t>
      </w:r>
      <w:r>
        <w:rPr>
          <w:b/>
          <w:i/>
        </w:rPr>
        <w:tab/>
        <w:t>Molly Masich, Codifier of Rules</w:t>
      </w:r>
    </w:p>
    <w:p w14:paraId="01CCAE81" w14:textId="77777777" w:rsidR="00262BBC" w:rsidRDefault="00262BBC" w:rsidP="00262BBC">
      <w:pPr>
        <w:tabs>
          <w:tab w:val="right" w:pos="9630"/>
        </w:tabs>
        <w:ind w:left="1260"/>
        <w:rPr>
          <w:b/>
          <w:i/>
        </w:rPr>
      </w:pPr>
      <w:r>
        <w:rPr>
          <w:b/>
          <w:i/>
        </w:rPr>
        <w:t>Raleigh, NC  27699-6714</w:t>
      </w:r>
      <w:r>
        <w:rPr>
          <w:b/>
          <w:i/>
        </w:rPr>
        <w:tab/>
        <w:t>Dana McGhee, Publications Coordinator</w:t>
      </w:r>
    </w:p>
    <w:p w14:paraId="244F4D54" w14:textId="143CDDFB" w:rsidR="00262BBC" w:rsidRDefault="00262BBC" w:rsidP="00262BBC">
      <w:pPr>
        <w:tabs>
          <w:tab w:val="right" w:pos="9630"/>
        </w:tabs>
        <w:ind w:left="1260"/>
        <w:rPr>
          <w:b/>
          <w:i/>
        </w:rPr>
      </w:pPr>
      <w:r>
        <w:rPr>
          <w:b/>
          <w:i/>
        </w:rPr>
        <w:t>Telephone (919) 431-3000</w:t>
      </w:r>
      <w:r>
        <w:rPr>
          <w:b/>
          <w:i/>
        </w:rPr>
        <w:tab/>
        <w:t xml:space="preserve">Lindsay </w:t>
      </w:r>
      <w:r w:rsidR="00851281">
        <w:rPr>
          <w:b/>
          <w:i/>
        </w:rPr>
        <w:t>Silvester</w:t>
      </w:r>
      <w:r>
        <w:rPr>
          <w:b/>
          <w:i/>
        </w:rPr>
        <w:t>, Editorial Assistant</w:t>
      </w:r>
    </w:p>
    <w:p w14:paraId="1156476B" w14:textId="77777777" w:rsidR="00262BBC" w:rsidRDefault="00262BBC" w:rsidP="00262BBC">
      <w:pPr>
        <w:tabs>
          <w:tab w:val="right" w:pos="9630"/>
        </w:tabs>
        <w:ind w:left="1260"/>
        <w:rPr>
          <w:b/>
          <w:i/>
        </w:rPr>
      </w:pPr>
      <w:r>
        <w:rPr>
          <w:b/>
          <w:i/>
        </w:rPr>
        <w:t>Fax (919) 431-3104</w:t>
      </w:r>
      <w:r>
        <w:rPr>
          <w:b/>
          <w:i/>
        </w:rPr>
        <w:tab/>
        <w:t>Cathy Matthews-Thayer, Editorial Assistant</w:t>
      </w:r>
    </w:p>
    <w:p w14:paraId="35FE8B52" w14:textId="77777777" w:rsidR="00D52FD0" w:rsidRDefault="00D52FD0" w:rsidP="00D52FD0">
      <w:pPr>
        <w:tabs>
          <w:tab w:val="right" w:pos="9630"/>
        </w:tabs>
        <w:ind w:left="1260"/>
        <w:rPr>
          <w:b/>
          <w:i/>
        </w:rPr>
      </w:pPr>
      <w:r>
        <w:rPr>
          <w:b/>
          <w:i/>
        </w:rPr>
        <w:tab/>
      </w: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77777777" w:rsidR="00D52FD0" w:rsidRDefault="00D52FD0" w:rsidP="00D52FD0">
      <w:pPr>
        <w:rPr>
          <w:sz w:val="24"/>
          <w:szCs w:val="24"/>
        </w:rPr>
      </w:pPr>
      <w:r>
        <w:rPr>
          <w:sz w:val="24"/>
          <w:szCs w:val="24"/>
        </w:rPr>
        <w:t xml:space="preserve">For questions or concerns regarding the Administrative Procedure Act or any of its components, consult with the agencies below.  The bolded headings are typical issues which the given agency can </w:t>
      </w:r>
      <w:proofErr w:type="gramStart"/>
      <w:r>
        <w:rPr>
          <w:sz w:val="24"/>
          <w:szCs w:val="24"/>
        </w:rPr>
        <w:t>address, but</w:t>
      </w:r>
      <w:proofErr w:type="gramEnd"/>
      <w:r>
        <w:rPr>
          <w:sz w:val="24"/>
          <w:szCs w:val="24"/>
        </w:rPr>
        <w:t xml:space="preserve">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017AB683"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5BB87C5B" w14:textId="77777777" w:rsidR="00D52FD0" w:rsidRDefault="00D52FD0" w:rsidP="00D52FD0">
      <w:pPr>
        <w:rPr>
          <w:sz w:val="12"/>
          <w:szCs w:val="12"/>
        </w:rPr>
      </w:pPr>
    </w:p>
    <w:p w14:paraId="4F8794D0"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14:paraId="1F64C821"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14:paraId="785E6849" w14:textId="1746AD4F"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Lindsay </w:t>
      </w:r>
      <w:r w:rsidR="00851281">
        <w:t>Silvester</w:t>
      </w:r>
      <w:r>
        <w:t>, Editorial Assistant</w:t>
      </w:r>
      <w:r>
        <w:tab/>
        <w:t>lindsay.</w:t>
      </w:r>
      <w:r w:rsidR="00851281">
        <w:t>silvester</w:t>
      </w:r>
      <w:r>
        <w:t>@oah.nc.gov</w:t>
      </w:r>
      <w:r>
        <w:tab/>
        <w:t>(919) 431-3078</w:t>
      </w:r>
    </w:p>
    <w:p w14:paraId="58D3B19A" w14:textId="77777777"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t>(919) 431-3006</w:t>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14:paraId="160013A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03E5C1FB"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14:paraId="7AAE65A0"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14:paraId="0F7DAB1B"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Ashley Snyder, Commission Counsel</w:t>
      </w:r>
      <w:r>
        <w:tab/>
      </w:r>
      <w:r w:rsidRPr="00E42198">
        <w:t>ashley.snyder@oah.nc.gov</w:t>
      </w:r>
      <w:r>
        <w:tab/>
      </w:r>
      <w:r>
        <w:tab/>
        <w:t>(919) 431-</w:t>
      </w:r>
      <w:r w:rsidRPr="008361D5">
        <w:rPr>
          <w:bCs/>
        </w:rPr>
        <w:t>3081</w:t>
      </w:r>
    </w:p>
    <w:p w14:paraId="6319E793"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14:paraId="73D5D827" w14:textId="77777777"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14:paraId="6C6D58FF" w14:textId="77777777" w:rsidR="004A4A68" w:rsidRDefault="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3FC45E1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116 West Jones Street</w:t>
      </w:r>
    </w:p>
    <w:p w14:paraId="5D3F28CF" w14:textId="7E52B909"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27603-8005</w:t>
      </w:r>
    </w:p>
    <w:p w14:paraId="5B0D841C" w14:textId="12B990D9"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w:t>
      </w:r>
      <w:r w:rsidR="00E83C86">
        <w:t>84</w:t>
      </w:r>
      <w:r>
        <w:t xml:space="preserve">) </w:t>
      </w:r>
      <w:r w:rsidR="00E83C86">
        <w:t>236</w:t>
      </w:r>
      <w:r>
        <w:t>-</w:t>
      </w:r>
      <w:r w:rsidR="00E83C86">
        <w:t>0689</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45DE374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14:paraId="78FB9B8C" w14:textId="77777777"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14:paraId="678B34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14:paraId="62609F1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Legislative Process Concerning </w:t>
      </w:r>
      <w:proofErr w:type="gramStart"/>
      <w:r>
        <w:rPr>
          <w:b/>
          <w:bCs/>
          <w:sz w:val="24"/>
          <w:u w:val="single"/>
        </w:rPr>
        <w:t>Rule-making</w:t>
      </w:r>
      <w:proofErr w:type="gramEnd"/>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14:paraId="4653D6F0"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F5F0B35"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7C3DE058"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6B1EE912" w14:textId="77777777" w:rsidR="002B1DDA" w:rsidRPr="00154994" w:rsidRDefault="002B1DDA" w:rsidP="002B1DDA">
      <w:pPr>
        <w:jc w:val="center"/>
        <w:rPr>
          <w:b/>
          <w:bCs/>
          <w:kern w:val="0"/>
          <w:szCs w:val="24"/>
        </w:rPr>
      </w:pPr>
      <w:r w:rsidRPr="00154994">
        <w:rPr>
          <w:b/>
          <w:bCs/>
          <w:kern w:val="0"/>
          <w:szCs w:val="24"/>
        </w:rPr>
        <w:lastRenderedPageBreak/>
        <w:t>NORTH CAROLINA REGISTER</w:t>
      </w:r>
    </w:p>
    <w:p w14:paraId="1BE03C9F" w14:textId="77777777" w:rsidR="002B1DDA" w:rsidRPr="00154994" w:rsidRDefault="002B1DDA" w:rsidP="002B1DDA">
      <w:pPr>
        <w:jc w:val="center"/>
        <w:rPr>
          <w:kern w:val="0"/>
          <w:szCs w:val="24"/>
        </w:rPr>
      </w:pPr>
      <w:r w:rsidRPr="00154994">
        <w:rPr>
          <w:kern w:val="0"/>
          <w:szCs w:val="24"/>
        </w:rPr>
        <w:t>Publication Schedule for January 2020 – December 2020</w:t>
      </w:r>
    </w:p>
    <w:p w14:paraId="04825497" w14:textId="77777777" w:rsidR="002B1DDA" w:rsidRPr="00154994" w:rsidRDefault="002B1DDA" w:rsidP="002B1DDA">
      <w:pPr>
        <w:jc w:val="center"/>
        <w:rPr>
          <w:kern w:val="0"/>
          <w:sz w:val="8"/>
          <w:szCs w:val="8"/>
        </w:rPr>
      </w:pPr>
    </w:p>
    <w:tbl>
      <w:tblPr>
        <w:tblW w:w="12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800"/>
      </w:tblGrid>
      <w:tr w:rsidR="002B1DDA" w:rsidRPr="00154994" w14:paraId="66CA84DE" w14:textId="77777777" w:rsidTr="001D2CEB">
        <w:trPr>
          <w:cantSplit/>
          <w:trHeight w:val="863"/>
          <w:jc w:val="center"/>
        </w:trPr>
        <w:tc>
          <w:tcPr>
            <w:tcW w:w="3235" w:type="dxa"/>
            <w:gridSpan w:val="3"/>
            <w:tcBorders>
              <w:right w:val="single" w:sz="4" w:space="0" w:color="auto"/>
            </w:tcBorders>
            <w:vAlign w:val="center"/>
          </w:tcPr>
          <w:p w14:paraId="16F3DA82" w14:textId="77777777" w:rsidR="002B1DDA" w:rsidRPr="00154994" w:rsidRDefault="002B1DDA" w:rsidP="001D2CEB">
            <w:pPr>
              <w:jc w:val="center"/>
              <w:rPr>
                <w:kern w:val="0"/>
                <w:sz w:val="19"/>
                <w:szCs w:val="24"/>
              </w:rPr>
            </w:pPr>
            <w:r w:rsidRPr="00154994">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241262CD" w14:textId="77777777" w:rsidR="002B1DDA" w:rsidRPr="00154994" w:rsidRDefault="002B1DDA" w:rsidP="001D2CEB">
            <w:pPr>
              <w:jc w:val="center"/>
              <w:rPr>
                <w:b/>
                <w:kern w:val="0"/>
                <w:sz w:val="22"/>
                <w:szCs w:val="22"/>
              </w:rPr>
            </w:pPr>
            <w:r w:rsidRPr="00154994">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14:paraId="70652770" w14:textId="77777777" w:rsidR="002B1DDA" w:rsidRPr="00154994" w:rsidRDefault="002B1DDA" w:rsidP="001D2CEB">
            <w:pPr>
              <w:jc w:val="center"/>
              <w:rPr>
                <w:b/>
                <w:kern w:val="0"/>
                <w:sz w:val="22"/>
                <w:szCs w:val="22"/>
              </w:rPr>
            </w:pPr>
            <w:r w:rsidRPr="00154994">
              <w:rPr>
                <w:b/>
                <w:kern w:val="0"/>
                <w:sz w:val="22"/>
                <w:szCs w:val="22"/>
              </w:rPr>
              <w:t>PERMANENT RULE</w:t>
            </w:r>
          </w:p>
        </w:tc>
        <w:tc>
          <w:tcPr>
            <w:tcW w:w="1800" w:type="dxa"/>
            <w:vAlign w:val="center"/>
          </w:tcPr>
          <w:p w14:paraId="73A6F323" w14:textId="77777777" w:rsidR="002B1DDA" w:rsidRPr="00154994" w:rsidRDefault="002B1DDA" w:rsidP="001D2CEB">
            <w:pPr>
              <w:jc w:val="center"/>
              <w:rPr>
                <w:b/>
                <w:kern w:val="0"/>
                <w:sz w:val="22"/>
                <w:szCs w:val="22"/>
              </w:rPr>
            </w:pPr>
            <w:r w:rsidRPr="00154994">
              <w:rPr>
                <w:b/>
                <w:kern w:val="0"/>
                <w:sz w:val="22"/>
                <w:szCs w:val="22"/>
              </w:rPr>
              <w:t>TEMPORARY RULES</w:t>
            </w:r>
          </w:p>
        </w:tc>
      </w:tr>
      <w:tr w:rsidR="002B1DDA" w:rsidRPr="00154994" w14:paraId="611673E9" w14:textId="77777777" w:rsidTr="001D2CEB">
        <w:trPr>
          <w:cantSplit/>
          <w:trHeight w:val="1304"/>
          <w:jc w:val="center"/>
        </w:trPr>
        <w:tc>
          <w:tcPr>
            <w:tcW w:w="1075" w:type="dxa"/>
            <w:vAlign w:val="center"/>
          </w:tcPr>
          <w:p w14:paraId="02581BEF" w14:textId="77777777" w:rsidR="002B1DDA" w:rsidRPr="00154994" w:rsidRDefault="002B1DDA" w:rsidP="001D2CEB">
            <w:pPr>
              <w:jc w:val="center"/>
              <w:rPr>
                <w:kern w:val="0"/>
                <w:sz w:val="19"/>
                <w:szCs w:val="24"/>
              </w:rPr>
            </w:pPr>
            <w:r w:rsidRPr="00154994">
              <w:rPr>
                <w:kern w:val="0"/>
                <w:sz w:val="19"/>
                <w:szCs w:val="24"/>
              </w:rPr>
              <w:t>Volume &amp; issue number</w:t>
            </w:r>
          </w:p>
        </w:tc>
        <w:tc>
          <w:tcPr>
            <w:tcW w:w="1080" w:type="dxa"/>
            <w:vAlign w:val="center"/>
          </w:tcPr>
          <w:p w14:paraId="093446CA" w14:textId="77777777" w:rsidR="002B1DDA" w:rsidRPr="00154994" w:rsidRDefault="002B1DDA" w:rsidP="001D2CEB">
            <w:pPr>
              <w:jc w:val="center"/>
              <w:rPr>
                <w:kern w:val="0"/>
                <w:sz w:val="19"/>
                <w:szCs w:val="24"/>
              </w:rPr>
            </w:pPr>
            <w:r w:rsidRPr="00154994">
              <w:rPr>
                <w:kern w:val="0"/>
                <w:sz w:val="19"/>
                <w:szCs w:val="24"/>
              </w:rPr>
              <w:t>Issue date</w:t>
            </w:r>
          </w:p>
        </w:tc>
        <w:tc>
          <w:tcPr>
            <w:tcW w:w="1080" w:type="dxa"/>
            <w:tcBorders>
              <w:right w:val="single" w:sz="4" w:space="0" w:color="auto"/>
            </w:tcBorders>
            <w:vAlign w:val="center"/>
          </w:tcPr>
          <w:p w14:paraId="358C783F" w14:textId="77777777" w:rsidR="002B1DDA" w:rsidRPr="00154994" w:rsidRDefault="002B1DDA" w:rsidP="001D2CEB">
            <w:pPr>
              <w:jc w:val="center"/>
              <w:rPr>
                <w:kern w:val="0"/>
                <w:sz w:val="19"/>
                <w:szCs w:val="24"/>
              </w:rPr>
            </w:pPr>
            <w:r w:rsidRPr="00154994">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68EDD095" w14:textId="77777777" w:rsidR="002B1DDA" w:rsidRPr="00154994" w:rsidRDefault="002B1DDA" w:rsidP="001D2CEB">
            <w:pPr>
              <w:jc w:val="center"/>
              <w:rPr>
                <w:kern w:val="0"/>
                <w:sz w:val="19"/>
                <w:szCs w:val="24"/>
              </w:rPr>
            </w:pPr>
            <w:r w:rsidRPr="00154994">
              <w:rPr>
                <w:kern w:val="0"/>
                <w:sz w:val="19"/>
                <w:szCs w:val="24"/>
              </w:rPr>
              <w:t>Earliest date for public hearing</w:t>
            </w:r>
          </w:p>
        </w:tc>
        <w:tc>
          <w:tcPr>
            <w:tcW w:w="1440" w:type="dxa"/>
            <w:tcBorders>
              <w:left w:val="single" w:sz="4" w:space="0" w:color="auto"/>
            </w:tcBorders>
            <w:vAlign w:val="center"/>
          </w:tcPr>
          <w:p w14:paraId="0667CE88" w14:textId="77777777" w:rsidR="002B1DDA" w:rsidRPr="00154994" w:rsidRDefault="002B1DDA" w:rsidP="001D2CEB">
            <w:pPr>
              <w:jc w:val="center"/>
              <w:rPr>
                <w:kern w:val="0"/>
                <w:sz w:val="19"/>
                <w:szCs w:val="24"/>
              </w:rPr>
            </w:pPr>
            <w:r w:rsidRPr="00154994">
              <w:rPr>
                <w:kern w:val="0"/>
                <w:sz w:val="19"/>
                <w:szCs w:val="24"/>
              </w:rPr>
              <w:t>End of required comment</w:t>
            </w:r>
          </w:p>
          <w:p w14:paraId="576AE82F" w14:textId="77777777" w:rsidR="002B1DDA" w:rsidRPr="00154994" w:rsidRDefault="002B1DDA" w:rsidP="001D2CEB">
            <w:pPr>
              <w:jc w:val="center"/>
              <w:rPr>
                <w:kern w:val="0"/>
                <w:sz w:val="19"/>
                <w:szCs w:val="24"/>
              </w:rPr>
            </w:pPr>
            <w:r w:rsidRPr="00154994">
              <w:rPr>
                <w:kern w:val="0"/>
                <w:sz w:val="19"/>
                <w:szCs w:val="24"/>
              </w:rPr>
              <w:t>Period</w:t>
            </w:r>
          </w:p>
        </w:tc>
        <w:tc>
          <w:tcPr>
            <w:tcW w:w="1710" w:type="dxa"/>
            <w:vAlign w:val="center"/>
          </w:tcPr>
          <w:p w14:paraId="3B5A366E" w14:textId="77777777" w:rsidR="002B1DDA" w:rsidRPr="00154994" w:rsidRDefault="002B1DDA" w:rsidP="001D2CEB">
            <w:pPr>
              <w:jc w:val="center"/>
              <w:rPr>
                <w:kern w:val="0"/>
                <w:sz w:val="19"/>
                <w:szCs w:val="24"/>
              </w:rPr>
            </w:pPr>
            <w:r w:rsidRPr="00154994">
              <w:rPr>
                <w:kern w:val="0"/>
                <w:sz w:val="19"/>
                <w:szCs w:val="24"/>
              </w:rPr>
              <w:t>Deadline to submit to RRC</w:t>
            </w:r>
          </w:p>
          <w:p w14:paraId="0EE6EE42" w14:textId="77777777" w:rsidR="002B1DDA" w:rsidRPr="00154994" w:rsidRDefault="002B1DDA" w:rsidP="001D2CEB">
            <w:pPr>
              <w:jc w:val="center"/>
              <w:rPr>
                <w:kern w:val="0"/>
                <w:sz w:val="19"/>
                <w:szCs w:val="24"/>
              </w:rPr>
            </w:pPr>
            <w:r w:rsidRPr="00154994">
              <w:rPr>
                <w:kern w:val="0"/>
                <w:sz w:val="19"/>
                <w:szCs w:val="24"/>
              </w:rPr>
              <w:t>for review at</w:t>
            </w:r>
          </w:p>
          <w:p w14:paraId="4C4F1AB7" w14:textId="77777777" w:rsidR="002B1DDA" w:rsidRPr="00154994" w:rsidRDefault="002B1DDA" w:rsidP="001D2CEB">
            <w:pPr>
              <w:jc w:val="center"/>
              <w:rPr>
                <w:kern w:val="0"/>
                <w:sz w:val="19"/>
                <w:szCs w:val="24"/>
              </w:rPr>
            </w:pPr>
            <w:r w:rsidRPr="00154994">
              <w:rPr>
                <w:kern w:val="0"/>
                <w:sz w:val="19"/>
                <w:szCs w:val="24"/>
              </w:rPr>
              <w:t>next meeting</w:t>
            </w:r>
          </w:p>
        </w:tc>
        <w:tc>
          <w:tcPr>
            <w:tcW w:w="1080" w:type="dxa"/>
            <w:vAlign w:val="center"/>
          </w:tcPr>
          <w:p w14:paraId="11C0B5ED" w14:textId="77777777" w:rsidR="002B1DDA" w:rsidRPr="00154994" w:rsidRDefault="002B1DDA" w:rsidP="001D2CEB">
            <w:pPr>
              <w:jc w:val="center"/>
              <w:rPr>
                <w:kern w:val="0"/>
                <w:sz w:val="19"/>
                <w:szCs w:val="24"/>
              </w:rPr>
            </w:pPr>
            <w:r w:rsidRPr="00154994">
              <w:rPr>
                <w:kern w:val="0"/>
                <w:sz w:val="19"/>
                <w:szCs w:val="24"/>
              </w:rPr>
              <w:t>RRC Meeting Date</w:t>
            </w:r>
          </w:p>
        </w:tc>
        <w:tc>
          <w:tcPr>
            <w:tcW w:w="1440" w:type="dxa"/>
            <w:vAlign w:val="center"/>
          </w:tcPr>
          <w:p w14:paraId="290FF79A" w14:textId="77777777" w:rsidR="002B1DDA" w:rsidRPr="00154994" w:rsidRDefault="002B1DDA" w:rsidP="001D2CEB">
            <w:pPr>
              <w:jc w:val="center"/>
              <w:rPr>
                <w:kern w:val="0"/>
                <w:sz w:val="19"/>
                <w:szCs w:val="24"/>
              </w:rPr>
            </w:pPr>
            <w:r w:rsidRPr="00154994">
              <w:rPr>
                <w:kern w:val="0"/>
                <w:sz w:val="19"/>
                <w:szCs w:val="24"/>
              </w:rPr>
              <w:t xml:space="preserve">Earliest Eff. </w:t>
            </w:r>
          </w:p>
          <w:p w14:paraId="649A92C1" w14:textId="77777777" w:rsidR="002B1DDA" w:rsidRPr="00154994" w:rsidRDefault="002B1DDA" w:rsidP="001D2CEB">
            <w:pPr>
              <w:jc w:val="center"/>
              <w:rPr>
                <w:kern w:val="0"/>
                <w:sz w:val="19"/>
                <w:szCs w:val="24"/>
              </w:rPr>
            </w:pPr>
            <w:r w:rsidRPr="00154994">
              <w:rPr>
                <w:kern w:val="0"/>
                <w:sz w:val="19"/>
                <w:szCs w:val="24"/>
              </w:rPr>
              <w:t>Date of</w:t>
            </w:r>
          </w:p>
          <w:p w14:paraId="18FCDEB7" w14:textId="77777777" w:rsidR="002B1DDA" w:rsidRPr="00154994" w:rsidRDefault="002B1DDA" w:rsidP="001D2CEB">
            <w:pPr>
              <w:jc w:val="center"/>
              <w:rPr>
                <w:kern w:val="0"/>
                <w:sz w:val="19"/>
                <w:szCs w:val="24"/>
              </w:rPr>
            </w:pPr>
            <w:r w:rsidRPr="00154994">
              <w:rPr>
                <w:kern w:val="0"/>
                <w:sz w:val="19"/>
                <w:szCs w:val="24"/>
              </w:rPr>
              <w:t>Permanent Rule</w:t>
            </w:r>
          </w:p>
        </w:tc>
        <w:tc>
          <w:tcPr>
            <w:tcW w:w="1800" w:type="dxa"/>
            <w:vAlign w:val="center"/>
          </w:tcPr>
          <w:p w14:paraId="37F8DBD6" w14:textId="77777777" w:rsidR="002B1DDA" w:rsidRPr="00154994" w:rsidRDefault="002B1DDA" w:rsidP="001D2CEB">
            <w:pPr>
              <w:jc w:val="center"/>
              <w:rPr>
                <w:kern w:val="0"/>
                <w:sz w:val="19"/>
                <w:szCs w:val="24"/>
              </w:rPr>
            </w:pPr>
            <w:r w:rsidRPr="00154994">
              <w:rPr>
                <w:kern w:val="0"/>
                <w:sz w:val="19"/>
                <w:szCs w:val="24"/>
              </w:rPr>
              <w:t>270</w:t>
            </w:r>
            <w:r w:rsidRPr="00154994">
              <w:rPr>
                <w:kern w:val="0"/>
                <w:sz w:val="19"/>
                <w:szCs w:val="24"/>
                <w:vertAlign w:val="superscript"/>
              </w:rPr>
              <w:t>th</w:t>
            </w:r>
            <w:r w:rsidRPr="00154994">
              <w:rPr>
                <w:kern w:val="0"/>
                <w:sz w:val="19"/>
                <w:szCs w:val="24"/>
              </w:rPr>
              <w:t xml:space="preserve"> day from publication in the Register</w:t>
            </w:r>
          </w:p>
        </w:tc>
      </w:tr>
      <w:tr w:rsidR="002B1DDA" w:rsidRPr="00154994" w14:paraId="2FD50F68" w14:textId="77777777" w:rsidTr="001D2CEB">
        <w:trPr>
          <w:trHeight w:val="332"/>
          <w:jc w:val="center"/>
        </w:trPr>
        <w:tc>
          <w:tcPr>
            <w:tcW w:w="1075" w:type="dxa"/>
            <w:vAlign w:val="center"/>
          </w:tcPr>
          <w:p w14:paraId="3569A350" w14:textId="77777777" w:rsidR="002B1DDA" w:rsidRPr="00154994" w:rsidRDefault="002B1DDA" w:rsidP="001D2CEB">
            <w:pPr>
              <w:jc w:val="center"/>
              <w:rPr>
                <w:kern w:val="0"/>
                <w:sz w:val="18"/>
                <w:szCs w:val="18"/>
              </w:rPr>
            </w:pPr>
            <w:r w:rsidRPr="00154994">
              <w:rPr>
                <w:kern w:val="0"/>
                <w:sz w:val="18"/>
                <w:szCs w:val="18"/>
              </w:rPr>
              <w:t>34:13</w:t>
            </w:r>
          </w:p>
        </w:tc>
        <w:tc>
          <w:tcPr>
            <w:tcW w:w="1080" w:type="dxa"/>
            <w:vAlign w:val="center"/>
          </w:tcPr>
          <w:p w14:paraId="30AAFC98" w14:textId="77777777" w:rsidR="002B1DDA" w:rsidRPr="00154994" w:rsidRDefault="002B1DDA" w:rsidP="001D2CEB">
            <w:pPr>
              <w:jc w:val="center"/>
              <w:rPr>
                <w:kern w:val="0"/>
                <w:sz w:val="18"/>
                <w:szCs w:val="18"/>
              </w:rPr>
            </w:pPr>
            <w:r w:rsidRPr="00154994">
              <w:rPr>
                <w:kern w:val="0"/>
                <w:sz w:val="18"/>
                <w:szCs w:val="18"/>
              </w:rPr>
              <w:t>01/02/20</w:t>
            </w:r>
          </w:p>
        </w:tc>
        <w:tc>
          <w:tcPr>
            <w:tcW w:w="1080" w:type="dxa"/>
            <w:tcBorders>
              <w:right w:val="single" w:sz="4" w:space="0" w:color="auto"/>
            </w:tcBorders>
            <w:vAlign w:val="center"/>
          </w:tcPr>
          <w:p w14:paraId="2AA92677" w14:textId="77777777" w:rsidR="002B1DDA" w:rsidRPr="00154994" w:rsidRDefault="002B1DDA" w:rsidP="001D2CEB">
            <w:pPr>
              <w:jc w:val="center"/>
              <w:rPr>
                <w:kern w:val="0"/>
                <w:sz w:val="18"/>
                <w:szCs w:val="18"/>
              </w:rPr>
            </w:pPr>
            <w:r w:rsidRPr="00154994">
              <w:rPr>
                <w:kern w:val="0"/>
                <w:sz w:val="18"/>
                <w:szCs w:val="18"/>
              </w:rPr>
              <w:t>12/06/19</w:t>
            </w:r>
          </w:p>
        </w:tc>
        <w:tc>
          <w:tcPr>
            <w:tcW w:w="1350" w:type="dxa"/>
            <w:tcBorders>
              <w:top w:val="single" w:sz="4" w:space="0" w:color="auto"/>
              <w:left w:val="single" w:sz="4" w:space="0" w:color="auto"/>
              <w:bottom w:val="single" w:sz="4" w:space="0" w:color="auto"/>
              <w:right w:val="single" w:sz="4" w:space="0" w:color="auto"/>
            </w:tcBorders>
            <w:vAlign w:val="center"/>
          </w:tcPr>
          <w:p w14:paraId="36357581" w14:textId="77777777" w:rsidR="002B1DDA" w:rsidRPr="00154994" w:rsidRDefault="002B1DDA" w:rsidP="001D2CEB">
            <w:pPr>
              <w:jc w:val="center"/>
              <w:rPr>
                <w:kern w:val="0"/>
                <w:sz w:val="18"/>
                <w:szCs w:val="18"/>
              </w:rPr>
            </w:pPr>
            <w:r w:rsidRPr="00154994">
              <w:rPr>
                <w:kern w:val="0"/>
                <w:sz w:val="18"/>
                <w:szCs w:val="18"/>
              </w:rPr>
              <w:t>01/17/20</w:t>
            </w:r>
          </w:p>
        </w:tc>
        <w:tc>
          <w:tcPr>
            <w:tcW w:w="1440" w:type="dxa"/>
            <w:tcBorders>
              <w:left w:val="single" w:sz="4" w:space="0" w:color="auto"/>
            </w:tcBorders>
            <w:vAlign w:val="center"/>
          </w:tcPr>
          <w:p w14:paraId="3BE99A46" w14:textId="77777777" w:rsidR="002B1DDA" w:rsidRPr="00154994" w:rsidRDefault="002B1DDA" w:rsidP="001D2CEB">
            <w:pPr>
              <w:jc w:val="center"/>
              <w:rPr>
                <w:kern w:val="0"/>
                <w:sz w:val="18"/>
                <w:szCs w:val="18"/>
              </w:rPr>
            </w:pPr>
            <w:r w:rsidRPr="00154994">
              <w:rPr>
                <w:kern w:val="0"/>
                <w:sz w:val="18"/>
                <w:szCs w:val="18"/>
              </w:rPr>
              <w:t>03/02/20</w:t>
            </w:r>
          </w:p>
        </w:tc>
        <w:tc>
          <w:tcPr>
            <w:tcW w:w="1710" w:type="dxa"/>
            <w:vAlign w:val="center"/>
          </w:tcPr>
          <w:p w14:paraId="0BD0430E" w14:textId="77777777" w:rsidR="002B1DDA" w:rsidRPr="00154994" w:rsidRDefault="002B1DDA" w:rsidP="001D2CEB">
            <w:pPr>
              <w:jc w:val="center"/>
              <w:rPr>
                <w:kern w:val="0"/>
                <w:sz w:val="18"/>
                <w:szCs w:val="18"/>
              </w:rPr>
            </w:pPr>
            <w:r w:rsidRPr="00154994">
              <w:rPr>
                <w:kern w:val="0"/>
                <w:sz w:val="18"/>
                <w:szCs w:val="18"/>
              </w:rPr>
              <w:t>03/20/20</w:t>
            </w:r>
          </w:p>
        </w:tc>
        <w:tc>
          <w:tcPr>
            <w:tcW w:w="1080" w:type="dxa"/>
            <w:vAlign w:val="center"/>
          </w:tcPr>
          <w:p w14:paraId="4FA91879" w14:textId="77777777" w:rsidR="002B1DDA" w:rsidRPr="00154994" w:rsidRDefault="002B1DDA" w:rsidP="001D2CEB">
            <w:pPr>
              <w:jc w:val="center"/>
              <w:rPr>
                <w:kern w:val="0"/>
                <w:sz w:val="18"/>
                <w:szCs w:val="18"/>
              </w:rPr>
            </w:pPr>
            <w:r w:rsidRPr="00154994">
              <w:rPr>
                <w:kern w:val="0"/>
                <w:sz w:val="18"/>
                <w:szCs w:val="18"/>
              </w:rPr>
              <w:t>04/16/20</w:t>
            </w:r>
          </w:p>
        </w:tc>
        <w:tc>
          <w:tcPr>
            <w:tcW w:w="1440" w:type="dxa"/>
            <w:vAlign w:val="center"/>
          </w:tcPr>
          <w:p w14:paraId="251CB020" w14:textId="77777777" w:rsidR="002B1DDA" w:rsidRPr="00154994" w:rsidRDefault="002B1DDA" w:rsidP="001D2CEB">
            <w:pPr>
              <w:jc w:val="center"/>
              <w:rPr>
                <w:kern w:val="0"/>
                <w:sz w:val="18"/>
                <w:szCs w:val="18"/>
              </w:rPr>
            </w:pPr>
            <w:r w:rsidRPr="00154994">
              <w:rPr>
                <w:kern w:val="0"/>
                <w:sz w:val="18"/>
                <w:szCs w:val="18"/>
              </w:rPr>
              <w:t>05/01/20</w:t>
            </w:r>
          </w:p>
        </w:tc>
        <w:tc>
          <w:tcPr>
            <w:tcW w:w="1800" w:type="dxa"/>
            <w:vAlign w:val="center"/>
          </w:tcPr>
          <w:p w14:paraId="589D911E" w14:textId="77777777" w:rsidR="002B1DDA" w:rsidRPr="00154994" w:rsidRDefault="002B1DDA" w:rsidP="001D2CEB">
            <w:pPr>
              <w:jc w:val="center"/>
              <w:rPr>
                <w:kern w:val="0"/>
                <w:sz w:val="18"/>
                <w:szCs w:val="18"/>
              </w:rPr>
            </w:pPr>
            <w:r w:rsidRPr="00154994">
              <w:rPr>
                <w:kern w:val="0"/>
                <w:sz w:val="18"/>
                <w:szCs w:val="18"/>
              </w:rPr>
              <w:t>09/28/20</w:t>
            </w:r>
          </w:p>
        </w:tc>
      </w:tr>
      <w:tr w:rsidR="002B1DDA" w:rsidRPr="00154994" w14:paraId="7A2B464B" w14:textId="77777777" w:rsidTr="001D2CEB">
        <w:trPr>
          <w:trHeight w:val="288"/>
          <w:jc w:val="center"/>
        </w:trPr>
        <w:tc>
          <w:tcPr>
            <w:tcW w:w="1075" w:type="dxa"/>
            <w:vAlign w:val="center"/>
          </w:tcPr>
          <w:p w14:paraId="1BBCC4A7" w14:textId="77777777" w:rsidR="002B1DDA" w:rsidRPr="00154994" w:rsidRDefault="002B1DDA" w:rsidP="001D2CEB">
            <w:pPr>
              <w:jc w:val="center"/>
              <w:rPr>
                <w:kern w:val="0"/>
                <w:sz w:val="18"/>
                <w:szCs w:val="18"/>
              </w:rPr>
            </w:pPr>
            <w:r w:rsidRPr="00154994">
              <w:rPr>
                <w:kern w:val="0"/>
                <w:sz w:val="18"/>
                <w:szCs w:val="18"/>
              </w:rPr>
              <w:t>34:14</w:t>
            </w:r>
          </w:p>
        </w:tc>
        <w:tc>
          <w:tcPr>
            <w:tcW w:w="1080" w:type="dxa"/>
            <w:vAlign w:val="center"/>
          </w:tcPr>
          <w:p w14:paraId="33D0F32A" w14:textId="77777777" w:rsidR="002B1DDA" w:rsidRPr="00154994" w:rsidRDefault="002B1DDA" w:rsidP="001D2CEB">
            <w:pPr>
              <w:jc w:val="center"/>
              <w:rPr>
                <w:kern w:val="0"/>
                <w:sz w:val="18"/>
                <w:szCs w:val="18"/>
              </w:rPr>
            </w:pPr>
            <w:r w:rsidRPr="00154994">
              <w:rPr>
                <w:kern w:val="0"/>
                <w:sz w:val="18"/>
                <w:szCs w:val="18"/>
              </w:rPr>
              <w:t>01/15/20</w:t>
            </w:r>
          </w:p>
        </w:tc>
        <w:tc>
          <w:tcPr>
            <w:tcW w:w="1080" w:type="dxa"/>
            <w:tcBorders>
              <w:right w:val="single" w:sz="4" w:space="0" w:color="auto"/>
            </w:tcBorders>
            <w:vAlign w:val="center"/>
          </w:tcPr>
          <w:p w14:paraId="720D6A72" w14:textId="77777777" w:rsidR="002B1DDA" w:rsidRPr="00154994" w:rsidRDefault="002B1DDA" w:rsidP="001D2CEB">
            <w:pPr>
              <w:jc w:val="center"/>
              <w:rPr>
                <w:kern w:val="0"/>
                <w:sz w:val="18"/>
                <w:szCs w:val="18"/>
              </w:rPr>
            </w:pPr>
            <w:r w:rsidRPr="00154994">
              <w:rPr>
                <w:kern w:val="0"/>
                <w:sz w:val="18"/>
                <w:szCs w:val="18"/>
              </w:rPr>
              <w:t>12/19/19</w:t>
            </w:r>
          </w:p>
        </w:tc>
        <w:tc>
          <w:tcPr>
            <w:tcW w:w="1350" w:type="dxa"/>
            <w:tcBorders>
              <w:top w:val="single" w:sz="4" w:space="0" w:color="auto"/>
              <w:left w:val="single" w:sz="4" w:space="0" w:color="auto"/>
              <w:bottom w:val="single" w:sz="4" w:space="0" w:color="auto"/>
              <w:right w:val="single" w:sz="4" w:space="0" w:color="auto"/>
            </w:tcBorders>
            <w:vAlign w:val="center"/>
          </w:tcPr>
          <w:p w14:paraId="07B98F9A" w14:textId="77777777" w:rsidR="002B1DDA" w:rsidRPr="00154994" w:rsidRDefault="002B1DDA" w:rsidP="001D2CEB">
            <w:pPr>
              <w:jc w:val="center"/>
              <w:rPr>
                <w:kern w:val="0"/>
                <w:sz w:val="18"/>
                <w:szCs w:val="18"/>
              </w:rPr>
            </w:pPr>
            <w:r w:rsidRPr="00154994">
              <w:rPr>
                <w:kern w:val="0"/>
                <w:sz w:val="18"/>
                <w:szCs w:val="18"/>
              </w:rPr>
              <w:t>01/30/20</w:t>
            </w:r>
          </w:p>
        </w:tc>
        <w:tc>
          <w:tcPr>
            <w:tcW w:w="1440" w:type="dxa"/>
            <w:tcBorders>
              <w:left w:val="single" w:sz="4" w:space="0" w:color="auto"/>
            </w:tcBorders>
            <w:vAlign w:val="center"/>
          </w:tcPr>
          <w:p w14:paraId="74C6C7E8" w14:textId="77777777" w:rsidR="002B1DDA" w:rsidRPr="00154994" w:rsidRDefault="002B1DDA" w:rsidP="001D2CEB">
            <w:pPr>
              <w:jc w:val="center"/>
              <w:rPr>
                <w:kern w:val="0"/>
                <w:sz w:val="18"/>
                <w:szCs w:val="18"/>
              </w:rPr>
            </w:pPr>
            <w:r w:rsidRPr="00154994">
              <w:rPr>
                <w:kern w:val="0"/>
                <w:sz w:val="18"/>
                <w:szCs w:val="18"/>
              </w:rPr>
              <w:t>03/16/20</w:t>
            </w:r>
          </w:p>
        </w:tc>
        <w:tc>
          <w:tcPr>
            <w:tcW w:w="1710" w:type="dxa"/>
            <w:vAlign w:val="center"/>
          </w:tcPr>
          <w:p w14:paraId="08EFFBA2" w14:textId="77777777" w:rsidR="002B1DDA" w:rsidRPr="00154994" w:rsidRDefault="002B1DDA" w:rsidP="001D2CEB">
            <w:pPr>
              <w:jc w:val="center"/>
              <w:rPr>
                <w:kern w:val="0"/>
                <w:sz w:val="18"/>
                <w:szCs w:val="18"/>
              </w:rPr>
            </w:pPr>
            <w:r w:rsidRPr="00154994">
              <w:rPr>
                <w:kern w:val="0"/>
                <w:sz w:val="18"/>
                <w:szCs w:val="18"/>
              </w:rPr>
              <w:t>03/20/20</w:t>
            </w:r>
          </w:p>
        </w:tc>
        <w:tc>
          <w:tcPr>
            <w:tcW w:w="1080" w:type="dxa"/>
            <w:vAlign w:val="center"/>
          </w:tcPr>
          <w:p w14:paraId="79951C23" w14:textId="77777777" w:rsidR="002B1DDA" w:rsidRPr="00154994" w:rsidRDefault="002B1DDA" w:rsidP="001D2CEB">
            <w:pPr>
              <w:jc w:val="center"/>
              <w:rPr>
                <w:kern w:val="0"/>
                <w:sz w:val="18"/>
                <w:szCs w:val="18"/>
              </w:rPr>
            </w:pPr>
            <w:r w:rsidRPr="00154994">
              <w:rPr>
                <w:kern w:val="0"/>
                <w:sz w:val="18"/>
                <w:szCs w:val="18"/>
              </w:rPr>
              <w:t>04/16/20</w:t>
            </w:r>
          </w:p>
        </w:tc>
        <w:tc>
          <w:tcPr>
            <w:tcW w:w="1440" w:type="dxa"/>
            <w:vAlign w:val="center"/>
          </w:tcPr>
          <w:p w14:paraId="686563F2" w14:textId="77777777" w:rsidR="002B1DDA" w:rsidRPr="00154994" w:rsidRDefault="002B1DDA" w:rsidP="001D2CEB">
            <w:pPr>
              <w:jc w:val="center"/>
              <w:rPr>
                <w:kern w:val="0"/>
                <w:sz w:val="18"/>
                <w:szCs w:val="18"/>
              </w:rPr>
            </w:pPr>
            <w:r w:rsidRPr="00154994">
              <w:rPr>
                <w:kern w:val="0"/>
                <w:sz w:val="18"/>
                <w:szCs w:val="18"/>
              </w:rPr>
              <w:t>05/01/20</w:t>
            </w:r>
          </w:p>
        </w:tc>
        <w:tc>
          <w:tcPr>
            <w:tcW w:w="1800" w:type="dxa"/>
            <w:vAlign w:val="center"/>
          </w:tcPr>
          <w:p w14:paraId="14B83739" w14:textId="77777777" w:rsidR="002B1DDA" w:rsidRPr="00154994" w:rsidRDefault="002B1DDA" w:rsidP="001D2CEB">
            <w:pPr>
              <w:jc w:val="center"/>
              <w:rPr>
                <w:kern w:val="0"/>
                <w:sz w:val="18"/>
                <w:szCs w:val="18"/>
              </w:rPr>
            </w:pPr>
            <w:r w:rsidRPr="00154994">
              <w:rPr>
                <w:kern w:val="0"/>
                <w:sz w:val="18"/>
                <w:szCs w:val="18"/>
              </w:rPr>
              <w:t>10/11/20</w:t>
            </w:r>
          </w:p>
        </w:tc>
      </w:tr>
      <w:tr w:rsidR="002B1DDA" w:rsidRPr="00154994" w14:paraId="7106F9EE" w14:textId="77777777" w:rsidTr="001D2CEB">
        <w:trPr>
          <w:trHeight w:val="288"/>
          <w:jc w:val="center"/>
        </w:trPr>
        <w:tc>
          <w:tcPr>
            <w:tcW w:w="1075" w:type="dxa"/>
            <w:vAlign w:val="center"/>
          </w:tcPr>
          <w:p w14:paraId="69349B1D" w14:textId="77777777" w:rsidR="002B1DDA" w:rsidRPr="00154994" w:rsidRDefault="002B1DDA" w:rsidP="001D2CEB">
            <w:pPr>
              <w:jc w:val="center"/>
              <w:rPr>
                <w:kern w:val="0"/>
                <w:sz w:val="18"/>
                <w:szCs w:val="18"/>
              </w:rPr>
            </w:pPr>
            <w:r w:rsidRPr="00154994">
              <w:rPr>
                <w:kern w:val="0"/>
                <w:sz w:val="18"/>
                <w:szCs w:val="18"/>
              </w:rPr>
              <w:t>34:15</w:t>
            </w:r>
          </w:p>
        </w:tc>
        <w:tc>
          <w:tcPr>
            <w:tcW w:w="1080" w:type="dxa"/>
            <w:vAlign w:val="center"/>
          </w:tcPr>
          <w:p w14:paraId="222F88B8" w14:textId="77777777" w:rsidR="002B1DDA" w:rsidRPr="00154994" w:rsidRDefault="002B1DDA" w:rsidP="001D2CEB">
            <w:pPr>
              <w:jc w:val="center"/>
              <w:rPr>
                <w:kern w:val="0"/>
                <w:sz w:val="18"/>
                <w:szCs w:val="18"/>
              </w:rPr>
            </w:pPr>
            <w:r w:rsidRPr="00154994">
              <w:rPr>
                <w:kern w:val="0"/>
                <w:sz w:val="18"/>
                <w:szCs w:val="18"/>
              </w:rPr>
              <w:t>02/03/20</w:t>
            </w:r>
          </w:p>
        </w:tc>
        <w:tc>
          <w:tcPr>
            <w:tcW w:w="1080" w:type="dxa"/>
            <w:tcBorders>
              <w:right w:val="single" w:sz="4" w:space="0" w:color="auto"/>
            </w:tcBorders>
            <w:vAlign w:val="center"/>
          </w:tcPr>
          <w:p w14:paraId="149CC4E0" w14:textId="77777777" w:rsidR="002B1DDA" w:rsidRPr="00154994" w:rsidRDefault="002B1DDA" w:rsidP="001D2CEB">
            <w:pPr>
              <w:jc w:val="center"/>
              <w:rPr>
                <w:kern w:val="0"/>
                <w:sz w:val="18"/>
                <w:szCs w:val="18"/>
              </w:rPr>
            </w:pPr>
            <w:r w:rsidRPr="00154994">
              <w:rPr>
                <w:kern w:val="0"/>
                <w:sz w:val="18"/>
                <w:szCs w:val="18"/>
              </w:rPr>
              <w:t>01/10/20</w:t>
            </w:r>
          </w:p>
        </w:tc>
        <w:tc>
          <w:tcPr>
            <w:tcW w:w="1350" w:type="dxa"/>
            <w:tcBorders>
              <w:top w:val="single" w:sz="4" w:space="0" w:color="auto"/>
              <w:left w:val="single" w:sz="4" w:space="0" w:color="auto"/>
              <w:bottom w:val="single" w:sz="4" w:space="0" w:color="auto"/>
              <w:right w:val="single" w:sz="4" w:space="0" w:color="auto"/>
            </w:tcBorders>
            <w:vAlign w:val="center"/>
          </w:tcPr>
          <w:p w14:paraId="5D398A88" w14:textId="77777777" w:rsidR="002B1DDA" w:rsidRPr="00154994" w:rsidRDefault="002B1DDA" w:rsidP="001D2CEB">
            <w:pPr>
              <w:jc w:val="center"/>
              <w:rPr>
                <w:kern w:val="0"/>
                <w:sz w:val="18"/>
                <w:szCs w:val="18"/>
              </w:rPr>
            </w:pPr>
            <w:r w:rsidRPr="00154994">
              <w:rPr>
                <w:kern w:val="0"/>
                <w:sz w:val="18"/>
                <w:szCs w:val="18"/>
              </w:rPr>
              <w:t>02/18/20</w:t>
            </w:r>
          </w:p>
        </w:tc>
        <w:tc>
          <w:tcPr>
            <w:tcW w:w="1440" w:type="dxa"/>
            <w:tcBorders>
              <w:left w:val="single" w:sz="4" w:space="0" w:color="auto"/>
            </w:tcBorders>
            <w:vAlign w:val="center"/>
          </w:tcPr>
          <w:p w14:paraId="0384765A" w14:textId="77777777" w:rsidR="002B1DDA" w:rsidRPr="00154994" w:rsidRDefault="002B1DDA" w:rsidP="001D2CEB">
            <w:pPr>
              <w:jc w:val="center"/>
              <w:rPr>
                <w:kern w:val="0"/>
                <w:sz w:val="18"/>
                <w:szCs w:val="18"/>
              </w:rPr>
            </w:pPr>
            <w:r w:rsidRPr="00154994">
              <w:rPr>
                <w:kern w:val="0"/>
                <w:sz w:val="18"/>
                <w:szCs w:val="18"/>
              </w:rPr>
              <w:t>04/03/20</w:t>
            </w:r>
          </w:p>
        </w:tc>
        <w:tc>
          <w:tcPr>
            <w:tcW w:w="1710" w:type="dxa"/>
            <w:vAlign w:val="center"/>
          </w:tcPr>
          <w:p w14:paraId="0BBD003D" w14:textId="77777777" w:rsidR="002B1DDA" w:rsidRPr="00154994" w:rsidRDefault="002B1DDA" w:rsidP="001D2CEB">
            <w:pPr>
              <w:jc w:val="center"/>
              <w:rPr>
                <w:kern w:val="0"/>
                <w:sz w:val="18"/>
                <w:szCs w:val="18"/>
              </w:rPr>
            </w:pPr>
            <w:r w:rsidRPr="00154994">
              <w:rPr>
                <w:kern w:val="0"/>
                <w:sz w:val="18"/>
                <w:szCs w:val="18"/>
              </w:rPr>
              <w:t>04/20/20</w:t>
            </w:r>
          </w:p>
        </w:tc>
        <w:tc>
          <w:tcPr>
            <w:tcW w:w="1080" w:type="dxa"/>
            <w:vAlign w:val="center"/>
          </w:tcPr>
          <w:p w14:paraId="6CBED7B5" w14:textId="77777777" w:rsidR="002B1DDA" w:rsidRPr="00154994" w:rsidRDefault="002B1DDA" w:rsidP="001D2CEB">
            <w:pPr>
              <w:jc w:val="center"/>
              <w:rPr>
                <w:kern w:val="0"/>
                <w:sz w:val="18"/>
                <w:szCs w:val="18"/>
              </w:rPr>
            </w:pPr>
            <w:r w:rsidRPr="00154994">
              <w:rPr>
                <w:kern w:val="0"/>
                <w:sz w:val="18"/>
                <w:szCs w:val="18"/>
              </w:rPr>
              <w:t>05/21/20</w:t>
            </w:r>
          </w:p>
        </w:tc>
        <w:tc>
          <w:tcPr>
            <w:tcW w:w="1440" w:type="dxa"/>
            <w:vAlign w:val="center"/>
          </w:tcPr>
          <w:p w14:paraId="706639C1" w14:textId="77777777" w:rsidR="002B1DDA" w:rsidRPr="00154994" w:rsidRDefault="002B1DDA" w:rsidP="001D2CEB">
            <w:pPr>
              <w:jc w:val="center"/>
              <w:rPr>
                <w:kern w:val="0"/>
                <w:sz w:val="18"/>
                <w:szCs w:val="18"/>
              </w:rPr>
            </w:pPr>
            <w:r w:rsidRPr="00154994">
              <w:rPr>
                <w:kern w:val="0"/>
                <w:sz w:val="18"/>
                <w:szCs w:val="18"/>
              </w:rPr>
              <w:t>06/01/20</w:t>
            </w:r>
          </w:p>
        </w:tc>
        <w:tc>
          <w:tcPr>
            <w:tcW w:w="1800" w:type="dxa"/>
            <w:vAlign w:val="center"/>
          </w:tcPr>
          <w:p w14:paraId="1CC29CD3" w14:textId="77777777" w:rsidR="002B1DDA" w:rsidRPr="00154994" w:rsidRDefault="002B1DDA" w:rsidP="001D2CEB">
            <w:pPr>
              <w:jc w:val="center"/>
              <w:rPr>
                <w:kern w:val="0"/>
                <w:sz w:val="18"/>
                <w:szCs w:val="18"/>
              </w:rPr>
            </w:pPr>
            <w:r w:rsidRPr="00154994">
              <w:rPr>
                <w:kern w:val="0"/>
                <w:sz w:val="18"/>
                <w:szCs w:val="18"/>
              </w:rPr>
              <w:t>10/30/20</w:t>
            </w:r>
          </w:p>
        </w:tc>
      </w:tr>
      <w:tr w:rsidR="002B1DDA" w:rsidRPr="00154994" w14:paraId="771D7CD3" w14:textId="77777777" w:rsidTr="001D2CEB">
        <w:trPr>
          <w:trHeight w:val="288"/>
          <w:jc w:val="center"/>
        </w:trPr>
        <w:tc>
          <w:tcPr>
            <w:tcW w:w="1075" w:type="dxa"/>
            <w:vAlign w:val="center"/>
          </w:tcPr>
          <w:p w14:paraId="33AF10E7" w14:textId="77777777" w:rsidR="002B1DDA" w:rsidRPr="00154994" w:rsidRDefault="002B1DDA" w:rsidP="001D2CEB">
            <w:pPr>
              <w:jc w:val="center"/>
              <w:rPr>
                <w:kern w:val="0"/>
                <w:sz w:val="18"/>
                <w:szCs w:val="18"/>
              </w:rPr>
            </w:pPr>
            <w:r w:rsidRPr="00154994">
              <w:rPr>
                <w:kern w:val="0"/>
                <w:sz w:val="18"/>
                <w:szCs w:val="18"/>
              </w:rPr>
              <w:t>34:16</w:t>
            </w:r>
          </w:p>
        </w:tc>
        <w:tc>
          <w:tcPr>
            <w:tcW w:w="1080" w:type="dxa"/>
            <w:vAlign w:val="center"/>
          </w:tcPr>
          <w:p w14:paraId="5E28480E" w14:textId="77777777" w:rsidR="002B1DDA" w:rsidRPr="00154994" w:rsidRDefault="002B1DDA" w:rsidP="001D2CEB">
            <w:pPr>
              <w:jc w:val="center"/>
              <w:rPr>
                <w:kern w:val="0"/>
                <w:sz w:val="18"/>
                <w:szCs w:val="18"/>
              </w:rPr>
            </w:pPr>
            <w:r w:rsidRPr="00154994">
              <w:rPr>
                <w:kern w:val="0"/>
                <w:sz w:val="18"/>
                <w:szCs w:val="18"/>
              </w:rPr>
              <w:t>02/17/20</w:t>
            </w:r>
          </w:p>
        </w:tc>
        <w:tc>
          <w:tcPr>
            <w:tcW w:w="1080" w:type="dxa"/>
            <w:tcBorders>
              <w:right w:val="single" w:sz="4" w:space="0" w:color="auto"/>
            </w:tcBorders>
            <w:vAlign w:val="center"/>
          </w:tcPr>
          <w:p w14:paraId="4A612EA1" w14:textId="77777777" w:rsidR="002B1DDA" w:rsidRPr="00154994" w:rsidRDefault="002B1DDA" w:rsidP="001D2CEB">
            <w:pPr>
              <w:jc w:val="center"/>
              <w:rPr>
                <w:kern w:val="0"/>
                <w:sz w:val="18"/>
                <w:szCs w:val="18"/>
              </w:rPr>
            </w:pPr>
            <w:r w:rsidRPr="00154994">
              <w:rPr>
                <w:kern w:val="0"/>
                <w:sz w:val="18"/>
                <w:szCs w:val="18"/>
              </w:rPr>
              <w:t>01/27/20</w:t>
            </w:r>
          </w:p>
        </w:tc>
        <w:tc>
          <w:tcPr>
            <w:tcW w:w="1350" w:type="dxa"/>
            <w:tcBorders>
              <w:top w:val="single" w:sz="4" w:space="0" w:color="auto"/>
              <w:left w:val="single" w:sz="4" w:space="0" w:color="auto"/>
              <w:bottom w:val="single" w:sz="4" w:space="0" w:color="auto"/>
              <w:right w:val="single" w:sz="4" w:space="0" w:color="auto"/>
            </w:tcBorders>
            <w:vAlign w:val="center"/>
          </w:tcPr>
          <w:p w14:paraId="0D46C5C3" w14:textId="77777777" w:rsidR="002B1DDA" w:rsidRPr="00154994" w:rsidRDefault="002B1DDA" w:rsidP="001D2CEB">
            <w:pPr>
              <w:jc w:val="center"/>
              <w:rPr>
                <w:kern w:val="0"/>
                <w:sz w:val="18"/>
                <w:szCs w:val="18"/>
              </w:rPr>
            </w:pPr>
            <w:r w:rsidRPr="00154994">
              <w:rPr>
                <w:kern w:val="0"/>
                <w:sz w:val="18"/>
                <w:szCs w:val="18"/>
              </w:rPr>
              <w:t>03/03/20</w:t>
            </w:r>
          </w:p>
        </w:tc>
        <w:tc>
          <w:tcPr>
            <w:tcW w:w="1440" w:type="dxa"/>
            <w:tcBorders>
              <w:left w:val="single" w:sz="4" w:space="0" w:color="auto"/>
            </w:tcBorders>
            <w:vAlign w:val="center"/>
          </w:tcPr>
          <w:p w14:paraId="6F1D7333" w14:textId="77777777" w:rsidR="002B1DDA" w:rsidRPr="00154994" w:rsidRDefault="002B1DDA" w:rsidP="001D2CEB">
            <w:pPr>
              <w:jc w:val="center"/>
              <w:rPr>
                <w:kern w:val="0"/>
                <w:sz w:val="18"/>
                <w:szCs w:val="18"/>
              </w:rPr>
            </w:pPr>
            <w:r w:rsidRPr="00154994">
              <w:rPr>
                <w:kern w:val="0"/>
                <w:sz w:val="18"/>
                <w:szCs w:val="18"/>
              </w:rPr>
              <w:t>04/17/20</w:t>
            </w:r>
          </w:p>
        </w:tc>
        <w:tc>
          <w:tcPr>
            <w:tcW w:w="1710" w:type="dxa"/>
            <w:vAlign w:val="center"/>
          </w:tcPr>
          <w:p w14:paraId="57D94F8E" w14:textId="77777777" w:rsidR="002B1DDA" w:rsidRPr="00154994" w:rsidRDefault="002B1DDA" w:rsidP="001D2CEB">
            <w:pPr>
              <w:jc w:val="center"/>
              <w:rPr>
                <w:kern w:val="0"/>
                <w:sz w:val="18"/>
                <w:szCs w:val="18"/>
              </w:rPr>
            </w:pPr>
            <w:r w:rsidRPr="00154994">
              <w:rPr>
                <w:kern w:val="0"/>
                <w:sz w:val="18"/>
                <w:szCs w:val="18"/>
              </w:rPr>
              <w:t>04/20/20</w:t>
            </w:r>
          </w:p>
        </w:tc>
        <w:tc>
          <w:tcPr>
            <w:tcW w:w="1080" w:type="dxa"/>
            <w:vAlign w:val="center"/>
          </w:tcPr>
          <w:p w14:paraId="46CDE74F" w14:textId="77777777" w:rsidR="002B1DDA" w:rsidRPr="00154994" w:rsidRDefault="002B1DDA" w:rsidP="001D2CEB">
            <w:pPr>
              <w:jc w:val="center"/>
              <w:rPr>
                <w:kern w:val="0"/>
                <w:sz w:val="18"/>
                <w:szCs w:val="18"/>
              </w:rPr>
            </w:pPr>
            <w:r w:rsidRPr="00154994">
              <w:rPr>
                <w:kern w:val="0"/>
                <w:sz w:val="18"/>
                <w:szCs w:val="18"/>
              </w:rPr>
              <w:t>05/21/20</w:t>
            </w:r>
          </w:p>
        </w:tc>
        <w:tc>
          <w:tcPr>
            <w:tcW w:w="1440" w:type="dxa"/>
            <w:vAlign w:val="center"/>
          </w:tcPr>
          <w:p w14:paraId="642F8AAD" w14:textId="77777777" w:rsidR="002B1DDA" w:rsidRPr="00154994" w:rsidRDefault="002B1DDA" w:rsidP="001D2CEB">
            <w:pPr>
              <w:jc w:val="center"/>
              <w:rPr>
                <w:kern w:val="0"/>
                <w:sz w:val="18"/>
                <w:szCs w:val="18"/>
              </w:rPr>
            </w:pPr>
            <w:r w:rsidRPr="00154994">
              <w:rPr>
                <w:kern w:val="0"/>
                <w:sz w:val="18"/>
                <w:szCs w:val="18"/>
              </w:rPr>
              <w:t>06/01/20</w:t>
            </w:r>
          </w:p>
        </w:tc>
        <w:tc>
          <w:tcPr>
            <w:tcW w:w="1800" w:type="dxa"/>
            <w:vAlign w:val="center"/>
          </w:tcPr>
          <w:p w14:paraId="0EE80BE8" w14:textId="77777777" w:rsidR="002B1DDA" w:rsidRPr="00154994" w:rsidRDefault="002B1DDA" w:rsidP="001D2CEB">
            <w:pPr>
              <w:jc w:val="center"/>
              <w:rPr>
                <w:kern w:val="0"/>
                <w:sz w:val="18"/>
                <w:szCs w:val="18"/>
              </w:rPr>
            </w:pPr>
            <w:r w:rsidRPr="00154994">
              <w:rPr>
                <w:kern w:val="0"/>
                <w:sz w:val="18"/>
                <w:szCs w:val="18"/>
              </w:rPr>
              <w:t>11/13/20</w:t>
            </w:r>
          </w:p>
        </w:tc>
      </w:tr>
      <w:tr w:rsidR="002B1DDA" w:rsidRPr="00154994" w14:paraId="61F871D9" w14:textId="77777777" w:rsidTr="001D2CEB">
        <w:trPr>
          <w:trHeight w:val="288"/>
          <w:jc w:val="center"/>
        </w:trPr>
        <w:tc>
          <w:tcPr>
            <w:tcW w:w="1075" w:type="dxa"/>
            <w:vAlign w:val="center"/>
          </w:tcPr>
          <w:p w14:paraId="414A97AC" w14:textId="77777777" w:rsidR="002B1DDA" w:rsidRPr="00154994" w:rsidRDefault="002B1DDA" w:rsidP="001D2CEB">
            <w:pPr>
              <w:jc w:val="center"/>
              <w:rPr>
                <w:kern w:val="0"/>
                <w:sz w:val="18"/>
                <w:szCs w:val="18"/>
              </w:rPr>
            </w:pPr>
            <w:r w:rsidRPr="00154994">
              <w:rPr>
                <w:kern w:val="0"/>
                <w:sz w:val="18"/>
                <w:szCs w:val="18"/>
              </w:rPr>
              <w:t>34:17</w:t>
            </w:r>
          </w:p>
        </w:tc>
        <w:tc>
          <w:tcPr>
            <w:tcW w:w="1080" w:type="dxa"/>
            <w:vAlign w:val="center"/>
          </w:tcPr>
          <w:p w14:paraId="65A98669" w14:textId="77777777" w:rsidR="002B1DDA" w:rsidRPr="00154994" w:rsidRDefault="002B1DDA" w:rsidP="001D2CEB">
            <w:pPr>
              <w:jc w:val="center"/>
              <w:rPr>
                <w:kern w:val="0"/>
                <w:sz w:val="18"/>
                <w:szCs w:val="18"/>
              </w:rPr>
            </w:pPr>
            <w:r w:rsidRPr="00154994">
              <w:rPr>
                <w:kern w:val="0"/>
                <w:sz w:val="18"/>
                <w:szCs w:val="18"/>
              </w:rPr>
              <w:t>03/02/20</w:t>
            </w:r>
          </w:p>
        </w:tc>
        <w:tc>
          <w:tcPr>
            <w:tcW w:w="1080" w:type="dxa"/>
            <w:tcBorders>
              <w:right w:val="single" w:sz="4" w:space="0" w:color="auto"/>
            </w:tcBorders>
            <w:vAlign w:val="center"/>
          </w:tcPr>
          <w:p w14:paraId="33965DAF" w14:textId="77777777" w:rsidR="002B1DDA" w:rsidRPr="00154994" w:rsidRDefault="002B1DDA" w:rsidP="001D2CEB">
            <w:pPr>
              <w:jc w:val="center"/>
              <w:rPr>
                <w:kern w:val="0"/>
                <w:sz w:val="18"/>
                <w:szCs w:val="18"/>
              </w:rPr>
            </w:pPr>
            <w:r w:rsidRPr="00154994">
              <w:rPr>
                <w:kern w:val="0"/>
                <w:sz w:val="18"/>
                <w:szCs w:val="18"/>
              </w:rPr>
              <w:t>02/10/20</w:t>
            </w:r>
          </w:p>
        </w:tc>
        <w:tc>
          <w:tcPr>
            <w:tcW w:w="1350" w:type="dxa"/>
            <w:tcBorders>
              <w:top w:val="single" w:sz="4" w:space="0" w:color="auto"/>
              <w:left w:val="single" w:sz="4" w:space="0" w:color="auto"/>
              <w:bottom w:val="single" w:sz="4" w:space="0" w:color="auto"/>
              <w:right w:val="single" w:sz="4" w:space="0" w:color="auto"/>
            </w:tcBorders>
            <w:vAlign w:val="center"/>
          </w:tcPr>
          <w:p w14:paraId="2A94DFDD" w14:textId="77777777" w:rsidR="002B1DDA" w:rsidRPr="00154994" w:rsidRDefault="002B1DDA" w:rsidP="001D2CEB">
            <w:pPr>
              <w:jc w:val="center"/>
              <w:rPr>
                <w:kern w:val="0"/>
                <w:sz w:val="18"/>
                <w:szCs w:val="18"/>
              </w:rPr>
            </w:pPr>
            <w:r w:rsidRPr="00154994">
              <w:rPr>
                <w:kern w:val="0"/>
                <w:sz w:val="18"/>
                <w:szCs w:val="18"/>
              </w:rPr>
              <w:t>03/17/20</w:t>
            </w:r>
          </w:p>
        </w:tc>
        <w:tc>
          <w:tcPr>
            <w:tcW w:w="1440" w:type="dxa"/>
            <w:tcBorders>
              <w:left w:val="single" w:sz="4" w:space="0" w:color="auto"/>
            </w:tcBorders>
            <w:vAlign w:val="center"/>
          </w:tcPr>
          <w:p w14:paraId="2C5CDA3B" w14:textId="77777777" w:rsidR="002B1DDA" w:rsidRPr="00154994" w:rsidRDefault="002B1DDA" w:rsidP="001D2CEB">
            <w:pPr>
              <w:jc w:val="center"/>
              <w:rPr>
                <w:kern w:val="0"/>
                <w:sz w:val="18"/>
                <w:szCs w:val="18"/>
              </w:rPr>
            </w:pPr>
            <w:r w:rsidRPr="00154994">
              <w:rPr>
                <w:kern w:val="0"/>
                <w:sz w:val="18"/>
                <w:szCs w:val="18"/>
              </w:rPr>
              <w:t>05/01/20</w:t>
            </w:r>
          </w:p>
        </w:tc>
        <w:tc>
          <w:tcPr>
            <w:tcW w:w="1710" w:type="dxa"/>
            <w:vAlign w:val="center"/>
          </w:tcPr>
          <w:p w14:paraId="012CE513" w14:textId="77777777" w:rsidR="002B1DDA" w:rsidRPr="00154994" w:rsidRDefault="002B1DDA" w:rsidP="001D2CEB">
            <w:pPr>
              <w:jc w:val="center"/>
              <w:rPr>
                <w:kern w:val="0"/>
                <w:sz w:val="18"/>
                <w:szCs w:val="18"/>
              </w:rPr>
            </w:pPr>
            <w:r w:rsidRPr="00154994">
              <w:rPr>
                <w:kern w:val="0"/>
                <w:sz w:val="18"/>
                <w:szCs w:val="18"/>
              </w:rPr>
              <w:t>05/20/20</w:t>
            </w:r>
          </w:p>
        </w:tc>
        <w:tc>
          <w:tcPr>
            <w:tcW w:w="1080" w:type="dxa"/>
            <w:vAlign w:val="center"/>
          </w:tcPr>
          <w:p w14:paraId="325CC300" w14:textId="77777777" w:rsidR="002B1DDA" w:rsidRPr="00154994" w:rsidRDefault="002B1DDA" w:rsidP="001D2CEB">
            <w:pPr>
              <w:jc w:val="center"/>
              <w:rPr>
                <w:kern w:val="0"/>
                <w:sz w:val="18"/>
                <w:szCs w:val="18"/>
              </w:rPr>
            </w:pPr>
            <w:r w:rsidRPr="00154994">
              <w:rPr>
                <w:kern w:val="0"/>
                <w:sz w:val="18"/>
                <w:szCs w:val="18"/>
              </w:rPr>
              <w:t>06/18/20</w:t>
            </w:r>
          </w:p>
        </w:tc>
        <w:tc>
          <w:tcPr>
            <w:tcW w:w="1440" w:type="dxa"/>
            <w:vAlign w:val="center"/>
          </w:tcPr>
          <w:p w14:paraId="2BB19A37" w14:textId="77777777" w:rsidR="002B1DDA" w:rsidRPr="00154994" w:rsidRDefault="002B1DDA" w:rsidP="001D2CEB">
            <w:pPr>
              <w:jc w:val="center"/>
              <w:rPr>
                <w:kern w:val="0"/>
                <w:sz w:val="18"/>
                <w:szCs w:val="18"/>
              </w:rPr>
            </w:pPr>
            <w:r w:rsidRPr="00154994">
              <w:rPr>
                <w:kern w:val="0"/>
                <w:sz w:val="18"/>
                <w:szCs w:val="18"/>
              </w:rPr>
              <w:t>07/01/20</w:t>
            </w:r>
          </w:p>
        </w:tc>
        <w:tc>
          <w:tcPr>
            <w:tcW w:w="1800" w:type="dxa"/>
            <w:vAlign w:val="center"/>
          </w:tcPr>
          <w:p w14:paraId="5775EC56" w14:textId="77777777" w:rsidR="002B1DDA" w:rsidRPr="00154994" w:rsidRDefault="002B1DDA" w:rsidP="001D2CEB">
            <w:pPr>
              <w:jc w:val="center"/>
              <w:rPr>
                <w:kern w:val="0"/>
                <w:sz w:val="18"/>
                <w:szCs w:val="18"/>
              </w:rPr>
            </w:pPr>
            <w:r w:rsidRPr="00154994">
              <w:rPr>
                <w:kern w:val="0"/>
                <w:sz w:val="18"/>
                <w:szCs w:val="18"/>
              </w:rPr>
              <w:t>11/27/20</w:t>
            </w:r>
          </w:p>
        </w:tc>
      </w:tr>
      <w:tr w:rsidR="002B1DDA" w:rsidRPr="00154994" w14:paraId="5C7934E4" w14:textId="77777777" w:rsidTr="001D2CEB">
        <w:trPr>
          <w:trHeight w:val="288"/>
          <w:jc w:val="center"/>
        </w:trPr>
        <w:tc>
          <w:tcPr>
            <w:tcW w:w="1075" w:type="dxa"/>
            <w:vAlign w:val="center"/>
          </w:tcPr>
          <w:p w14:paraId="133488D2" w14:textId="77777777" w:rsidR="002B1DDA" w:rsidRPr="00154994" w:rsidRDefault="002B1DDA" w:rsidP="001D2CEB">
            <w:pPr>
              <w:jc w:val="center"/>
              <w:rPr>
                <w:kern w:val="0"/>
                <w:sz w:val="18"/>
                <w:szCs w:val="18"/>
              </w:rPr>
            </w:pPr>
            <w:r w:rsidRPr="00154994">
              <w:rPr>
                <w:kern w:val="0"/>
                <w:sz w:val="18"/>
                <w:szCs w:val="18"/>
              </w:rPr>
              <w:t>34:18</w:t>
            </w:r>
          </w:p>
        </w:tc>
        <w:tc>
          <w:tcPr>
            <w:tcW w:w="1080" w:type="dxa"/>
            <w:vAlign w:val="center"/>
          </w:tcPr>
          <w:p w14:paraId="6171A4D9" w14:textId="77777777" w:rsidR="002B1DDA" w:rsidRPr="00154994" w:rsidRDefault="002B1DDA" w:rsidP="001D2CEB">
            <w:pPr>
              <w:jc w:val="center"/>
              <w:rPr>
                <w:kern w:val="0"/>
                <w:sz w:val="18"/>
                <w:szCs w:val="18"/>
              </w:rPr>
            </w:pPr>
            <w:r w:rsidRPr="00154994">
              <w:rPr>
                <w:kern w:val="0"/>
                <w:sz w:val="18"/>
                <w:szCs w:val="18"/>
              </w:rPr>
              <w:t>03/16/20</w:t>
            </w:r>
          </w:p>
        </w:tc>
        <w:tc>
          <w:tcPr>
            <w:tcW w:w="1080" w:type="dxa"/>
            <w:tcBorders>
              <w:right w:val="single" w:sz="4" w:space="0" w:color="auto"/>
            </w:tcBorders>
            <w:vAlign w:val="center"/>
          </w:tcPr>
          <w:p w14:paraId="5FCDFA63" w14:textId="77777777" w:rsidR="002B1DDA" w:rsidRPr="00154994" w:rsidRDefault="002B1DDA" w:rsidP="001D2CEB">
            <w:pPr>
              <w:jc w:val="center"/>
              <w:rPr>
                <w:kern w:val="0"/>
                <w:sz w:val="18"/>
                <w:szCs w:val="18"/>
              </w:rPr>
            </w:pPr>
            <w:r w:rsidRPr="00154994">
              <w:rPr>
                <w:kern w:val="0"/>
                <w:sz w:val="18"/>
                <w:szCs w:val="18"/>
              </w:rPr>
              <w:t>02/24/20</w:t>
            </w:r>
          </w:p>
        </w:tc>
        <w:tc>
          <w:tcPr>
            <w:tcW w:w="1350" w:type="dxa"/>
            <w:tcBorders>
              <w:top w:val="single" w:sz="4" w:space="0" w:color="auto"/>
              <w:left w:val="single" w:sz="4" w:space="0" w:color="auto"/>
              <w:bottom w:val="single" w:sz="4" w:space="0" w:color="auto"/>
              <w:right w:val="single" w:sz="4" w:space="0" w:color="auto"/>
            </w:tcBorders>
            <w:vAlign w:val="center"/>
          </w:tcPr>
          <w:p w14:paraId="7C0B94D5" w14:textId="77777777" w:rsidR="002B1DDA" w:rsidRPr="00154994" w:rsidRDefault="002B1DDA" w:rsidP="001D2CEB">
            <w:pPr>
              <w:jc w:val="center"/>
              <w:rPr>
                <w:kern w:val="0"/>
                <w:sz w:val="18"/>
                <w:szCs w:val="18"/>
              </w:rPr>
            </w:pPr>
            <w:r w:rsidRPr="00154994">
              <w:rPr>
                <w:kern w:val="0"/>
                <w:sz w:val="18"/>
                <w:szCs w:val="18"/>
              </w:rPr>
              <w:t>03/31/20</w:t>
            </w:r>
          </w:p>
        </w:tc>
        <w:tc>
          <w:tcPr>
            <w:tcW w:w="1440" w:type="dxa"/>
            <w:tcBorders>
              <w:left w:val="single" w:sz="4" w:space="0" w:color="auto"/>
            </w:tcBorders>
            <w:vAlign w:val="center"/>
          </w:tcPr>
          <w:p w14:paraId="6359ACA8" w14:textId="77777777" w:rsidR="002B1DDA" w:rsidRPr="00154994" w:rsidRDefault="002B1DDA" w:rsidP="001D2CEB">
            <w:pPr>
              <w:jc w:val="center"/>
              <w:rPr>
                <w:kern w:val="0"/>
                <w:sz w:val="18"/>
                <w:szCs w:val="18"/>
              </w:rPr>
            </w:pPr>
            <w:r w:rsidRPr="00154994">
              <w:rPr>
                <w:kern w:val="0"/>
                <w:sz w:val="18"/>
                <w:szCs w:val="18"/>
              </w:rPr>
              <w:t>05/15/20</w:t>
            </w:r>
          </w:p>
        </w:tc>
        <w:tc>
          <w:tcPr>
            <w:tcW w:w="1710" w:type="dxa"/>
            <w:vAlign w:val="center"/>
          </w:tcPr>
          <w:p w14:paraId="02419DD9" w14:textId="77777777" w:rsidR="002B1DDA" w:rsidRPr="00154994" w:rsidRDefault="002B1DDA" w:rsidP="001D2CEB">
            <w:pPr>
              <w:jc w:val="center"/>
              <w:rPr>
                <w:kern w:val="0"/>
                <w:sz w:val="18"/>
                <w:szCs w:val="18"/>
              </w:rPr>
            </w:pPr>
            <w:r w:rsidRPr="00154994">
              <w:rPr>
                <w:kern w:val="0"/>
                <w:sz w:val="18"/>
                <w:szCs w:val="18"/>
              </w:rPr>
              <w:t>05/20/20</w:t>
            </w:r>
          </w:p>
        </w:tc>
        <w:tc>
          <w:tcPr>
            <w:tcW w:w="1080" w:type="dxa"/>
            <w:vAlign w:val="center"/>
          </w:tcPr>
          <w:p w14:paraId="2A514821" w14:textId="77777777" w:rsidR="002B1DDA" w:rsidRPr="00154994" w:rsidRDefault="002B1DDA" w:rsidP="001D2CEB">
            <w:pPr>
              <w:jc w:val="center"/>
              <w:rPr>
                <w:kern w:val="0"/>
                <w:sz w:val="18"/>
                <w:szCs w:val="18"/>
              </w:rPr>
            </w:pPr>
            <w:r w:rsidRPr="00154994">
              <w:rPr>
                <w:kern w:val="0"/>
                <w:sz w:val="18"/>
                <w:szCs w:val="18"/>
              </w:rPr>
              <w:t>06/18/20</w:t>
            </w:r>
          </w:p>
        </w:tc>
        <w:tc>
          <w:tcPr>
            <w:tcW w:w="1440" w:type="dxa"/>
            <w:vAlign w:val="center"/>
          </w:tcPr>
          <w:p w14:paraId="0B48D99C" w14:textId="77777777" w:rsidR="002B1DDA" w:rsidRPr="00154994" w:rsidRDefault="002B1DDA" w:rsidP="001D2CEB">
            <w:pPr>
              <w:jc w:val="center"/>
              <w:rPr>
                <w:kern w:val="0"/>
                <w:sz w:val="18"/>
                <w:szCs w:val="18"/>
              </w:rPr>
            </w:pPr>
            <w:r w:rsidRPr="00154994">
              <w:rPr>
                <w:kern w:val="0"/>
                <w:sz w:val="18"/>
                <w:szCs w:val="18"/>
              </w:rPr>
              <w:t>07/01/20</w:t>
            </w:r>
          </w:p>
        </w:tc>
        <w:tc>
          <w:tcPr>
            <w:tcW w:w="1800" w:type="dxa"/>
            <w:vAlign w:val="center"/>
          </w:tcPr>
          <w:p w14:paraId="04D0E1F5" w14:textId="77777777" w:rsidR="002B1DDA" w:rsidRPr="00154994" w:rsidRDefault="002B1DDA" w:rsidP="001D2CEB">
            <w:pPr>
              <w:jc w:val="center"/>
              <w:rPr>
                <w:kern w:val="0"/>
                <w:sz w:val="18"/>
                <w:szCs w:val="18"/>
              </w:rPr>
            </w:pPr>
            <w:r w:rsidRPr="00154994">
              <w:rPr>
                <w:kern w:val="0"/>
                <w:sz w:val="18"/>
                <w:szCs w:val="18"/>
              </w:rPr>
              <w:t>12/11/20</w:t>
            </w:r>
          </w:p>
        </w:tc>
      </w:tr>
      <w:tr w:rsidR="002B1DDA" w:rsidRPr="00154994" w14:paraId="11BD7977" w14:textId="77777777" w:rsidTr="001D2CEB">
        <w:trPr>
          <w:trHeight w:val="288"/>
          <w:jc w:val="center"/>
        </w:trPr>
        <w:tc>
          <w:tcPr>
            <w:tcW w:w="1075" w:type="dxa"/>
            <w:vAlign w:val="center"/>
          </w:tcPr>
          <w:p w14:paraId="30EEF435" w14:textId="77777777" w:rsidR="002B1DDA" w:rsidRPr="00154994" w:rsidRDefault="002B1DDA" w:rsidP="001D2CEB">
            <w:pPr>
              <w:jc w:val="center"/>
              <w:rPr>
                <w:kern w:val="0"/>
                <w:sz w:val="18"/>
                <w:szCs w:val="18"/>
              </w:rPr>
            </w:pPr>
            <w:r w:rsidRPr="00154994">
              <w:rPr>
                <w:kern w:val="0"/>
                <w:sz w:val="18"/>
                <w:szCs w:val="18"/>
              </w:rPr>
              <w:t>34:19</w:t>
            </w:r>
          </w:p>
        </w:tc>
        <w:tc>
          <w:tcPr>
            <w:tcW w:w="1080" w:type="dxa"/>
            <w:vAlign w:val="center"/>
          </w:tcPr>
          <w:p w14:paraId="5A1B65E0" w14:textId="77777777" w:rsidR="002B1DDA" w:rsidRPr="00154994" w:rsidRDefault="002B1DDA" w:rsidP="001D2CEB">
            <w:pPr>
              <w:jc w:val="center"/>
              <w:rPr>
                <w:kern w:val="0"/>
                <w:sz w:val="18"/>
                <w:szCs w:val="18"/>
              </w:rPr>
            </w:pPr>
            <w:r w:rsidRPr="00154994">
              <w:rPr>
                <w:kern w:val="0"/>
                <w:sz w:val="18"/>
                <w:szCs w:val="18"/>
              </w:rPr>
              <w:t>04/01/20</w:t>
            </w:r>
          </w:p>
        </w:tc>
        <w:tc>
          <w:tcPr>
            <w:tcW w:w="1080" w:type="dxa"/>
            <w:tcBorders>
              <w:right w:val="single" w:sz="4" w:space="0" w:color="auto"/>
            </w:tcBorders>
            <w:vAlign w:val="center"/>
          </w:tcPr>
          <w:p w14:paraId="68202D4C" w14:textId="77777777" w:rsidR="002B1DDA" w:rsidRPr="00154994" w:rsidRDefault="002B1DDA" w:rsidP="001D2CEB">
            <w:pPr>
              <w:jc w:val="center"/>
              <w:rPr>
                <w:kern w:val="0"/>
                <w:sz w:val="18"/>
                <w:szCs w:val="18"/>
              </w:rPr>
            </w:pPr>
            <w:r w:rsidRPr="00154994">
              <w:rPr>
                <w:kern w:val="0"/>
                <w:sz w:val="18"/>
                <w:szCs w:val="18"/>
              </w:rPr>
              <w:t>03/11/20</w:t>
            </w:r>
          </w:p>
        </w:tc>
        <w:tc>
          <w:tcPr>
            <w:tcW w:w="1350" w:type="dxa"/>
            <w:tcBorders>
              <w:top w:val="single" w:sz="4" w:space="0" w:color="auto"/>
              <w:left w:val="single" w:sz="4" w:space="0" w:color="auto"/>
              <w:bottom w:val="single" w:sz="4" w:space="0" w:color="auto"/>
              <w:right w:val="single" w:sz="4" w:space="0" w:color="auto"/>
            </w:tcBorders>
            <w:vAlign w:val="center"/>
          </w:tcPr>
          <w:p w14:paraId="35769E2B" w14:textId="77777777" w:rsidR="002B1DDA" w:rsidRPr="00154994" w:rsidRDefault="002B1DDA" w:rsidP="001D2CEB">
            <w:pPr>
              <w:jc w:val="center"/>
              <w:rPr>
                <w:kern w:val="0"/>
                <w:sz w:val="18"/>
                <w:szCs w:val="18"/>
              </w:rPr>
            </w:pPr>
            <w:r w:rsidRPr="00154994">
              <w:rPr>
                <w:kern w:val="0"/>
                <w:sz w:val="18"/>
                <w:szCs w:val="18"/>
              </w:rPr>
              <w:t>04/16/20</w:t>
            </w:r>
          </w:p>
        </w:tc>
        <w:tc>
          <w:tcPr>
            <w:tcW w:w="1440" w:type="dxa"/>
            <w:tcBorders>
              <w:left w:val="single" w:sz="4" w:space="0" w:color="auto"/>
            </w:tcBorders>
            <w:vAlign w:val="center"/>
          </w:tcPr>
          <w:p w14:paraId="229E9E21" w14:textId="77777777" w:rsidR="002B1DDA" w:rsidRPr="00154994" w:rsidRDefault="002B1DDA" w:rsidP="001D2CEB">
            <w:pPr>
              <w:jc w:val="center"/>
              <w:rPr>
                <w:kern w:val="0"/>
                <w:sz w:val="18"/>
                <w:szCs w:val="18"/>
              </w:rPr>
            </w:pPr>
            <w:r w:rsidRPr="00154994">
              <w:rPr>
                <w:kern w:val="0"/>
                <w:sz w:val="18"/>
                <w:szCs w:val="18"/>
              </w:rPr>
              <w:t>06/01/20</w:t>
            </w:r>
          </w:p>
        </w:tc>
        <w:tc>
          <w:tcPr>
            <w:tcW w:w="1710" w:type="dxa"/>
            <w:vAlign w:val="center"/>
          </w:tcPr>
          <w:p w14:paraId="3A252EE8" w14:textId="77777777" w:rsidR="002B1DDA" w:rsidRPr="00154994" w:rsidRDefault="002B1DDA" w:rsidP="001D2CEB">
            <w:pPr>
              <w:jc w:val="center"/>
              <w:rPr>
                <w:kern w:val="0"/>
                <w:sz w:val="18"/>
                <w:szCs w:val="18"/>
              </w:rPr>
            </w:pPr>
            <w:r w:rsidRPr="00154994">
              <w:rPr>
                <w:kern w:val="0"/>
                <w:sz w:val="18"/>
                <w:szCs w:val="18"/>
              </w:rPr>
              <w:t>06/22/20</w:t>
            </w:r>
          </w:p>
        </w:tc>
        <w:tc>
          <w:tcPr>
            <w:tcW w:w="1080" w:type="dxa"/>
            <w:vAlign w:val="center"/>
          </w:tcPr>
          <w:p w14:paraId="3F8548BB" w14:textId="77777777" w:rsidR="002B1DDA" w:rsidRPr="00154994" w:rsidRDefault="002B1DDA" w:rsidP="001D2CEB">
            <w:pPr>
              <w:jc w:val="center"/>
              <w:rPr>
                <w:kern w:val="0"/>
                <w:sz w:val="18"/>
                <w:szCs w:val="18"/>
              </w:rPr>
            </w:pPr>
            <w:r w:rsidRPr="00154994">
              <w:rPr>
                <w:kern w:val="0"/>
                <w:sz w:val="18"/>
                <w:szCs w:val="18"/>
              </w:rPr>
              <w:t>07/16/20</w:t>
            </w:r>
          </w:p>
        </w:tc>
        <w:tc>
          <w:tcPr>
            <w:tcW w:w="1440" w:type="dxa"/>
            <w:vAlign w:val="center"/>
          </w:tcPr>
          <w:p w14:paraId="77440E97" w14:textId="77777777" w:rsidR="002B1DDA" w:rsidRPr="00154994" w:rsidRDefault="002B1DDA" w:rsidP="001D2CEB">
            <w:pPr>
              <w:jc w:val="center"/>
              <w:rPr>
                <w:kern w:val="0"/>
                <w:sz w:val="18"/>
                <w:szCs w:val="18"/>
              </w:rPr>
            </w:pPr>
            <w:r w:rsidRPr="00154994">
              <w:rPr>
                <w:kern w:val="0"/>
                <w:sz w:val="18"/>
                <w:szCs w:val="18"/>
              </w:rPr>
              <w:t>08/01/20</w:t>
            </w:r>
          </w:p>
        </w:tc>
        <w:tc>
          <w:tcPr>
            <w:tcW w:w="1800" w:type="dxa"/>
            <w:vAlign w:val="center"/>
          </w:tcPr>
          <w:p w14:paraId="08F09CD6" w14:textId="77777777" w:rsidR="002B1DDA" w:rsidRPr="00154994" w:rsidRDefault="002B1DDA" w:rsidP="001D2CEB">
            <w:pPr>
              <w:jc w:val="center"/>
              <w:rPr>
                <w:kern w:val="0"/>
                <w:sz w:val="18"/>
                <w:szCs w:val="18"/>
              </w:rPr>
            </w:pPr>
            <w:r w:rsidRPr="00154994">
              <w:rPr>
                <w:kern w:val="0"/>
                <w:sz w:val="18"/>
                <w:szCs w:val="18"/>
              </w:rPr>
              <w:t>12/27/20</w:t>
            </w:r>
          </w:p>
        </w:tc>
      </w:tr>
      <w:tr w:rsidR="002B1DDA" w:rsidRPr="00154994" w14:paraId="0F1F217C" w14:textId="77777777" w:rsidTr="001D2CEB">
        <w:trPr>
          <w:trHeight w:val="288"/>
          <w:jc w:val="center"/>
        </w:trPr>
        <w:tc>
          <w:tcPr>
            <w:tcW w:w="1075" w:type="dxa"/>
            <w:vAlign w:val="center"/>
          </w:tcPr>
          <w:p w14:paraId="2CE974CB" w14:textId="77777777" w:rsidR="002B1DDA" w:rsidRPr="00154994" w:rsidRDefault="002B1DDA" w:rsidP="001D2CEB">
            <w:pPr>
              <w:jc w:val="center"/>
              <w:rPr>
                <w:kern w:val="0"/>
                <w:sz w:val="18"/>
                <w:szCs w:val="18"/>
              </w:rPr>
            </w:pPr>
            <w:r w:rsidRPr="00154994">
              <w:rPr>
                <w:kern w:val="0"/>
                <w:sz w:val="18"/>
                <w:szCs w:val="18"/>
              </w:rPr>
              <w:t>34:20</w:t>
            </w:r>
          </w:p>
        </w:tc>
        <w:tc>
          <w:tcPr>
            <w:tcW w:w="1080" w:type="dxa"/>
            <w:vAlign w:val="center"/>
          </w:tcPr>
          <w:p w14:paraId="133249D2" w14:textId="77777777" w:rsidR="002B1DDA" w:rsidRPr="00154994" w:rsidRDefault="002B1DDA" w:rsidP="001D2CEB">
            <w:pPr>
              <w:jc w:val="center"/>
              <w:rPr>
                <w:kern w:val="0"/>
                <w:sz w:val="18"/>
                <w:szCs w:val="18"/>
              </w:rPr>
            </w:pPr>
            <w:r w:rsidRPr="00154994">
              <w:rPr>
                <w:kern w:val="0"/>
                <w:sz w:val="18"/>
                <w:szCs w:val="18"/>
              </w:rPr>
              <w:t>04/15/20</w:t>
            </w:r>
          </w:p>
        </w:tc>
        <w:tc>
          <w:tcPr>
            <w:tcW w:w="1080" w:type="dxa"/>
            <w:tcBorders>
              <w:right w:val="single" w:sz="4" w:space="0" w:color="auto"/>
            </w:tcBorders>
            <w:vAlign w:val="center"/>
          </w:tcPr>
          <w:p w14:paraId="0B46A800" w14:textId="77777777" w:rsidR="002B1DDA" w:rsidRPr="00154994" w:rsidRDefault="002B1DDA" w:rsidP="001D2CEB">
            <w:pPr>
              <w:jc w:val="center"/>
              <w:rPr>
                <w:kern w:val="0"/>
                <w:sz w:val="18"/>
                <w:szCs w:val="18"/>
              </w:rPr>
            </w:pPr>
            <w:r w:rsidRPr="00154994">
              <w:rPr>
                <w:kern w:val="0"/>
                <w:sz w:val="18"/>
                <w:szCs w:val="18"/>
              </w:rPr>
              <w:t>03/24/20</w:t>
            </w:r>
          </w:p>
        </w:tc>
        <w:tc>
          <w:tcPr>
            <w:tcW w:w="1350" w:type="dxa"/>
            <w:tcBorders>
              <w:top w:val="single" w:sz="4" w:space="0" w:color="auto"/>
              <w:left w:val="single" w:sz="4" w:space="0" w:color="auto"/>
              <w:bottom w:val="single" w:sz="4" w:space="0" w:color="auto"/>
              <w:right w:val="single" w:sz="4" w:space="0" w:color="auto"/>
            </w:tcBorders>
            <w:vAlign w:val="center"/>
          </w:tcPr>
          <w:p w14:paraId="30A7D002" w14:textId="77777777" w:rsidR="002B1DDA" w:rsidRPr="00154994" w:rsidRDefault="002B1DDA" w:rsidP="001D2CEB">
            <w:pPr>
              <w:jc w:val="center"/>
              <w:rPr>
                <w:kern w:val="0"/>
                <w:sz w:val="18"/>
                <w:szCs w:val="18"/>
              </w:rPr>
            </w:pPr>
            <w:r w:rsidRPr="00154994">
              <w:rPr>
                <w:kern w:val="0"/>
                <w:sz w:val="18"/>
                <w:szCs w:val="18"/>
              </w:rPr>
              <w:t>04/30/20</w:t>
            </w:r>
          </w:p>
        </w:tc>
        <w:tc>
          <w:tcPr>
            <w:tcW w:w="1440" w:type="dxa"/>
            <w:tcBorders>
              <w:left w:val="single" w:sz="4" w:space="0" w:color="auto"/>
            </w:tcBorders>
            <w:vAlign w:val="center"/>
          </w:tcPr>
          <w:p w14:paraId="30E3A58F" w14:textId="77777777" w:rsidR="002B1DDA" w:rsidRPr="00154994" w:rsidRDefault="002B1DDA" w:rsidP="001D2CEB">
            <w:pPr>
              <w:jc w:val="center"/>
              <w:rPr>
                <w:kern w:val="0"/>
                <w:sz w:val="18"/>
                <w:szCs w:val="18"/>
              </w:rPr>
            </w:pPr>
            <w:r w:rsidRPr="00154994">
              <w:rPr>
                <w:kern w:val="0"/>
                <w:sz w:val="18"/>
                <w:szCs w:val="18"/>
              </w:rPr>
              <w:t>06/15/20</w:t>
            </w:r>
          </w:p>
        </w:tc>
        <w:tc>
          <w:tcPr>
            <w:tcW w:w="1710" w:type="dxa"/>
            <w:vAlign w:val="center"/>
          </w:tcPr>
          <w:p w14:paraId="285327B5" w14:textId="77777777" w:rsidR="002B1DDA" w:rsidRPr="00154994" w:rsidRDefault="002B1DDA" w:rsidP="001D2CEB">
            <w:pPr>
              <w:jc w:val="center"/>
              <w:rPr>
                <w:kern w:val="0"/>
                <w:sz w:val="18"/>
                <w:szCs w:val="18"/>
              </w:rPr>
            </w:pPr>
            <w:r w:rsidRPr="00154994">
              <w:rPr>
                <w:kern w:val="0"/>
                <w:sz w:val="18"/>
                <w:szCs w:val="18"/>
              </w:rPr>
              <w:t>06/22/20</w:t>
            </w:r>
          </w:p>
        </w:tc>
        <w:tc>
          <w:tcPr>
            <w:tcW w:w="1080" w:type="dxa"/>
            <w:vAlign w:val="center"/>
          </w:tcPr>
          <w:p w14:paraId="19270C8B" w14:textId="77777777" w:rsidR="002B1DDA" w:rsidRPr="00154994" w:rsidRDefault="002B1DDA" w:rsidP="001D2CEB">
            <w:pPr>
              <w:jc w:val="center"/>
              <w:rPr>
                <w:kern w:val="0"/>
                <w:sz w:val="18"/>
                <w:szCs w:val="18"/>
              </w:rPr>
            </w:pPr>
            <w:r w:rsidRPr="00154994">
              <w:rPr>
                <w:kern w:val="0"/>
                <w:sz w:val="18"/>
                <w:szCs w:val="18"/>
              </w:rPr>
              <w:t>07/16/20</w:t>
            </w:r>
          </w:p>
        </w:tc>
        <w:tc>
          <w:tcPr>
            <w:tcW w:w="1440" w:type="dxa"/>
            <w:vAlign w:val="center"/>
          </w:tcPr>
          <w:p w14:paraId="0A18F668" w14:textId="77777777" w:rsidR="002B1DDA" w:rsidRPr="00154994" w:rsidRDefault="002B1DDA" w:rsidP="001D2CEB">
            <w:pPr>
              <w:jc w:val="center"/>
              <w:rPr>
                <w:kern w:val="0"/>
                <w:sz w:val="18"/>
                <w:szCs w:val="18"/>
              </w:rPr>
            </w:pPr>
            <w:r w:rsidRPr="00154994">
              <w:rPr>
                <w:kern w:val="0"/>
                <w:sz w:val="18"/>
                <w:szCs w:val="18"/>
              </w:rPr>
              <w:t>08/01/20</w:t>
            </w:r>
          </w:p>
        </w:tc>
        <w:tc>
          <w:tcPr>
            <w:tcW w:w="1800" w:type="dxa"/>
            <w:vAlign w:val="center"/>
          </w:tcPr>
          <w:p w14:paraId="7AB1B950" w14:textId="77777777" w:rsidR="002B1DDA" w:rsidRPr="00154994" w:rsidRDefault="002B1DDA" w:rsidP="001D2CEB">
            <w:pPr>
              <w:jc w:val="center"/>
              <w:rPr>
                <w:kern w:val="0"/>
                <w:sz w:val="18"/>
                <w:szCs w:val="18"/>
              </w:rPr>
            </w:pPr>
            <w:r w:rsidRPr="00154994">
              <w:rPr>
                <w:kern w:val="0"/>
                <w:sz w:val="18"/>
                <w:szCs w:val="18"/>
              </w:rPr>
              <w:t>01/10/21</w:t>
            </w:r>
          </w:p>
        </w:tc>
      </w:tr>
      <w:tr w:rsidR="002B1DDA" w:rsidRPr="00154994" w14:paraId="78735FE6" w14:textId="77777777" w:rsidTr="001D2CEB">
        <w:trPr>
          <w:trHeight w:val="288"/>
          <w:jc w:val="center"/>
        </w:trPr>
        <w:tc>
          <w:tcPr>
            <w:tcW w:w="1075" w:type="dxa"/>
            <w:vAlign w:val="center"/>
          </w:tcPr>
          <w:p w14:paraId="3854496B" w14:textId="77777777" w:rsidR="002B1DDA" w:rsidRPr="00154994" w:rsidRDefault="002B1DDA" w:rsidP="001D2CEB">
            <w:pPr>
              <w:jc w:val="center"/>
              <w:rPr>
                <w:kern w:val="0"/>
                <w:sz w:val="18"/>
                <w:szCs w:val="18"/>
              </w:rPr>
            </w:pPr>
            <w:r w:rsidRPr="00154994">
              <w:rPr>
                <w:kern w:val="0"/>
                <w:sz w:val="18"/>
                <w:szCs w:val="18"/>
              </w:rPr>
              <w:t>34:21</w:t>
            </w:r>
          </w:p>
        </w:tc>
        <w:tc>
          <w:tcPr>
            <w:tcW w:w="1080" w:type="dxa"/>
            <w:vAlign w:val="center"/>
          </w:tcPr>
          <w:p w14:paraId="149170A1" w14:textId="77777777" w:rsidR="002B1DDA" w:rsidRPr="00154994" w:rsidRDefault="002B1DDA" w:rsidP="001D2CEB">
            <w:pPr>
              <w:jc w:val="center"/>
              <w:rPr>
                <w:kern w:val="0"/>
                <w:sz w:val="18"/>
                <w:szCs w:val="18"/>
              </w:rPr>
            </w:pPr>
            <w:r w:rsidRPr="00154994">
              <w:rPr>
                <w:kern w:val="0"/>
                <w:sz w:val="18"/>
                <w:szCs w:val="18"/>
              </w:rPr>
              <w:t>05/01/20</w:t>
            </w:r>
          </w:p>
        </w:tc>
        <w:tc>
          <w:tcPr>
            <w:tcW w:w="1080" w:type="dxa"/>
            <w:tcBorders>
              <w:right w:val="single" w:sz="4" w:space="0" w:color="auto"/>
            </w:tcBorders>
            <w:vAlign w:val="center"/>
          </w:tcPr>
          <w:p w14:paraId="2A9A9367" w14:textId="77777777" w:rsidR="002B1DDA" w:rsidRPr="00154994" w:rsidRDefault="002B1DDA" w:rsidP="001D2CEB">
            <w:pPr>
              <w:jc w:val="center"/>
              <w:rPr>
                <w:kern w:val="0"/>
                <w:sz w:val="18"/>
                <w:szCs w:val="18"/>
              </w:rPr>
            </w:pPr>
            <w:r w:rsidRPr="00154994">
              <w:rPr>
                <w:kern w:val="0"/>
                <w:sz w:val="18"/>
                <w:szCs w:val="18"/>
              </w:rPr>
              <w:t>04/09/20</w:t>
            </w:r>
          </w:p>
        </w:tc>
        <w:tc>
          <w:tcPr>
            <w:tcW w:w="1350" w:type="dxa"/>
            <w:tcBorders>
              <w:top w:val="single" w:sz="4" w:space="0" w:color="auto"/>
              <w:left w:val="single" w:sz="4" w:space="0" w:color="auto"/>
              <w:bottom w:val="single" w:sz="4" w:space="0" w:color="auto"/>
              <w:right w:val="single" w:sz="4" w:space="0" w:color="auto"/>
            </w:tcBorders>
            <w:vAlign w:val="center"/>
          </w:tcPr>
          <w:p w14:paraId="071591C4" w14:textId="77777777" w:rsidR="002B1DDA" w:rsidRPr="00154994" w:rsidRDefault="002B1DDA" w:rsidP="001D2CEB">
            <w:pPr>
              <w:jc w:val="center"/>
              <w:rPr>
                <w:kern w:val="0"/>
                <w:sz w:val="18"/>
                <w:szCs w:val="18"/>
              </w:rPr>
            </w:pPr>
            <w:r w:rsidRPr="00154994">
              <w:rPr>
                <w:kern w:val="0"/>
                <w:sz w:val="18"/>
                <w:szCs w:val="18"/>
              </w:rPr>
              <w:t>05/16/20</w:t>
            </w:r>
          </w:p>
        </w:tc>
        <w:tc>
          <w:tcPr>
            <w:tcW w:w="1440" w:type="dxa"/>
            <w:tcBorders>
              <w:left w:val="single" w:sz="4" w:space="0" w:color="auto"/>
            </w:tcBorders>
            <w:vAlign w:val="center"/>
          </w:tcPr>
          <w:p w14:paraId="6185BA48" w14:textId="77777777" w:rsidR="002B1DDA" w:rsidRPr="00154994" w:rsidRDefault="002B1DDA" w:rsidP="001D2CEB">
            <w:pPr>
              <w:jc w:val="center"/>
              <w:rPr>
                <w:kern w:val="0"/>
                <w:sz w:val="18"/>
                <w:szCs w:val="18"/>
              </w:rPr>
            </w:pPr>
            <w:r w:rsidRPr="00154994">
              <w:rPr>
                <w:kern w:val="0"/>
                <w:sz w:val="18"/>
                <w:szCs w:val="18"/>
              </w:rPr>
              <w:t>06/30/20</w:t>
            </w:r>
          </w:p>
        </w:tc>
        <w:tc>
          <w:tcPr>
            <w:tcW w:w="1710" w:type="dxa"/>
            <w:vAlign w:val="center"/>
          </w:tcPr>
          <w:p w14:paraId="62485131" w14:textId="77777777" w:rsidR="002B1DDA" w:rsidRPr="00154994" w:rsidRDefault="002B1DDA" w:rsidP="001D2CEB">
            <w:pPr>
              <w:jc w:val="center"/>
              <w:rPr>
                <w:kern w:val="0"/>
                <w:sz w:val="18"/>
                <w:szCs w:val="18"/>
              </w:rPr>
            </w:pPr>
            <w:r w:rsidRPr="00154994">
              <w:rPr>
                <w:kern w:val="0"/>
                <w:sz w:val="18"/>
                <w:szCs w:val="18"/>
              </w:rPr>
              <w:t>07/20/20</w:t>
            </w:r>
          </w:p>
        </w:tc>
        <w:tc>
          <w:tcPr>
            <w:tcW w:w="1080" w:type="dxa"/>
            <w:vAlign w:val="center"/>
          </w:tcPr>
          <w:p w14:paraId="0B5FBA5E" w14:textId="77777777" w:rsidR="002B1DDA" w:rsidRPr="00154994" w:rsidRDefault="002B1DDA" w:rsidP="001D2CEB">
            <w:pPr>
              <w:jc w:val="center"/>
              <w:rPr>
                <w:kern w:val="0"/>
                <w:sz w:val="18"/>
                <w:szCs w:val="18"/>
              </w:rPr>
            </w:pPr>
            <w:r w:rsidRPr="00154994">
              <w:rPr>
                <w:kern w:val="0"/>
                <w:sz w:val="18"/>
                <w:szCs w:val="18"/>
              </w:rPr>
              <w:t>08/20/20</w:t>
            </w:r>
          </w:p>
        </w:tc>
        <w:tc>
          <w:tcPr>
            <w:tcW w:w="1440" w:type="dxa"/>
            <w:vAlign w:val="center"/>
          </w:tcPr>
          <w:p w14:paraId="727D5B66" w14:textId="77777777" w:rsidR="002B1DDA" w:rsidRPr="00154994" w:rsidRDefault="002B1DDA" w:rsidP="001D2CEB">
            <w:pPr>
              <w:jc w:val="center"/>
              <w:rPr>
                <w:kern w:val="0"/>
                <w:sz w:val="18"/>
                <w:szCs w:val="18"/>
              </w:rPr>
            </w:pPr>
            <w:r w:rsidRPr="00154994">
              <w:rPr>
                <w:kern w:val="0"/>
                <w:sz w:val="18"/>
                <w:szCs w:val="18"/>
              </w:rPr>
              <w:t>09/01/20</w:t>
            </w:r>
          </w:p>
        </w:tc>
        <w:tc>
          <w:tcPr>
            <w:tcW w:w="1800" w:type="dxa"/>
            <w:vAlign w:val="center"/>
          </w:tcPr>
          <w:p w14:paraId="4E283B2F" w14:textId="77777777" w:rsidR="002B1DDA" w:rsidRPr="00154994" w:rsidRDefault="002B1DDA" w:rsidP="001D2CEB">
            <w:pPr>
              <w:jc w:val="center"/>
              <w:rPr>
                <w:kern w:val="0"/>
                <w:sz w:val="18"/>
                <w:szCs w:val="18"/>
              </w:rPr>
            </w:pPr>
            <w:r w:rsidRPr="00154994">
              <w:rPr>
                <w:kern w:val="0"/>
                <w:sz w:val="18"/>
                <w:szCs w:val="18"/>
              </w:rPr>
              <w:t>01/26/21</w:t>
            </w:r>
          </w:p>
        </w:tc>
      </w:tr>
      <w:tr w:rsidR="002B1DDA" w:rsidRPr="00154994" w14:paraId="62357333" w14:textId="77777777" w:rsidTr="001D2CEB">
        <w:trPr>
          <w:trHeight w:val="288"/>
          <w:jc w:val="center"/>
        </w:trPr>
        <w:tc>
          <w:tcPr>
            <w:tcW w:w="1075" w:type="dxa"/>
            <w:vAlign w:val="center"/>
          </w:tcPr>
          <w:p w14:paraId="7D32F4FC" w14:textId="77777777" w:rsidR="002B1DDA" w:rsidRPr="00154994" w:rsidRDefault="002B1DDA" w:rsidP="001D2CEB">
            <w:pPr>
              <w:jc w:val="center"/>
              <w:rPr>
                <w:kern w:val="0"/>
                <w:sz w:val="18"/>
                <w:szCs w:val="18"/>
              </w:rPr>
            </w:pPr>
            <w:r w:rsidRPr="00154994">
              <w:rPr>
                <w:kern w:val="0"/>
                <w:sz w:val="18"/>
                <w:szCs w:val="18"/>
              </w:rPr>
              <w:t>34:22</w:t>
            </w:r>
          </w:p>
        </w:tc>
        <w:tc>
          <w:tcPr>
            <w:tcW w:w="1080" w:type="dxa"/>
            <w:vAlign w:val="center"/>
          </w:tcPr>
          <w:p w14:paraId="26ED6042" w14:textId="77777777" w:rsidR="002B1DDA" w:rsidRPr="00154994" w:rsidRDefault="002B1DDA" w:rsidP="001D2CEB">
            <w:pPr>
              <w:jc w:val="center"/>
              <w:rPr>
                <w:kern w:val="0"/>
                <w:sz w:val="18"/>
                <w:szCs w:val="18"/>
              </w:rPr>
            </w:pPr>
            <w:r w:rsidRPr="00154994">
              <w:rPr>
                <w:kern w:val="0"/>
                <w:sz w:val="18"/>
                <w:szCs w:val="18"/>
              </w:rPr>
              <w:t>05/15/20</w:t>
            </w:r>
          </w:p>
        </w:tc>
        <w:tc>
          <w:tcPr>
            <w:tcW w:w="1080" w:type="dxa"/>
            <w:tcBorders>
              <w:right w:val="single" w:sz="4" w:space="0" w:color="auto"/>
            </w:tcBorders>
            <w:vAlign w:val="center"/>
          </w:tcPr>
          <w:p w14:paraId="7B928F6D" w14:textId="77777777" w:rsidR="002B1DDA" w:rsidRPr="00154994" w:rsidRDefault="002B1DDA" w:rsidP="001D2CEB">
            <w:pPr>
              <w:jc w:val="center"/>
              <w:rPr>
                <w:kern w:val="0"/>
                <w:sz w:val="18"/>
                <w:szCs w:val="18"/>
              </w:rPr>
            </w:pPr>
            <w:r w:rsidRPr="00154994">
              <w:rPr>
                <w:kern w:val="0"/>
                <w:sz w:val="18"/>
                <w:szCs w:val="18"/>
              </w:rPr>
              <w:t>04/24/20</w:t>
            </w:r>
          </w:p>
        </w:tc>
        <w:tc>
          <w:tcPr>
            <w:tcW w:w="1350" w:type="dxa"/>
            <w:tcBorders>
              <w:top w:val="single" w:sz="4" w:space="0" w:color="auto"/>
              <w:left w:val="single" w:sz="4" w:space="0" w:color="auto"/>
              <w:bottom w:val="single" w:sz="4" w:space="0" w:color="auto"/>
              <w:right w:val="single" w:sz="4" w:space="0" w:color="auto"/>
            </w:tcBorders>
            <w:vAlign w:val="center"/>
          </w:tcPr>
          <w:p w14:paraId="4095456E" w14:textId="77777777" w:rsidR="002B1DDA" w:rsidRPr="00154994" w:rsidRDefault="002B1DDA" w:rsidP="001D2CEB">
            <w:pPr>
              <w:jc w:val="center"/>
              <w:rPr>
                <w:kern w:val="0"/>
                <w:sz w:val="18"/>
                <w:szCs w:val="18"/>
              </w:rPr>
            </w:pPr>
            <w:r w:rsidRPr="00154994">
              <w:rPr>
                <w:kern w:val="0"/>
                <w:sz w:val="18"/>
                <w:szCs w:val="18"/>
              </w:rPr>
              <w:t>05/30/20</w:t>
            </w:r>
          </w:p>
        </w:tc>
        <w:tc>
          <w:tcPr>
            <w:tcW w:w="1440" w:type="dxa"/>
            <w:tcBorders>
              <w:left w:val="single" w:sz="4" w:space="0" w:color="auto"/>
            </w:tcBorders>
            <w:vAlign w:val="center"/>
          </w:tcPr>
          <w:p w14:paraId="3995581D" w14:textId="77777777" w:rsidR="002B1DDA" w:rsidRPr="00154994" w:rsidRDefault="002B1DDA" w:rsidP="001D2CEB">
            <w:pPr>
              <w:jc w:val="center"/>
              <w:rPr>
                <w:kern w:val="0"/>
                <w:sz w:val="18"/>
                <w:szCs w:val="18"/>
              </w:rPr>
            </w:pPr>
            <w:r w:rsidRPr="00154994">
              <w:rPr>
                <w:kern w:val="0"/>
                <w:sz w:val="18"/>
                <w:szCs w:val="18"/>
              </w:rPr>
              <w:t>07/14/20</w:t>
            </w:r>
          </w:p>
        </w:tc>
        <w:tc>
          <w:tcPr>
            <w:tcW w:w="1710" w:type="dxa"/>
            <w:vAlign w:val="center"/>
          </w:tcPr>
          <w:p w14:paraId="3162317E" w14:textId="77777777" w:rsidR="002B1DDA" w:rsidRPr="00154994" w:rsidRDefault="002B1DDA" w:rsidP="001D2CEB">
            <w:pPr>
              <w:jc w:val="center"/>
              <w:rPr>
                <w:kern w:val="0"/>
                <w:sz w:val="18"/>
                <w:szCs w:val="18"/>
              </w:rPr>
            </w:pPr>
            <w:r w:rsidRPr="00154994">
              <w:rPr>
                <w:kern w:val="0"/>
                <w:sz w:val="18"/>
                <w:szCs w:val="18"/>
              </w:rPr>
              <w:t>07/20/20</w:t>
            </w:r>
          </w:p>
        </w:tc>
        <w:tc>
          <w:tcPr>
            <w:tcW w:w="1080" w:type="dxa"/>
            <w:vAlign w:val="center"/>
          </w:tcPr>
          <w:p w14:paraId="1F118A43" w14:textId="77777777" w:rsidR="002B1DDA" w:rsidRPr="00154994" w:rsidRDefault="002B1DDA" w:rsidP="001D2CEB">
            <w:pPr>
              <w:jc w:val="center"/>
              <w:rPr>
                <w:kern w:val="0"/>
                <w:sz w:val="18"/>
                <w:szCs w:val="18"/>
              </w:rPr>
            </w:pPr>
            <w:r w:rsidRPr="00154994">
              <w:rPr>
                <w:kern w:val="0"/>
                <w:sz w:val="18"/>
                <w:szCs w:val="18"/>
              </w:rPr>
              <w:t>08/20/20</w:t>
            </w:r>
          </w:p>
        </w:tc>
        <w:tc>
          <w:tcPr>
            <w:tcW w:w="1440" w:type="dxa"/>
            <w:vAlign w:val="center"/>
          </w:tcPr>
          <w:p w14:paraId="7EF1FDDC" w14:textId="77777777" w:rsidR="002B1DDA" w:rsidRPr="00154994" w:rsidRDefault="002B1DDA" w:rsidP="001D2CEB">
            <w:pPr>
              <w:jc w:val="center"/>
              <w:rPr>
                <w:kern w:val="0"/>
                <w:sz w:val="18"/>
                <w:szCs w:val="18"/>
              </w:rPr>
            </w:pPr>
            <w:r w:rsidRPr="00154994">
              <w:rPr>
                <w:kern w:val="0"/>
                <w:sz w:val="18"/>
                <w:szCs w:val="18"/>
              </w:rPr>
              <w:t>09/01/20</w:t>
            </w:r>
          </w:p>
        </w:tc>
        <w:tc>
          <w:tcPr>
            <w:tcW w:w="1800" w:type="dxa"/>
            <w:vAlign w:val="center"/>
          </w:tcPr>
          <w:p w14:paraId="24A4D2BD" w14:textId="77777777" w:rsidR="002B1DDA" w:rsidRPr="00154994" w:rsidRDefault="002B1DDA" w:rsidP="001D2CEB">
            <w:pPr>
              <w:jc w:val="center"/>
              <w:rPr>
                <w:kern w:val="0"/>
                <w:sz w:val="18"/>
                <w:szCs w:val="18"/>
              </w:rPr>
            </w:pPr>
            <w:r w:rsidRPr="00154994">
              <w:rPr>
                <w:kern w:val="0"/>
                <w:sz w:val="18"/>
                <w:szCs w:val="18"/>
              </w:rPr>
              <w:t>02/09/21</w:t>
            </w:r>
          </w:p>
        </w:tc>
      </w:tr>
      <w:tr w:rsidR="002B1DDA" w:rsidRPr="00154994" w14:paraId="03391912" w14:textId="77777777" w:rsidTr="001D2CEB">
        <w:trPr>
          <w:trHeight w:val="288"/>
          <w:jc w:val="center"/>
        </w:trPr>
        <w:tc>
          <w:tcPr>
            <w:tcW w:w="1075" w:type="dxa"/>
            <w:vAlign w:val="center"/>
          </w:tcPr>
          <w:p w14:paraId="379163DD" w14:textId="77777777" w:rsidR="002B1DDA" w:rsidRPr="00154994" w:rsidRDefault="002B1DDA" w:rsidP="001D2CEB">
            <w:pPr>
              <w:jc w:val="center"/>
              <w:rPr>
                <w:kern w:val="0"/>
                <w:sz w:val="18"/>
                <w:szCs w:val="18"/>
              </w:rPr>
            </w:pPr>
            <w:r w:rsidRPr="00154994">
              <w:rPr>
                <w:kern w:val="0"/>
                <w:sz w:val="18"/>
                <w:szCs w:val="18"/>
              </w:rPr>
              <w:t>34:23</w:t>
            </w:r>
          </w:p>
        </w:tc>
        <w:tc>
          <w:tcPr>
            <w:tcW w:w="1080" w:type="dxa"/>
            <w:vAlign w:val="center"/>
          </w:tcPr>
          <w:p w14:paraId="5FB0E42F" w14:textId="77777777" w:rsidR="002B1DDA" w:rsidRPr="00154994" w:rsidRDefault="002B1DDA" w:rsidP="001D2CEB">
            <w:pPr>
              <w:jc w:val="center"/>
              <w:rPr>
                <w:kern w:val="0"/>
                <w:sz w:val="18"/>
                <w:szCs w:val="18"/>
              </w:rPr>
            </w:pPr>
            <w:r w:rsidRPr="00154994">
              <w:rPr>
                <w:kern w:val="0"/>
                <w:sz w:val="18"/>
                <w:szCs w:val="18"/>
              </w:rPr>
              <w:t>06/01/20</w:t>
            </w:r>
          </w:p>
        </w:tc>
        <w:tc>
          <w:tcPr>
            <w:tcW w:w="1080" w:type="dxa"/>
            <w:tcBorders>
              <w:right w:val="single" w:sz="4" w:space="0" w:color="auto"/>
            </w:tcBorders>
            <w:vAlign w:val="center"/>
          </w:tcPr>
          <w:p w14:paraId="202EC32E" w14:textId="77777777" w:rsidR="002B1DDA" w:rsidRPr="00154994" w:rsidRDefault="002B1DDA" w:rsidP="001D2CEB">
            <w:pPr>
              <w:jc w:val="center"/>
              <w:rPr>
                <w:kern w:val="0"/>
                <w:sz w:val="18"/>
                <w:szCs w:val="18"/>
              </w:rPr>
            </w:pPr>
            <w:r w:rsidRPr="00154994">
              <w:rPr>
                <w:kern w:val="0"/>
                <w:sz w:val="18"/>
                <w:szCs w:val="18"/>
              </w:rPr>
              <w:t>05/08/20</w:t>
            </w:r>
          </w:p>
        </w:tc>
        <w:tc>
          <w:tcPr>
            <w:tcW w:w="1350" w:type="dxa"/>
            <w:tcBorders>
              <w:top w:val="single" w:sz="4" w:space="0" w:color="auto"/>
              <w:left w:val="single" w:sz="4" w:space="0" w:color="auto"/>
              <w:bottom w:val="single" w:sz="4" w:space="0" w:color="auto"/>
              <w:right w:val="single" w:sz="4" w:space="0" w:color="auto"/>
            </w:tcBorders>
            <w:vAlign w:val="center"/>
          </w:tcPr>
          <w:p w14:paraId="3D0288F6" w14:textId="77777777" w:rsidR="002B1DDA" w:rsidRPr="00154994" w:rsidRDefault="002B1DDA" w:rsidP="001D2CEB">
            <w:pPr>
              <w:jc w:val="center"/>
              <w:rPr>
                <w:kern w:val="0"/>
                <w:sz w:val="18"/>
                <w:szCs w:val="18"/>
              </w:rPr>
            </w:pPr>
            <w:r w:rsidRPr="00154994">
              <w:rPr>
                <w:kern w:val="0"/>
                <w:sz w:val="18"/>
                <w:szCs w:val="18"/>
              </w:rPr>
              <w:t>06/16/20</w:t>
            </w:r>
          </w:p>
        </w:tc>
        <w:tc>
          <w:tcPr>
            <w:tcW w:w="1440" w:type="dxa"/>
            <w:tcBorders>
              <w:left w:val="single" w:sz="4" w:space="0" w:color="auto"/>
            </w:tcBorders>
            <w:vAlign w:val="center"/>
          </w:tcPr>
          <w:p w14:paraId="254D29A0" w14:textId="77777777" w:rsidR="002B1DDA" w:rsidRPr="00154994" w:rsidRDefault="002B1DDA" w:rsidP="001D2CEB">
            <w:pPr>
              <w:jc w:val="center"/>
              <w:rPr>
                <w:kern w:val="0"/>
                <w:sz w:val="18"/>
                <w:szCs w:val="18"/>
              </w:rPr>
            </w:pPr>
            <w:r w:rsidRPr="00154994">
              <w:rPr>
                <w:kern w:val="0"/>
                <w:sz w:val="18"/>
                <w:szCs w:val="18"/>
              </w:rPr>
              <w:t>07/31/20</w:t>
            </w:r>
          </w:p>
        </w:tc>
        <w:tc>
          <w:tcPr>
            <w:tcW w:w="1710" w:type="dxa"/>
            <w:vAlign w:val="center"/>
          </w:tcPr>
          <w:p w14:paraId="1C4293F4" w14:textId="77777777" w:rsidR="002B1DDA" w:rsidRPr="00154994" w:rsidRDefault="002B1DDA" w:rsidP="001D2CEB">
            <w:pPr>
              <w:jc w:val="center"/>
              <w:rPr>
                <w:kern w:val="0"/>
                <w:sz w:val="18"/>
                <w:szCs w:val="18"/>
              </w:rPr>
            </w:pPr>
            <w:r w:rsidRPr="00154994">
              <w:rPr>
                <w:kern w:val="0"/>
                <w:sz w:val="18"/>
                <w:szCs w:val="18"/>
              </w:rPr>
              <w:t>08/20/20</w:t>
            </w:r>
          </w:p>
        </w:tc>
        <w:tc>
          <w:tcPr>
            <w:tcW w:w="1080" w:type="dxa"/>
            <w:vAlign w:val="center"/>
          </w:tcPr>
          <w:p w14:paraId="4132AD4A" w14:textId="77777777" w:rsidR="002B1DDA" w:rsidRPr="00154994" w:rsidRDefault="002B1DDA" w:rsidP="001D2CEB">
            <w:pPr>
              <w:jc w:val="center"/>
              <w:rPr>
                <w:kern w:val="0"/>
                <w:sz w:val="18"/>
                <w:szCs w:val="18"/>
              </w:rPr>
            </w:pPr>
            <w:r w:rsidRPr="00154994">
              <w:rPr>
                <w:kern w:val="0"/>
                <w:sz w:val="18"/>
                <w:szCs w:val="18"/>
              </w:rPr>
              <w:t>09/17/20</w:t>
            </w:r>
          </w:p>
        </w:tc>
        <w:tc>
          <w:tcPr>
            <w:tcW w:w="1440" w:type="dxa"/>
            <w:vAlign w:val="center"/>
          </w:tcPr>
          <w:p w14:paraId="502ECBD2" w14:textId="77777777" w:rsidR="002B1DDA" w:rsidRPr="00154994" w:rsidRDefault="002B1DDA" w:rsidP="001D2CEB">
            <w:pPr>
              <w:jc w:val="center"/>
              <w:rPr>
                <w:kern w:val="0"/>
                <w:sz w:val="18"/>
                <w:szCs w:val="18"/>
              </w:rPr>
            </w:pPr>
            <w:r w:rsidRPr="00154994">
              <w:rPr>
                <w:kern w:val="0"/>
                <w:sz w:val="18"/>
                <w:szCs w:val="18"/>
              </w:rPr>
              <w:t>10/01/20</w:t>
            </w:r>
          </w:p>
        </w:tc>
        <w:tc>
          <w:tcPr>
            <w:tcW w:w="1800" w:type="dxa"/>
            <w:vAlign w:val="center"/>
          </w:tcPr>
          <w:p w14:paraId="2E4E0C42" w14:textId="77777777" w:rsidR="002B1DDA" w:rsidRPr="00154994" w:rsidRDefault="002B1DDA" w:rsidP="001D2CEB">
            <w:pPr>
              <w:jc w:val="center"/>
              <w:rPr>
                <w:kern w:val="0"/>
                <w:sz w:val="18"/>
                <w:szCs w:val="18"/>
              </w:rPr>
            </w:pPr>
            <w:r w:rsidRPr="00154994">
              <w:rPr>
                <w:kern w:val="0"/>
                <w:sz w:val="18"/>
                <w:szCs w:val="18"/>
              </w:rPr>
              <w:t>02/26/21</w:t>
            </w:r>
          </w:p>
        </w:tc>
      </w:tr>
      <w:tr w:rsidR="002B1DDA" w:rsidRPr="00154994" w14:paraId="07B993C9" w14:textId="77777777" w:rsidTr="001D2CEB">
        <w:trPr>
          <w:trHeight w:val="288"/>
          <w:jc w:val="center"/>
        </w:trPr>
        <w:tc>
          <w:tcPr>
            <w:tcW w:w="1075" w:type="dxa"/>
            <w:vAlign w:val="center"/>
          </w:tcPr>
          <w:p w14:paraId="408379E4" w14:textId="77777777" w:rsidR="002B1DDA" w:rsidRPr="00154994" w:rsidRDefault="002B1DDA" w:rsidP="001D2CEB">
            <w:pPr>
              <w:jc w:val="center"/>
              <w:rPr>
                <w:kern w:val="0"/>
                <w:sz w:val="18"/>
                <w:szCs w:val="18"/>
              </w:rPr>
            </w:pPr>
            <w:r w:rsidRPr="00154994">
              <w:rPr>
                <w:kern w:val="0"/>
                <w:sz w:val="18"/>
                <w:szCs w:val="18"/>
              </w:rPr>
              <w:t>34:24</w:t>
            </w:r>
          </w:p>
        </w:tc>
        <w:tc>
          <w:tcPr>
            <w:tcW w:w="1080" w:type="dxa"/>
            <w:vAlign w:val="center"/>
          </w:tcPr>
          <w:p w14:paraId="0EE7FC12" w14:textId="77777777" w:rsidR="002B1DDA" w:rsidRPr="00154994" w:rsidRDefault="002B1DDA" w:rsidP="001D2CEB">
            <w:pPr>
              <w:jc w:val="center"/>
              <w:rPr>
                <w:kern w:val="0"/>
                <w:sz w:val="18"/>
                <w:szCs w:val="18"/>
              </w:rPr>
            </w:pPr>
            <w:r w:rsidRPr="00154994">
              <w:rPr>
                <w:kern w:val="0"/>
                <w:sz w:val="18"/>
                <w:szCs w:val="18"/>
              </w:rPr>
              <w:t>06/15/20</w:t>
            </w:r>
          </w:p>
        </w:tc>
        <w:tc>
          <w:tcPr>
            <w:tcW w:w="1080" w:type="dxa"/>
            <w:tcBorders>
              <w:right w:val="single" w:sz="4" w:space="0" w:color="auto"/>
            </w:tcBorders>
            <w:vAlign w:val="center"/>
          </w:tcPr>
          <w:p w14:paraId="74BDF9A8" w14:textId="77777777" w:rsidR="002B1DDA" w:rsidRPr="00154994" w:rsidRDefault="002B1DDA" w:rsidP="001D2CEB">
            <w:pPr>
              <w:jc w:val="center"/>
              <w:rPr>
                <w:kern w:val="0"/>
                <w:sz w:val="18"/>
                <w:szCs w:val="18"/>
              </w:rPr>
            </w:pPr>
            <w:r w:rsidRPr="00154994">
              <w:rPr>
                <w:kern w:val="0"/>
                <w:sz w:val="18"/>
                <w:szCs w:val="18"/>
              </w:rPr>
              <w:t>05/22/20</w:t>
            </w:r>
          </w:p>
        </w:tc>
        <w:tc>
          <w:tcPr>
            <w:tcW w:w="1350" w:type="dxa"/>
            <w:tcBorders>
              <w:top w:val="single" w:sz="4" w:space="0" w:color="auto"/>
              <w:left w:val="single" w:sz="4" w:space="0" w:color="auto"/>
              <w:bottom w:val="single" w:sz="4" w:space="0" w:color="auto"/>
              <w:right w:val="single" w:sz="4" w:space="0" w:color="auto"/>
            </w:tcBorders>
            <w:vAlign w:val="center"/>
          </w:tcPr>
          <w:p w14:paraId="371F87EF" w14:textId="77777777" w:rsidR="002B1DDA" w:rsidRPr="00154994" w:rsidRDefault="002B1DDA" w:rsidP="001D2CEB">
            <w:pPr>
              <w:jc w:val="center"/>
              <w:rPr>
                <w:kern w:val="0"/>
                <w:sz w:val="18"/>
                <w:szCs w:val="18"/>
              </w:rPr>
            </w:pPr>
            <w:r w:rsidRPr="00154994">
              <w:rPr>
                <w:kern w:val="0"/>
                <w:sz w:val="18"/>
                <w:szCs w:val="18"/>
              </w:rPr>
              <w:t>06/30/20</w:t>
            </w:r>
          </w:p>
        </w:tc>
        <w:tc>
          <w:tcPr>
            <w:tcW w:w="1440" w:type="dxa"/>
            <w:tcBorders>
              <w:left w:val="single" w:sz="4" w:space="0" w:color="auto"/>
            </w:tcBorders>
            <w:vAlign w:val="center"/>
          </w:tcPr>
          <w:p w14:paraId="4FAEB6DD" w14:textId="77777777" w:rsidR="002B1DDA" w:rsidRPr="00154994" w:rsidRDefault="002B1DDA" w:rsidP="001D2CEB">
            <w:pPr>
              <w:jc w:val="center"/>
              <w:rPr>
                <w:kern w:val="0"/>
                <w:sz w:val="18"/>
                <w:szCs w:val="18"/>
              </w:rPr>
            </w:pPr>
            <w:r w:rsidRPr="00154994">
              <w:rPr>
                <w:kern w:val="0"/>
                <w:sz w:val="18"/>
                <w:szCs w:val="18"/>
              </w:rPr>
              <w:t>08/14/20</w:t>
            </w:r>
          </w:p>
        </w:tc>
        <w:tc>
          <w:tcPr>
            <w:tcW w:w="1710" w:type="dxa"/>
            <w:vAlign w:val="center"/>
          </w:tcPr>
          <w:p w14:paraId="7CAA0A5B" w14:textId="77777777" w:rsidR="002B1DDA" w:rsidRPr="00154994" w:rsidRDefault="002B1DDA" w:rsidP="001D2CEB">
            <w:pPr>
              <w:jc w:val="center"/>
              <w:rPr>
                <w:kern w:val="0"/>
                <w:sz w:val="18"/>
                <w:szCs w:val="18"/>
              </w:rPr>
            </w:pPr>
            <w:r w:rsidRPr="00154994">
              <w:rPr>
                <w:kern w:val="0"/>
                <w:sz w:val="18"/>
                <w:szCs w:val="18"/>
              </w:rPr>
              <w:t>08/20/20</w:t>
            </w:r>
          </w:p>
        </w:tc>
        <w:tc>
          <w:tcPr>
            <w:tcW w:w="1080" w:type="dxa"/>
            <w:vAlign w:val="center"/>
          </w:tcPr>
          <w:p w14:paraId="225C4F9A" w14:textId="77777777" w:rsidR="002B1DDA" w:rsidRPr="00154994" w:rsidRDefault="002B1DDA" w:rsidP="001D2CEB">
            <w:pPr>
              <w:jc w:val="center"/>
              <w:rPr>
                <w:kern w:val="0"/>
                <w:sz w:val="18"/>
                <w:szCs w:val="18"/>
              </w:rPr>
            </w:pPr>
            <w:r w:rsidRPr="00154994">
              <w:rPr>
                <w:kern w:val="0"/>
                <w:sz w:val="18"/>
                <w:szCs w:val="18"/>
              </w:rPr>
              <w:t>09/17/20</w:t>
            </w:r>
          </w:p>
        </w:tc>
        <w:tc>
          <w:tcPr>
            <w:tcW w:w="1440" w:type="dxa"/>
            <w:vAlign w:val="center"/>
          </w:tcPr>
          <w:p w14:paraId="4A669B3D" w14:textId="77777777" w:rsidR="002B1DDA" w:rsidRPr="00154994" w:rsidRDefault="002B1DDA" w:rsidP="001D2CEB">
            <w:pPr>
              <w:jc w:val="center"/>
              <w:rPr>
                <w:kern w:val="0"/>
                <w:sz w:val="18"/>
                <w:szCs w:val="18"/>
              </w:rPr>
            </w:pPr>
            <w:r w:rsidRPr="00154994">
              <w:rPr>
                <w:kern w:val="0"/>
                <w:sz w:val="18"/>
                <w:szCs w:val="18"/>
              </w:rPr>
              <w:t>10/01/20</w:t>
            </w:r>
          </w:p>
        </w:tc>
        <w:tc>
          <w:tcPr>
            <w:tcW w:w="1800" w:type="dxa"/>
            <w:vAlign w:val="center"/>
          </w:tcPr>
          <w:p w14:paraId="5D5E5A43" w14:textId="77777777" w:rsidR="002B1DDA" w:rsidRPr="00154994" w:rsidRDefault="002B1DDA" w:rsidP="001D2CEB">
            <w:pPr>
              <w:jc w:val="center"/>
              <w:rPr>
                <w:kern w:val="0"/>
                <w:sz w:val="18"/>
                <w:szCs w:val="18"/>
              </w:rPr>
            </w:pPr>
            <w:r w:rsidRPr="00154994">
              <w:rPr>
                <w:kern w:val="0"/>
                <w:sz w:val="18"/>
                <w:szCs w:val="18"/>
              </w:rPr>
              <w:t>03/12/21</w:t>
            </w:r>
          </w:p>
        </w:tc>
      </w:tr>
      <w:tr w:rsidR="002B1DDA" w:rsidRPr="00154994" w14:paraId="29F2D0D4" w14:textId="77777777" w:rsidTr="001D2CEB">
        <w:trPr>
          <w:trHeight w:val="288"/>
          <w:jc w:val="center"/>
        </w:trPr>
        <w:tc>
          <w:tcPr>
            <w:tcW w:w="1075" w:type="dxa"/>
            <w:vAlign w:val="center"/>
          </w:tcPr>
          <w:p w14:paraId="75673885" w14:textId="77777777" w:rsidR="002B1DDA" w:rsidRPr="00154994" w:rsidRDefault="002B1DDA" w:rsidP="001D2CEB">
            <w:pPr>
              <w:jc w:val="center"/>
              <w:rPr>
                <w:kern w:val="0"/>
                <w:sz w:val="18"/>
                <w:szCs w:val="18"/>
              </w:rPr>
            </w:pPr>
            <w:r w:rsidRPr="00154994">
              <w:rPr>
                <w:kern w:val="0"/>
                <w:sz w:val="18"/>
                <w:szCs w:val="18"/>
              </w:rPr>
              <w:t>35:01</w:t>
            </w:r>
          </w:p>
        </w:tc>
        <w:tc>
          <w:tcPr>
            <w:tcW w:w="1080" w:type="dxa"/>
            <w:vAlign w:val="center"/>
          </w:tcPr>
          <w:p w14:paraId="13F0307E" w14:textId="77777777" w:rsidR="002B1DDA" w:rsidRPr="00154994" w:rsidRDefault="002B1DDA" w:rsidP="001D2CEB">
            <w:pPr>
              <w:jc w:val="center"/>
              <w:rPr>
                <w:kern w:val="0"/>
                <w:sz w:val="18"/>
                <w:szCs w:val="18"/>
              </w:rPr>
            </w:pPr>
            <w:r w:rsidRPr="00154994">
              <w:rPr>
                <w:kern w:val="0"/>
                <w:sz w:val="18"/>
                <w:szCs w:val="18"/>
              </w:rPr>
              <w:t>07/01/20</w:t>
            </w:r>
          </w:p>
        </w:tc>
        <w:tc>
          <w:tcPr>
            <w:tcW w:w="1080" w:type="dxa"/>
            <w:tcBorders>
              <w:right w:val="single" w:sz="4" w:space="0" w:color="auto"/>
            </w:tcBorders>
            <w:vAlign w:val="center"/>
          </w:tcPr>
          <w:p w14:paraId="00811417" w14:textId="77777777" w:rsidR="002B1DDA" w:rsidRPr="00154994" w:rsidRDefault="002B1DDA" w:rsidP="001D2CEB">
            <w:pPr>
              <w:jc w:val="center"/>
              <w:rPr>
                <w:kern w:val="0"/>
                <w:sz w:val="18"/>
                <w:szCs w:val="18"/>
              </w:rPr>
            </w:pPr>
            <w:r w:rsidRPr="00154994">
              <w:rPr>
                <w:kern w:val="0"/>
                <w:sz w:val="18"/>
                <w:szCs w:val="18"/>
              </w:rPr>
              <w:t>06/10/20</w:t>
            </w:r>
          </w:p>
        </w:tc>
        <w:tc>
          <w:tcPr>
            <w:tcW w:w="1350" w:type="dxa"/>
            <w:tcBorders>
              <w:top w:val="single" w:sz="4" w:space="0" w:color="auto"/>
              <w:left w:val="single" w:sz="4" w:space="0" w:color="auto"/>
              <w:bottom w:val="single" w:sz="4" w:space="0" w:color="auto"/>
              <w:right w:val="single" w:sz="4" w:space="0" w:color="auto"/>
            </w:tcBorders>
            <w:vAlign w:val="center"/>
          </w:tcPr>
          <w:p w14:paraId="72EC6050" w14:textId="77777777" w:rsidR="002B1DDA" w:rsidRPr="00154994" w:rsidRDefault="002B1DDA" w:rsidP="001D2CEB">
            <w:pPr>
              <w:jc w:val="center"/>
              <w:rPr>
                <w:kern w:val="0"/>
                <w:sz w:val="18"/>
                <w:szCs w:val="18"/>
              </w:rPr>
            </w:pPr>
            <w:r w:rsidRPr="00154994">
              <w:rPr>
                <w:kern w:val="0"/>
                <w:sz w:val="18"/>
                <w:szCs w:val="18"/>
              </w:rPr>
              <w:t>07/16/20</w:t>
            </w:r>
          </w:p>
        </w:tc>
        <w:tc>
          <w:tcPr>
            <w:tcW w:w="1440" w:type="dxa"/>
            <w:tcBorders>
              <w:left w:val="single" w:sz="4" w:space="0" w:color="auto"/>
            </w:tcBorders>
            <w:vAlign w:val="center"/>
          </w:tcPr>
          <w:p w14:paraId="7137D279" w14:textId="77777777" w:rsidR="002B1DDA" w:rsidRPr="00154994" w:rsidRDefault="002B1DDA" w:rsidP="001D2CEB">
            <w:pPr>
              <w:jc w:val="center"/>
              <w:rPr>
                <w:kern w:val="0"/>
                <w:sz w:val="18"/>
                <w:szCs w:val="18"/>
              </w:rPr>
            </w:pPr>
            <w:r w:rsidRPr="00154994">
              <w:rPr>
                <w:kern w:val="0"/>
                <w:sz w:val="18"/>
                <w:szCs w:val="18"/>
              </w:rPr>
              <w:t>08/31/20</w:t>
            </w:r>
          </w:p>
        </w:tc>
        <w:tc>
          <w:tcPr>
            <w:tcW w:w="1710" w:type="dxa"/>
            <w:vAlign w:val="center"/>
          </w:tcPr>
          <w:p w14:paraId="0592699E" w14:textId="77777777" w:rsidR="002B1DDA" w:rsidRPr="00154994" w:rsidRDefault="002B1DDA" w:rsidP="001D2CEB">
            <w:pPr>
              <w:jc w:val="center"/>
              <w:rPr>
                <w:kern w:val="0"/>
                <w:sz w:val="18"/>
                <w:szCs w:val="18"/>
              </w:rPr>
            </w:pPr>
            <w:r w:rsidRPr="00154994">
              <w:rPr>
                <w:kern w:val="0"/>
                <w:sz w:val="18"/>
                <w:szCs w:val="18"/>
              </w:rPr>
              <w:t>09/21/20</w:t>
            </w:r>
          </w:p>
        </w:tc>
        <w:tc>
          <w:tcPr>
            <w:tcW w:w="1080" w:type="dxa"/>
            <w:vAlign w:val="center"/>
          </w:tcPr>
          <w:p w14:paraId="5CEA7709" w14:textId="77777777" w:rsidR="002B1DDA" w:rsidRPr="00154994" w:rsidRDefault="002B1DDA" w:rsidP="001D2CEB">
            <w:pPr>
              <w:jc w:val="center"/>
              <w:rPr>
                <w:kern w:val="0"/>
                <w:sz w:val="18"/>
                <w:szCs w:val="18"/>
              </w:rPr>
            </w:pPr>
            <w:r w:rsidRPr="00154994">
              <w:rPr>
                <w:kern w:val="0"/>
                <w:sz w:val="18"/>
                <w:szCs w:val="18"/>
              </w:rPr>
              <w:t>10/15/20</w:t>
            </w:r>
          </w:p>
        </w:tc>
        <w:tc>
          <w:tcPr>
            <w:tcW w:w="1440" w:type="dxa"/>
            <w:vAlign w:val="center"/>
          </w:tcPr>
          <w:p w14:paraId="29E58DA8" w14:textId="77777777" w:rsidR="002B1DDA" w:rsidRPr="00154994" w:rsidRDefault="002B1DDA" w:rsidP="001D2CEB">
            <w:pPr>
              <w:jc w:val="center"/>
              <w:rPr>
                <w:kern w:val="0"/>
                <w:sz w:val="18"/>
                <w:szCs w:val="18"/>
              </w:rPr>
            </w:pPr>
            <w:r w:rsidRPr="00154994">
              <w:rPr>
                <w:kern w:val="0"/>
                <w:sz w:val="18"/>
                <w:szCs w:val="18"/>
              </w:rPr>
              <w:t>11/01/20</w:t>
            </w:r>
          </w:p>
        </w:tc>
        <w:tc>
          <w:tcPr>
            <w:tcW w:w="1800" w:type="dxa"/>
            <w:vAlign w:val="center"/>
          </w:tcPr>
          <w:p w14:paraId="66782365" w14:textId="77777777" w:rsidR="002B1DDA" w:rsidRPr="00154994" w:rsidRDefault="002B1DDA" w:rsidP="001D2CEB">
            <w:pPr>
              <w:jc w:val="center"/>
              <w:rPr>
                <w:kern w:val="0"/>
                <w:sz w:val="18"/>
                <w:szCs w:val="18"/>
              </w:rPr>
            </w:pPr>
            <w:r w:rsidRPr="00154994">
              <w:rPr>
                <w:kern w:val="0"/>
                <w:sz w:val="18"/>
                <w:szCs w:val="18"/>
              </w:rPr>
              <w:t>03/28/21</w:t>
            </w:r>
          </w:p>
        </w:tc>
      </w:tr>
      <w:tr w:rsidR="002B1DDA" w:rsidRPr="00154994" w14:paraId="1CDAB72D" w14:textId="77777777" w:rsidTr="001D2CEB">
        <w:trPr>
          <w:trHeight w:val="288"/>
          <w:jc w:val="center"/>
        </w:trPr>
        <w:tc>
          <w:tcPr>
            <w:tcW w:w="1075" w:type="dxa"/>
            <w:vAlign w:val="center"/>
          </w:tcPr>
          <w:p w14:paraId="63422783" w14:textId="77777777" w:rsidR="002B1DDA" w:rsidRPr="00154994" w:rsidRDefault="002B1DDA" w:rsidP="001D2CEB">
            <w:pPr>
              <w:jc w:val="center"/>
              <w:rPr>
                <w:kern w:val="0"/>
                <w:sz w:val="18"/>
                <w:szCs w:val="18"/>
              </w:rPr>
            </w:pPr>
            <w:r w:rsidRPr="00154994">
              <w:rPr>
                <w:kern w:val="0"/>
                <w:sz w:val="18"/>
                <w:szCs w:val="18"/>
              </w:rPr>
              <w:t>35:02</w:t>
            </w:r>
          </w:p>
        </w:tc>
        <w:tc>
          <w:tcPr>
            <w:tcW w:w="1080" w:type="dxa"/>
            <w:vAlign w:val="center"/>
          </w:tcPr>
          <w:p w14:paraId="7BF2A5E7" w14:textId="77777777" w:rsidR="002B1DDA" w:rsidRPr="00154994" w:rsidRDefault="002B1DDA" w:rsidP="001D2CEB">
            <w:pPr>
              <w:jc w:val="center"/>
              <w:rPr>
                <w:kern w:val="0"/>
                <w:sz w:val="18"/>
                <w:szCs w:val="18"/>
              </w:rPr>
            </w:pPr>
            <w:r w:rsidRPr="00154994">
              <w:rPr>
                <w:kern w:val="0"/>
                <w:sz w:val="18"/>
                <w:szCs w:val="18"/>
              </w:rPr>
              <w:t>07/15/20</w:t>
            </w:r>
          </w:p>
        </w:tc>
        <w:tc>
          <w:tcPr>
            <w:tcW w:w="1080" w:type="dxa"/>
            <w:tcBorders>
              <w:right w:val="single" w:sz="4" w:space="0" w:color="auto"/>
            </w:tcBorders>
            <w:vAlign w:val="center"/>
          </w:tcPr>
          <w:p w14:paraId="26D37C8A" w14:textId="77777777" w:rsidR="002B1DDA" w:rsidRPr="00154994" w:rsidRDefault="002B1DDA" w:rsidP="001D2CEB">
            <w:pPr>
              <w:jc w:val="center"/>
              <w:rPr>
                <w:kern w:val="0"/>
                <w:sz w:val="18"/>
                <w:szCs w:val="18"/>
              </w:rPr>
            </w:pPr>
            <w:r w:rsidRPr="00154994">
              <w:rPr>
                <w:kern w:val="0"/>
                <w:sz w:val="18"/>
                <w:szCs w:val="18"/>
              </w:rPr>
              <w:t>06/23/20</w:t>
            </w:r>
          </w:p>
        </w:tc>
        <w:tc>
          <w:tcPr>
            <w:tcW w:w="1350" w:type="dxa"/>
            <w:tcBorders>
              <w:top w:val="single" w:sz="4" w:space="0" w:color="auto"/>
              <w:left w:val="single" w:sz="4" w:space="0" w:color="auto"/>
              <w:bottom w:val="single" w:sz="4" w:space="0" w:color="auto"/>
              <w:right w:val="single" w:sz="4" w:space="0" w:color="auto"/>
            </w:tcBorders>
            <w:vAlign w:val="center"/>
          </w:tcPr>
          <w:p w14:paraId="1A5D8A15" w14:textId="77777777" w:rsidR="002B1DDA" w:rsidRPr="00154994" w:rsidRDefault="002B1DDA" w:rsidP="001D2CEB">
            <w:pPr>
              <w:jc w:val="center"/>
              <w:rPr>
                <w:kern w:val="0"/>
                <w:sz w:val="18"/>
                <w:szCs w:val="18"/>
              </w:rPr>
            </w:pPr>
            <w:r w:rsidRPr="00154994">
              <w:rPr>
                <w:kern w:val="0"/>
                <w:sz w:val="18"/>
                <w:szCs w:val="18"/>
              </w:rPr>
              <w:t>07/30/20</w:t>
            </w:r>
          </w:p>
        </w:tc>
        <w:tc>
          <w:tcPr>
            <w:tcW w:w="1440" w:type="dxa"/>
            <w:tcBorders>
              <w:left w:val="single" w:sz="4" w:space="0" w:color="auto"/>
            </w:tcBorders>
            <w:vAlign w:val="center"/>
          </w:tcPr>
          <w:p w14:paraId="11871A34" w14:textId="77777777" w:rsidR="002B1DDA" w:rsidRPr="00154994" w:rsidRDefault="002B1DDA" w:rsidP="001D2CEB">
            <w:pPr>
              <w:jc w:val="center"/>
              <w:rPr>
                <w:kern w:val="0"/>
                <w:sz w:val="18"/>
                <w:szCs w:val="18"/>
              </w:rPr>
            </w:pPr>
            <w:r w:rsidRPr="00154994">
              <w:rPr>
                <w:kern w:val="0"/>
                <w:sz w:val="18"/>
                <w:szCs w:val="18"/>
              </w:rPr>
              <w:t>09/14/20</w:t>
            </w:r>
          </w:p>
        </w:tc>
        <w:tc>
          <w:tcPr>
            <w:tcW w:w="1710" w:type="dxa"/>
            <w:vAlign w:val="center"/>
          </w:tcPr>
          <w:p w14:paraId="0704F6D0" w14:textId="77777777" w:rsidR="002B1DDA" w:rsidRPr="00154994" w:rsidRDefault="002B1DDA" w:rsidP="001D2CEB">
            <w:pPr>
              <w:jc w:val="center"/>
              <w:rPr>
                <w:kern w:val="0"/>
                <w:sz w:val="18"/>
                <w:szCs w:val="18"/>
              </w:rPr>
            </w:pPr>
            <w:r w:rsidRPr="00154994">
              <w:rPr>
                <w:kern w:val="0"/>
                <w:sz w:val="18"/>
                <w:szCs w:val="18"/>
              </w:rPr>
              <w:t>09/21/20</w:t>
            </w:r>
          </w:p>
        </w:tc>
        <w:tc>
          <w:tcPr>
            <w:tcW w:w="1080" w:type="dxa"/>
            <w:vAlign w:val="center"/>
          </w:tcPr>
          <w:p w14:paraId="647D4CB2" w14:textId="77777777" w:rsidR="002B1DDA" w:rsidRPr="00154994" w:rsidRDefault="002B1DDA" w:rsidP="001D2CEB">
            <w:pPr>
              <w:jc w:val="center"/>
              <w:rPr>
                <w:kern w:val="0"/>
                <w:sz w:val="18"/>
                <w:szCs w:val="18"/>
              </w:rPr>
            </w:pPr>
            <w:r w:rsidRPr="00154994">
              <w:rPr>
                <w:kern w:val="0"/>
                <w:sz w:val="18"/>
                <w:szCs w:val="18"/>
              </w:rPr>
              <w:t>10/15/20</w:t>
            </w:r>
          </w:p>
        </w:tc>
        <w:tc>
          <w:tcPr>
            <w:tcW w:w="1440" w:type="dxa"/>
            <w:vAlign w:val="center"/>
          </w:tcPr>
          <w:p w14:paraId="35F43F47" w14:textId="77777777" w:rsidR="002B1DDA" w:rsidRPr="00154994" w:rsidRDefault="002B1DDA" w:rsidP="001D2CEB">
            <w:pPr>
              <w:jc w:val="center"/>
              <w:rPr>
                <w:kern w:val="0"/>
                <w:sz w:val="18"/>
                <w:szCs w:val="18"/>
              </w:rPr>
            </w:pPr>
            <w:r w:rsidRPr="00154994">
              <w:rPr>
                <w:kern w:val="0"/>
                <w:sz w:val="18"/>
                <w:szCs w:val="18"/>
              </w:rPr>
              <w:t>11/01/20</w:t>
            </w:r>
          </w:p>
        </w:tc>
        <w:tc>
          <w:tcPr>
            <w:tcW w:w="1800" w:type="dxa"/>
            <w:vAlign w:val="center"/>
          </w:tcPr>
          <w:p w14:paraId="762C4EDF" w14:textId="77777777" w:rsidR="002B1DDA" w:rsidRPr="00154994" w:rsidRDefault="002B1DDA" w:rsidP="001D2CEB">
            <w:pPr>
              <w:jc w:val="center"/>
              <w:rPr>
                <w:kern w:val="0"/>
                <w:sz w:val="18"/>
                <w:szCs w:val="18"/>
              </w:rPr>
            </w:pPr>
            <w:r w:rsidRPr="00154994">
              <w:rPr>
                <w:kern w:val="0"/>
                <w:sz w:val="18"/>
                <w:szCs w:val="18"/>
              </w:rPr>
              <w:t>04/11/21</w:t>
            </w:r>
          </w:p>
        </w:tc>
      </w:tr>
      <w:tr w:rsidR="002B1DDA" w:rsidRPr="00154994" w14:paraId="4584F1E2" w14:textId="77777777" w:rsidTr="001D2CEB">
        <w:trPr>
          <w:trHeight w:val="288"/>
          <w:jc w:val="center"/>
        </w:trPr>
        <w:tc>
          <w:tcPr>
            <w:tcW w:w="1075" w:type="dxa"/>
            <w:vAlign w:val="center"/>
          </w:tcPr>
          <w:p w14:paraId="0DB1FE0F" w14:textId="77777777" w:rsidR="002B1DDA" w:rsidRPr="00154994" w:rsidRDefault="002B1DDA" w:rsidP="001D2CEB">
            <w:pPr>
              <w:jc w:val="center"/>
              <w:rPr>
                <w:kern w:val="0"/>
                <w:sz w:val="18"/>
                <w:szCs w:val="18"/>
              </w:rPr>
            </w:pPr>
            <w:r w:rsidRPr="00154994">
              <w:rPr>
                <w:kern w:val="0"/>
                <w:sz w:val="18"/>
                <w:szCs w:val="18"/>
              </w:rPr>
              <w:t>35:03</w:t>
            </w:r>
          </w:p>
        </w:tc>
        <w:tc>
          <w:tcPr>
            <w:tcW w:w="1080" w:type="dxa"/>
            <w:vAlign w:val="center"/>
          </w:tcPr>
          <w:p w14:paraId="006C4E95" w14:textId="77777777" w:rsidR="002B1DDA" w:rsidRPr="00154994" w:rsidRDefault="002B1DDA" w:rsidP="001D2CEB">
            <w:pPr>
              <w:jc w:val="center"/>
              <w:rPr>
                <w:kern w:val="0"/>
                <w:sz w:val="18"/>
                <w:szCs w:val="18"/>
              </w:rPr>
            </w:pPr>
            <w:r w:rsidRPr="00154994">
              <w:rPr>
                <w:kern w:val="0"/>
                <w:sz w:val="18"/>
                <w:szCs w:val="18"/>
              </w:rPr>
              <w:t>08/03/20</w:t>
            </w:r>
          </w:p>
        </w:tc>
        <w:tc>
          <w:tcPr>
            <w:tcW w:w="1080" w:type="dxa"/>
            <w:tcBorders>
              <w:right w:val="single" w:sz="4" w:space="0" w:color="auto"/>
            </w:tcBorders>
            <w:vAlign w:val="center"/>
          </w:tcPr>
          <w:p w14:paraId="560F6865" w14:textId="77777777" w:rsidR="002B1DDA" w:rsidRPr="00154994" w:rsidRDefault="002B1DDA" w:rsidP="001D2CEB">
            <w:pPr>
              <w:jc w:val="center"/>
              <w:rPr>
                <w:kern w:val="0"/>
                <w:sz w:val="18"/>
                <w:szCs w:val="18"/>
              </w:rPr>
            </w:pPr>
            <w:r w:rsidRPr="00154994">
              <w:rPr>
                <w:kern w:val="0"/>
                <w:sz w:val="18"/>
                <w:szCs w:val="18"/>
              </w:rPr>
              <w:t>07/13/20</w:t>
            </w:r>
          </w:p>
        </w:tc>
        <w:tc>
          <w:tcPr>
            <w:tcW w:w="1350" w:type="dxa"/>
            <w:tcBorders>
              <w:top w:val="single" w:sz="4" w:space="0" w:color="auto"/>
              <w:left w:val="single" w:sz="4" w:space="0" w:color="auto"/>
              <w:bottom w:val="single" w:sz="4" w:space="0" w:color="auto"/>
              <w:right w:val="single" w:sz="4" w:space="0" w:color="auto"/>
            </w:tcBorders>
            <w:vAlign w:val="center"/>
          </w:tcPr>
          <w:p w14:paraId="2824C25C" w14:textId="77777777" w:rsidR="002B1DDA" w:rsidRPr="00154994" w:rsidRDefault="002B1DDA" w:rsidP="001D2CEB">
            <w:pPr>
              <w:jc w:val="center"/>
              <w:rPr>
                <w:kern w:val="0"/>
                <w:sz w:val="18"/>
                <w:szCs w:val="18"/>
              </w:rPr>
            </w:pPr>
            <w:r w:rsidRPr="00154994">
              <w:rPr>
                <w:kern w:val="0"/>
                <w:sz w:val="18"/>
                <w:szCs w:val="18"/>
              </w:rPr>
              <w:t>08/18/20</w:t>
            </w:r>
          </w:p>
        </w:tc>
        <w:tc>
          <w:tcPr>
            <w:tcW w:w="1440" w:type="dxa"/>
            <w:tcBorders>
              <w:left w:val="single" w:sz="4" w:space="0" w:color="auto"/>
            </w:tcBorders>
            <w:vAlign w:val="center"/>
          </w:tcPr>
          <w:p w14:paraId="2541164B" w14:textId="77777777" w:rsidR="002B1DDA" w:rsidRPr="00154994" w:rsidRDefault="002B1DDA" w:rsidP="001D2CEB">
            <w:pPr>
              <w:jc w:val="center"/>
              <w:rPr>
                <w:kern w:val="0"/>
                <w:sz w:val="18"/>
                <w:szCs w:val="18"/>
              </w:rPr>
            </w:pPr>
            <w:r w:rsidRPr="00154994">
              <w:rPr>
                <w:kern w:val="0"/>
                <w:sz w:val="18"/>
                <w:szCs w:val="18"/>
              </w:rPr>
              <w:t>10/02/20</w:t>
            </w:r>
          </w:p>
        </w:tc>
        <w:tc>
          <w:tcPr>
            <w:tcW w:w="1710" w:type="dxa"/>
            <w:vAlign w:val="center"/>
          </w:tcPr>
          <w:p w14:paraId="4D01110A" w14:textId="77777777" w:rsidR="002B1DDA" w:rsidRPr="00154994" w:rsidRDefault="002B1DDA" w:rsidP="001D2CEB">
            <w:pPr>
              <w:jc w:val="center"/>
              <w:rPr>
                <w:kern w:val="0"/>
                <w:sz w:val="18"/>
                <w:szCs w:val="18"/>
              </w:rPr>
            </w:pPr>
            <w:r w:rsidRPr="00154994">
              <w:rPr>
                <w:kern w:val="0"/>
                <w:sz w:val="18"/>
                <w:szCs w:val="18"/>
              </w:rPr>
              <w:t>10/20/20</w:t>
            </w:r>
          </w:p>
        </w:tc>
        <w:tc>
          <w:tcPr>
            <w:tcW w:w="1080" w:type="dxa"/>
            <w:vAlign w:val="center"/>
          </w:tcPr>
          <w:p w14:paraId="3CF785A6" w14:textId="77777777" w:rsidR="002B1DDA" w:rsidRPr="00154994" w:rsidRDefault="002B1DDA" w:rsidP="001D2CEB">
            <w:pPr>
              <w:jc w:val="center"/>
              <w:rPr>
                <w:kern w:val="0"/>
                <w:sz w:val="18"/>
                <w:szCs w:val="18"/>
              </w:rPr>
            </w:pPr>
            <w:r w:rsidRPr="00154994">
              <w:rPr>
                <w:kern w:val="0"/>
                <w:sz w:val="18"/>
                <w:szCs w:val="18"/>
              </w:rPr>
              <w:t>11/19/20</w:t>
            </w:r>
          </w:p>
        </w:tc>
        <w:tc>
          <w:tcPr>
            <w:tcW w:w="1440" w:type="dxa"/>
            <w:vAlign w:val="center"/>
          </w:tcPr>
          <w:p w14:paraId="7ECF030C" w14:textId="77777777" w:rsidR="002B1DDA" w:rsidRPr="00154994" w:rsidRDefault="002B1DDA" w:rsidP="001D2CEB">
            <w:pPr>
              <w:jc w:val="center"/>
              <w:rPr>
                <w:kern w:val="0"/>
                <w:sz w:val="18"/>
                <w:szCs w:val="18"/>
              </w:rPr>
            </w:pPr>
            <w:r w:rsidRPr="00154994">
              <w:rPr>
                <w:kern w:val="0"/>
                <w:sz w:val="18"/>
                <w:szCs w:val="18"/>
              </w:rPr>
              <w:t>12/01/20</w:t>
            </w:r>
          </w:p>
        </w:tc>
        <w:tc>
          <w:tcPr>
            <w:tcW w:w="1800" w:type="dxa"/>
            <w:vAlign w:val="center"/>
          </w:tcPr>
          <w:p w14:paraId="66B4EA14" w14:textId="77777777" w:rsidR="002B1DDA" w:rsidRPr="00154994" w:rsidRDefault="002B1DDA" w:rsidP="001D2CEB">
            <w:pPr>
              <w:jc w:val="center"/>
              <w:rPr>
                <w:kern w:val="0"/>
                <w:sz w:val="18"/>
                <w:szCs w:val="18"/>
              </w:rPr>
            </w:pPr>
            <w:r w:rsidRPr="00154994">
              <w:rPr>
                <w:kern w:val="0"/>
                <w:sz w:val="18"/>
                <w:szCs w:val="18"/>
              </w:rPr>
              <w:t>04/30/21</w:t>
            </w:r>
          </w:p>
        </w:tc>
      </w:tr>
      <w:tr w:rsidR="002B1DDA" w:rsidRPr="00154994" w14:paraId="6E1D7BC6" w14:textId="77777777" w:rsidTr="001D2CEB">
        <w:trPr>
          <w:trHeight w:val="288"/>
          <w:jc w:val="center"/>
        </w:trPr>
        <w:tc>
          <w:tcPr>
            <w:tcW w:w="1075" w:type="dxa"/>
            <w:vAlign w:val="center"/>
          </w:tcPr>
          <w:p w14:paraId="1840452B" w14:textId="77777777" w:rsidR="002B1DDA" w:rsidRPr="00154994" w:rsidRDefault="002B1DDA" w:rsidP="001D2CEB">
            <w:pPr>
              <w:jc w:val="center"/>
              <w:rPr>
                <w:kern w:val="0"/>
                <w:sz w:val="18"/>
                <w:szCs w:val="18"/>
              </w:rPr>
            </w:pPr>
            <w:r w:rsidRPr="00154994">
              <w:rPr>
                <w:kern w:val="0"/>
                <w:sz w:val="18"/>
                <w:szCs w:val="18"/>
              </w:rPr>
              <w:t>35:04</w:t>
            </w:r>
          </w:p>
        </w:tc>
        <w:tc>
          <w:tcPr>
            <w:tcW w:w="1080" w:type="dxa"/>
            <w:vAlign w:val="center"/>
          </w:tcPr>
          <w:p w14:paraId="74AA42D5" w14:textId="77777777" w:rsidR="002B1DDA" w:rsidRPr="00154994" w:rsidRDefault="002B1DDA" w:rsidP="001D2CEB">
            <w:pPr>
              <w:jc w:val="center"/>
              <w:rPr>
                <w:kern w:val="0"/>
                <w:sz w:val="18"/>
                <w:szCs w:val="18"/>
              </w:rPr>
            </w:pPr>
            <w:r w:rsidRPr="00154994">
              <w:rPr>
                <w:kern w:val="0"/>
                <w:sz w:val="18"/>
                <w:szCs w:val="18"/>
              </w:rPr>
              <w:t>08/17/20</w:t>
            </w:r>
          </w:p>
        </w:tc>
        <w:tc>
          <w:tcPr>
            <w:tcW w:w="1080" w:type="dxa"/>
            <w:tcBorders>
              <w:right w:val="single" w:sz="4" w:space="0" w:color="auto"/>
            </w:tcBorders>
            <w:vAlign w:val="center"/>
          </w:tcPr>
          <w:p w14:paraId="42D2D8C5" w14:textId="77777777" w:rsidR="002B1DDA" w:rsidRPr="00154994" w:rsidRDefault="002B1DDA" w:rsidP="001D2CEB">
            <w:pPr>
              <w:jc w:val="center"/>
              <w:rPr>
                <w:kern w:val="0"/>
                <w:sz w:val="18"/>
                <w:szCs w:val="18"/>
              </w:rPr>
            </w:pPr>
            <w:r w:rsidRPr="00154994">
              <w:rPr>
                <w:kern w:val="0"/>
                <w:sz w:val="18"/>
                <w:szCs w:val="18"/>
              </w:rPr>
              <w:t>07/27/20</w:t>
            </w:r>
          </w:p>
        </w:tc>
        <w:tc>
          <w:tcPr>
            <w:tcW w:w="1350" w:type="dxa"/>
            <w:tcBorders>
              <w:top w:val="single" w:sz="4" w:space="0" w:color="auto"/>
              <w:left w:val="single" w:sz="4" w:space="0" w:color="auto"/>
              <w:bottom w:val="single" w:sz="4" w:space="0" w:color="auto"/>
              <w:right w:val="single" w:sz="4" w:space="0" w:color="auto"/>
            </w:tcBorders>
            <w:vAlign w:val="center"/>
          </w:tcPr>
          <w:p w14:paraId="2DD2CCEB" w14:textId="77777777" w:rsidR="002B1DDA" w:rsidRPr="00154994" w:rsidRDefault="002B1DDA" w:rsidP="001D2CEB">
            <w:pPr>
              <w:jc w:val="center"/>
              <w:rPr>
                <w:kern w:val="0"/>
                <w:sz w:val="18"/>
                <w:szCs w:val="18"/>
              </w:rPr>
            </w:pPr>
            <w:r w:rsidRPr="00154994">
              <w:rPr>
                <w:kern w:val="0"/>
                <w:sz w:val="18"/>
                <w:szCs w:val="18"/>
              </w:rPr>
              <w:t>09/01/20</w:t>
            </w:r>
          </w:p>
        </w:tc>
        <w:tc>
          <w:tcPr>
            <w:tcW w:w="1440" w:type="dxa"/>
            <w:tcBorders>
              <w:left w:val="single" w:sz="4" w:space="0" w:color="auto"/>
            </w:tcBorders>
            <w:vAlign w:val="center"/>
          </w:tcPr>
          <w:p w14:paraId="0B0C1490" w14:textId="77777777" w:rsidR="002B1DDA" w:rsidRPr="00154994" w:rsidRDefault="002B1DDA" w:rsidP="001D2CEB">
            <w:pPr>
              <w:jc w:val="center"/>
              <w:rPr>
                <w:kern w:val="0"/>
                <w:sz w:val="18"/>
                <w:szCs w:val="18"/>
              </w:rPr>
            </w:pPr>
            <w:r w:rsidRPr="00154994">
              <w:rPr>
                <w:kern w:val="0"/>
                <w:sz w:val="18"/>
                <w:szCs w:val="18"/>
              </w:rPr>
              <w:t>10/16/20</w:t>
            </w:r>
          </w:p>
        </w:tc>
        <w:tc>
          <w:tcPr>
            <w:tcW w:w="1710" w:type="dxa"/>
            <w:vAlign w:val="center"/>
          </w:tcPr>
          <w:p w14:paraId="697D8CD6" w14:textId="77777777" w:rsidR="002B1DDA" w:rsidRPr="00154994" w:rsidRDefault="002B1DDA" w:rsidP="001D2CEB">
            <w:pPr>
              <w:jc w:val="center"/>
              <w:rPr>
                <w:kern w:val="0"/>
                <w:sz w:val="18"/>
                <w:szCs w:val="18"/>
              </w:rPr>
            </w:pPr>
            <w:r w:rsidRPr="00154994">
              <w:rPr>
                <w:kern w:val="0"/>
                <w:sz w:val="18"/>
                <w:szCs w:val="18"/>
              </w:rPr>
              <w:t>10/20/20</w:t>
            </w:r>
          </w:p>
        </w:tc>
        <w:tc>
          <w:tcPr>
            <w:tcW w:w="1080" w:type="dxa"/>
            <w:vAlign w:val="center"/>
          </w:tcPr>
          <w:p w14:paraId="1090D43F" w14:textId="77777777" w:rsidR="002B1DDA" w:rsidRPr="00154994" w:rsidRDefault="002B1DDA" w:rsidP="001D2CEB">
            <w:pPr>
              <w:jc w:val="center"/>
              <w:rPr>
                <w:kern w:val="0"/>
                <w:sz w:val="18"/>
                <w:szCs w:val="18"/>
              </w:rPr>
            </w:pPr>
            <w:r w:rsidRPr="00154994">
              <w:rPr>
                <w:kern w:val="0"/>
                <w:sz w:val="18"/>
                <w:szCs w:val="18"/>
              </w:rPr>
              <w:t>11/19/20</w:t>
            </w:r>
          </w:p>
        </w:tc>
        <w:tc>
          <w:tcPr>
            <w:tcW w:w="1440" w:type="dxa"/>
            <w:vAlign w:val="center"/>
          </w:tcPr>
          <w:p w14:paraId="1F2B3AF2" w14:textId="77777777" w:rsidR="002B1DDA" w:rsidRPr="00154994" w:rsidRDefault="002B1DDA" w:rsidP="001D2CEB">
            <w:pPr>
              <w:jc w:val="center"/>
              <w:rPr>
                <w:kern w:val="0"/>
                <w:sz w:val="18"/>
                <w:szCs w:val="18"/>
              </w:rPr>
            </w:pPr>
            <w:r w:rsidRPr="00154994">
              <w:rPr>
                <w:kern w:val="0"/>
                <w:sz w:val="18"/>
                <w:szCs w:val="18"/>
              </w:rPr>
              <w:t>12/01/20</w:t>
            </w:r>
          </w:p>
        </w:tc>
        <w:tc>
          <w:tcPr>
            <w:tcW w:w="1800" w:type="dxa"/>
            <w:vAlign w:val="center"/>
          </w:tcPr>
          <w:p w14:paraId="58812962" w14:textId="77777777" w:rsidR="002B1DDA" w:rsidRPr="00154994" w:rsidRDefault="002B1DDA" w:rsidP="001D2CEB">
            <w:pPr>
              <w:jc w:val="center"/>
              <w:rPr>
                <w:kern w:val="0"/>
                <w:sz w:val="18"/>
                <w:szCs w:val="18"/>
              </w:rPr>
            </w:pPr>
            <w:r w:rsidRPr="00154994">
              <w:rPr>
                <w:kern w:val="0"/>
                <w:sz w:val="18"/>
                <w:szCs w:val="18"/>
              </w:rPr>
              <w:t>05/14/21</w:t>
            </w:r>
          </w:p>
        </w:tc>
      </w:tr>
      <w:tr w:rsidR="002B1DDA" w:rsidRPr="00154994" w14:paraId="5D6675AA" w14:textId="77777777" w:rsidTr="001D2CEB">
        <w:trPr>
          <w:trHeight w:val="288"/>
          <w:jc w:val="center"/>
        </w:trPr>
        <w:tc>
          <w:tcPr>
            <w:tcW w:w="1075" w:type="dxa"/>
            <w:vAlign w:val="center"/>
          </w:tcPr>
          <w:p w14:paraId="7C225FB3" w14:textId="77777777" w:rsidR="002B1DDA" w:rsidRPr="00154994" w:rsidRDefault="002B1DDA" w:rsidP="001D2CEB">
            <w:pPr>
              <w:jc w:val="center"/>
              <w:rPr>
                <w:kern w:val="0"/>
                <w:sz w:val="18"/>
                <w:szCs w:val="18"/>
              </w:rPr>
            </w:pPr>
            <w:r w:rsidRPr="00154994">
              <w:rPr>
                <w:kern w:val="0"/>
                <w:sz w:val="18"/>
                <w:szCs w:val="18"/>
              </w:rPr>
              <w:t>35:05</w:t>
            </w:r>
          </w:p>
        </w:tc>
        <w:tc>
          <w:tcPr>
            <w:tcW w:w="1080" w:type="dxa"/>
            <w:vAlign w:val="center"/>
          </w:tcPr>
          <w:p w14:paraId="4DBE5122" w14:textId="77777777" w:rsidR="002B1DDA" w:rsidRPr="00154994" w:rsidRDefault="002B1DDA" w:rsidP="001D2CEB">
            <w:pPr>
              <w:jc w:val="center"/>
              <w:rPr>
                <w:kern w:val="0"/>
                <w:sz w:val="18"/>
                <w:szCs w:val="18"/>
              </w:rPr>
            </w:pPr>
            <w:r w:rsidRPr="00154994">
              <w:rPr>
                <w:kern w:val="0"/>
                <w:sz w:val="18"/>
                <w:szCs w:val="18"/>
              </w:rPr>
              <w:t>09/01/20</w:t>
            </w:r>
          </w:p>
        </w:tc>
        <w:tc>
          <w:tcPr>
            <w:tcW w:w="1080" w:type="dxa"/>
            <w:tcBorders>
              <w:right w:val="single" w:sz="4" w:space="0" w:color="auto"/>
            </w:tcBorders>
            <w:vAlign w:val="center"/>
          </w:tcPr>
          <w:p w14:paraId="193B6FFA" w14:textId="77777777" w:rsidR="002B1DDA" w:rsidRPr="00154994" w:rsidRDefault="002B1DDA" w:rsidP="001D2CEB">
            <w:pPr>
              <w:jc w:val="center"/>
              <w:rPr>
                <w:kern w:val="0"/>
                <w:sz w:val="18"/>
                <w:szCs w:val="18"/>
              </w:rPr>
            </w:pPr>
            <w:r w:rsidRPr="00154994">
              <w:rPr>
                <w:kern w:val="0"/>
                <w:sz w:val="18"/>
                <w:szCs w:val="18"/>
              </w:rPr>
              <w:t>08/11/20</w:t>
            </w:r>
          </w:p>
        </w:tc>
        <w:tc>
          <w:tcPr>
            <w:tcW w:w="1350" w:type="dxa"/>
            <w:tcBorders>
              <w:top w:val="single" w:sz="4" w:space="0" w:color="auto"/>
              <w:left w:val="single" w:sz="4" w:space="0" w:color="auto"/>
              <w:bottom w:val="single" w:sz="4" w:space="0" w:color="auto"/>
              <w:right w:val="single" w:sz="4" w:space="0" w:color="auto"/>
            </w:tcBorders>
            <w:vAlign w:val="center"/>
          </w:tcPr>
          <w:p w14:paraId="18438F82" w14:textId="77777777" w:rsidR="002B1DDA" w:rsidRPr="00154994" w:rsidRDefault="002B1DDA" w:rsidP="001D2CEB">
            <w:pPr>
              <w:jc w:val="center"/>
              <w:rPr>
                <w:kern w:val="0"/>
                <w:sz w:val="18"/>
                <w:szCs w:val="18"/>
              </w:rPr>
            </w:pPr>
            <w:r w:rsidRPr="00154994">
              <w:rPr>
                <w:kern w:val="0"/>
                <w:sz w:val="18"/>
                <w:szCs w:val="18"/>
              </w:rPr>
              <w:t>09/16/20</w:t>
            </w:r>
          </w:p>
        </w:tc>
        <w:tc>
          <w:tcPr>
            <w:tcW w:w="1440" w:type="dxa"/>
            <w:tcBorders>
              <w:left w:val="single" w:sz="4" w:space="0" w:color="auto"/>
            </w:tcBorders>
            <w:vAlign w:val="center"/>
          </w:tcPr>
          <w:p w14:paraId="72E51EDA" w14:textId="77777777" w:rsidR="002B1DDA" w:rsidRPr="00154994" w:rsidRDefault="002B1DDA" w:rsidP="001D2CEB">
            <w:pPr>
              <w:jc w:val="center"/>
              <w:rPr>
                <w:kern w:val="0"/>
                <w:sz w:val="18"/>
                <w:szCs w:val="18"/>
              </w:rPr>
            </w:pPr>
            <w:r w:rsidRPr="00154994">
              <w:rPr>
                <w:kern w:val="0"/>
                <w:sz w:val="18"/>
                <w:szCs w:val="18"/>
              </w:rPr>
              <w:t>11/02/20</w:t>
            </w:r>
          </w:p>
        </w:tc>
        <w:tc>
          <w:tcPr>
            <w:tcW w:w="1710" w:type="dxa"/>
            <w:vAlign w:val="center"/>
          </w:tcPr>
          <w:p w14:paraId="5ADD8CFA" w14:textId="77777777" w:rsidR="002B1DDA" w:rsidRPr="00154994" w:rsidRDefault="002B1DDA" w:rsidP="001D2CEB">
            <w:pPr>
              <w:jc w:val="center"/>
              <w:rPr>
                <w:kern w:val="0"/>
                <w:sz w:val="18"/>
                <w:szCs w:val="18"/>
              </w:rPr>
            </w:pPr>
            <w:r w:rsidRPr="00154994">
              <w:rPr>
                <w:kern w:val="0"/>
                <w:sz w:val="18"/>
                <w:szCs w:val="18"/>
              </w:rPr>
              <w:t>11/20/20</w:t>
            </w:r>
          </w:p>
        </w:tc>
        <w:tc>
          <w:tcPr>
            <w:tcW w:w="1080" w:type="dxa"/>
            <w:vAlign w:val="center"/>
          </w:tcPr>
          <w:p w14:paraId="00762F5C" w14:textId="77777777" w:rsidR="002B1DDA" w:rsidRPr="00154994" w:rsidRDefault="002B1DDA" w:rsidP="001D2CEB">
            <w:pPr>
              <w:jc w:val="center"/>
              <w:rPr>
                <w:kern w:val="0"/>
                <w:sz w:val="18"/>
                <w:szCs w:val="18"/>
              </w:rPr>
            </w:pPr>
            <w:r w:rsidRPr="00154994">
              <w:rPr>
                <w:kern w:val="0"/>
                <w:sz w:val="18"/>
                <w:szCs w:val="18"/>
              </w:rPr>
              <w:t>12/17/20</w:t>
            </w:r>
          </w:p>
        </w:tc>
        <w:tc>
          <w:tcPr>
            <w:tcW w:w="1440" w:type="dxa"/>
            <w:vAlign w:val="center"/>
          </w:tcPr>
          <w:p w14:paraId="51039C69" w14:textId="77777777" w:rsidR="002B1DDA" w:rsidRPr="00154994" w:rsidRDefault="002B1DDA" w:rsidP="001D2CEB">
            <w:pPr>
              <w:jc w:val="center"/>
              <w:rPr>
                <w:kern w:val="0"/>
                <w:sz w:val="18"/>
                <w:szCs w:val="18"/>
              </w:rPr>
            </w:pPr>
            <w:r w:rsidRPr="00154994">
              <w:rPr>
                <w:kern w:val="0"/>
                <w:sz w:val="18"/>
                <w:szCs w:val="18"/>
              </w:rPr>
              <w:t>01/01/21</w:t>
            </w:r>
          </w:p>
        </w:tc>
        <w:tc>
          <w:tcPr>
            <w:tcW w:w="1800" w:type="dxa"/>
            <w:vAlign w:val="center"/>
          </w:tcPr>
          <w:p w14:paraId="129446A2" w14:textId="77777777" w:rsidR="002B1DDA" w:rsidRPr="00154994" w:rsidRDefault="002B1DDA" w:rsidP="001D2CEB">
            <w:pPr>
              <w:jc w:val="center"/>
              <w:rPr>
                <w:kern w:val="0"/>
                <w:sz w:val="18"/>
                <w:szCs w:val="18"/>
              </w:rPr>
            </w:pPr>
            <w:r w:rsidRPr="00154994">
              <w:rPr>
                <w:kern w:val="0"/>
                <w:sz w:val="18"/>
                <w:szCs w:val="18"/>
              </w:rPr>
              <w:t>05/29/21</w:t>
            </w:r>
          </w:p>
        </w:tc>
      </w:tr>
      <w:tr w:rsidR="002B1DDA" w:rsidRPr="00154994" w14:paraId="166C1491" w14:textId="77777777" w:rsidTr="001D2CEB">
        <w:trPr>
          <w:trHeight w:val="288"/>
          <w:jc w:val="center"/>
        </w:trPr>
        <w:tc>
          <w:tcPr>
            <w:tcW w:w="1075" w:type="dxa"/>
            <w:vAlign w:val="center"/>
          </w:tcPr>
          <w:p w14:paraId="3EBCD92B" w14:textId="77777777" w:rsidR="002B1DDA" w:rsidRPr="00154994" w:rsidRDefault="002B1DDA" w:rsidP="001D2CEB">
            <w:pPr>
              <w:jc w:val="center"/>
              <w:rPr>
                <w:kern w:val="0"/>
                <w:sz w:val="18"/>
                <w:szCs w:val="18"/>
              </w:rPr>
            </w:pPr>
            <w:r w:rsidRPr="00154994">
              <w:rPr>
                <w:kern w:val="0"/>
                <w:sz w:val="18"/>
                <w:szCs w:val="18"/>
              </w:rPr>
              <w:t>35:06</w:t>
            </w:r>
          </w:p>
        </w:tc>
        <w:tc>
          <w:tcPr>
            <w:tcW w:w="1080" w:type="dxa"/>
            <w:vAlign w:val="center"/>
          </w:tcPr>
          <w:p w14:paraId="6DE41B5D" w14:textId="77777777" w:rsidR="002B1DDA" w:rsidRPr="00154994" w:rsidRDefault="002B1DDA" w:rsidP="001D2CEB">
            <w:pPr>
              <w:jc w:val="center"/>
              <w:rPr>
                <w:kern w:val="0"/>
                <w:sz w:val="18"/>
                <w:szCs w:val="18"/>
              </w:rPr>
            </w:pPr>
            <w:r w:rsidRPr="00154994">
              <w:rPr>
                <w:kern w:val="0"/>
                <w:sz w:val="18"/>
                <w:szCs w:val="18"/>
              </w:rPr>
              <w:t>09/15/20</w:t>
            </w:r>
          </w:p>
        </w:tc>
        <w:tc>
          <w:tcPr>
            <w:tcW w:w="1080" w:type="dxa"/>
            <w:tcBorders>
              <w:right w:val="single" w:sz="4" w:space="0" w:color="auto"/>
            </w:tcBorders>
            <w:vAlign w:val="center"/>
          </w:tcPr>
          <w:p w14:paraId="62FAA955" w14:textId="77777777" w:rsidR="002B1DDA" w:rsidRPr="00154994" w:rsidRDefault="002B1DDA" w:rsidP="001D2CEB">
            <w:pPr>
              <w:jc w:val="center"/>
              <w:rPr>
                <w:kern w:val="0"/>
                <w:sz w:val="18"/>
                <w:szCs w:val="18"/>
              </w:rPr>
            </w:pPr>
            <w:r w:rsidRPr="00154994">
              <w:rPr>
                <w:kern w:val="0"/>
                <w:sz w:val="18"/>
                <w:szCs w:val="18"/>
              </w:rPr>
              <w:t>08/24/20</w:t>
            </w:r>
          </w:p>
        </w:tc>
        <w:tc>
          <w:tcPr>
            <w:tcW w:w="1350" w:type="dxa"/>
            <w:tcBorders>
              <w:top w:val="single" w:sz="4" w:space="0" w:color="auto"/>
              <w:left w:val="single" w:sz="4" w:space="0" w:color="auto"/>
              <w:bottom w:val="single" w:sz="4" w:space="0" w:color="auto"/>
              <w:right w:val="single" w:sz="4" w:space="0" w:color="auto"/>
            </w:tcBorders>
            <w:vAlign w:val="center"/>
          </w:tcPr>
          <w:p w14:paraId="453F071B" w14:textId="77777777" w:rsidR="002B1DDA" w:rsidRPr="00154994" w:rsidRDefault="002B1DDA" w:rsidP="001D2CEB">
            <w:pPr>
              <w:jc w:val="center"/>
              <w:rPr>
                <w:kern w:val="0"/>
                <w:sz w:val="18"/>
                <w:szCs w:val="18"/>
              </w:rPr>
            </w:pPr>
            <w:r w:rsidRPr="00154994">
              <w:rPr>
                <w:kern w:val="0"/>
                <w:sz w:val="18"/>
                <w:szCs w:val="18"/>
              </w:rPr>
              <w:t>09/30/20</w:t>
            </w:r>
          </w:p>
        </w:tc>
        <w:tc>
          <w:tcPr>
            <w:tcW w:w="1440" w:type="dxa"/>
            <w:tcBorders>
              <w:left w:val="single" w:sz="4" w:space="0" w:color="auto"/>
            </w:tcBorders>
            <w:vAlign w:val="center"/>
          </w:tcPr>
          <w:p w14:paraId="1E007FDC" w14:textId="77777777" w:rsidR="002B1DDA" w:rsidRPr="00154994" w:rsidRDefault="002B1DDA" w:rsidP="001D2CEB">
            <w:pPr>
              <w:jc w:val="center"/>
              <w:rPr>
                <w:kern w:val="0"/>
                <w:sz w:val="18"/>
                <w:szCs w:val="18"/>
              </w:rPr>
            </w:pPr>
            <w:r w:rsidRPr="00154994">
              <w:rPr>
                <w:kern w:val="0"/>
                <w:sz w:val="18"/>
                <w:szCs w:val="18"/>
              </w:rPr>
              <w:t>11/16/20</w:t>
            </w:r>
          </w:p>
        </w:tc>
        <w:tc>
          <w:tcPr>
            <w:tcW w:w="1710" w:type="dxa"/>
            <w:vAlign w:val="center"/>
          </w:tcPr>
          <w:p w14:paraId="1435E7BA" w14:textId="77777777" w:rsidR="002B1DDA" w:rsidRPr="00154994" w:rsidRDefault="002B1DDA" w:rsidP="001D2CEB">
            <w:pPr>
              <w:jc w:val="center"/>
              <w:rPr>
                <w:kern w:val="0"/>
                <w:sz w:val="18"/>
                <w:szCs w:val="18"/>
              </w:rPr>
            </w:pPr>
            <w:r w:rsidRPr="00154994">
              <w:rPr>
                <w:kern w:val="0"/>
                <w:sz w:val="18"/>
                <w:szCs w:val="18"/>
              </w:rPr>
              <w:t>11/20/20</w:t>
            </w:r>
          </w:p>
        </w:tc>
        <w:tc>
          <w:tcPr>
            <w:tcW w:w="1080" w:type="dxa"/>
            <w:vAlign w:val="center"/>
          </w:tcPr>
          <w:p w14:paraId="73078503" w14:textId="77777777" w:rsidR="002B1DDA" w:rsidRPr="00154994" w:rsidRDefault="002B1DDA" w:rsidP="001D2CEB">
            <w:pPr>
              <w:jc w:val="center"/>
              <w:rPr>
                <w:kern w:val="0"/>
                <w:sz w:val="18"/>
                <w:szCs w:val="18"/>
              </w:rPr>
            </w:pPr>
            <w:r w:rsidRPr="00154994">
              <w:rPr>
                <w:kern w:val="0"/>
                <w:sz w:val="18"/>
                <w:szCs w:val="18"/>
              </w:rPr>
              <w:t>12/17/20</w:t>
            </w:r>
          </w:p>
        </w:tc>
        <w:tc>
          <w:tcPr>
            <w:tcW w:w="1440" w:type="dxa"/>
            <w:vAlign w:val="center"/>
          </w:tcPr>
          <w:p w14:paraId="0286B802" w14:textId="77777777" w:rsidR="002B1DDA" w:rsidRPr="00154994" w:rsidRDefault="002B1DDA" w:rsidP="001D2CEB">
            <w:pPr>
              <w:jc w:val="center"/>
              <w:rPr>
                <w:kern w:val="0"/>
                <w:sz w:val="18"/>
                <w:szCs w:val="18"/>
              </w:rPr>
            </w:pPr>
            <w:r w:rsidRPr="00154994">
              <w:rPr>
                <w:kern w:val="0"/>
                <w:sz w:val="18"/>
                <w:szCs w:val="18"/>
              </w:rPr>
              <w:t>01/01/21</w:t>
            </w:r>
          </w:p>
        </w:tc>
        <w:tc>
          <w:tcPr>
            <w:tcW w:w="1800" w:type="dxa"/>
            <w:vAlign w:val="center"/>
          </w:tcPr>
          <w:p w14:paraId="054DD835" w14:textId="77777777" w:rsidR="002B1DDA" w:rsidRPr="00154994" w:rsidRDefault="002B1DDA" w:rsidP="001D2CEB">
            <w:pPr>
              <w:jc w:val="center"/>
              <w:rPr>
                <w:kern w:val="0"/>
                <w:sz w:val="18"/>
                <w:szCs w:val="18"/>
              </w:rPr>
            </w:pPr>
            <w:r w:rsidRPr="00154994">
              <w:rPr>
                <w:kern w:val="0"/>
                <w:sz w:val="18"/>
                <w:szCs w:val="18"/>
              </w:rPr>
              <w:t>06/12/21</w:t>
            </w:r>
          </w:p>
        </w:tc>
      </w:tr>
      <w:tr w:rsidR="002B1DDA" w:rsidRPr="00154994" w14:paraId="4B70746D" w14:textId="77777777" w:rsidTr="001D2CEB">
        <w:trPr>
          <w:trHeight w:val="288"/>
          <w:jc w:val="center"/>
        </w:trPr>
        <w:tc>
          <w:tcPr>
            <w:tcW w:w="1075" w:type="dxa"/>
            <w:vAlign w:val="center"/>
          </w:tcPr>
          <w:p w14:paraId="4B5DC8B2" w14:textId="77777777" w:rsidR="002B1DDA" w:rsidRPr="00154994" w:rsidRDefault="002B1DDA" w:rsidP="001D2CEB">
            <w:pPr>
              <w:jc w:val="center"/>
              <w:rPr>
                <w:kern w:val="0"/>
                <w:sz w:val="18"/>
                <w:szCs w:val="18"/>
              </w:rPr>
            </w:pPr>
            <w:r w:rsidRPr="00154994">
              <w:rPr>
                <w:kern w:val="0"/>
                <w:sz w:val="18"/>
                <w:szCs w:val="18"/>
              </w:rPr>
              <w:t>35:07</w:t>
            </w:r>
          </w:p>
        </w:tc>
        <w:tc>
          <w:tcPr>
            <w:tcW w:w="1080" w:type="dxa"/>
            <w:vAlign w:val="center"/>
          </w:tcPr>
          <w:p w14:paraId="67E930F0" w14:textId="77777777" w:rsidR="002B1DDA" w:rsidRPr="00154994" w:rsidRDefault="002B1DDA" w:rsidP="001D2CEB">
            <w:pPr>
              <w:jc w:val="center"/>
              <w:rPr>
                <w:kern w:val="0"/>
                <w:sz w:val="18"/>
                <w:szCs w:val="18"/>
              </w:rPr>
            </w:pPr>
            <w:r w:rsidRPr="00154994">
              <w:rPr>
                <w:kern w:val="0"/>
                <w:sz w:val="18"/>
                <w:szCs w:val="18"/>
              </w:rPr>
              <w:t>10/01/20</w:t>
            </w:r>
          </w:p>
        </w:tc>
        <w:tc>
          <w:tcPr>
            <w:tcW w:w="1080" w:type="dxa"/>
            <w:tcBorders>
              <w:right w:val="single" w:sz="4" w:space="0" w:color="auto"/>
            </w:tcBorders>
            <w:vAlign w:val="center"/>
          </w:tcPr>
          <w:p w14:paraId="7807484B" w14:textId="77777777" w:rsidR="002B1DDA" w:rsidRPr="00154994" w:rsidRDefault="002B1DDA" w:rsidP="001D2CEB">
            <w:pPr>
              <w:jc w:val="center"/>
              <w:rPr>
                <w:kern w:val="0"/>
                <w:sz w:val="18"/>
                <w:szCs w:val="18"/>
              </w:rPr>
            </w:pPr>
            <w:r w:rsidRPr="00154994">
              <w:rPr>
                <w:kern w:val="0"/>
                <w:sz w:val="18"/>
                <w:szCs w:val="18"/>
              </w:rPr>
              <w:t>09/10/20</w:t>
            </w:r>
          </w:p>
        </w:tc>
        <w:tc>
          <w:tcPr>
            <w:tcW w:w="1350" w:type="dxa"/>
            <w:tcBorders>
              <w:top w:val="single" w:sz="4" w:space="0" w:color="auto"/>
              <w:left w:val="single" w:sz="4" w:space="0" w:color="auto"/>
              <w:bottom w:val="single" w:sz="4" w:space="0" w:color="auto"/>
              <w:right w:val="single" w:sz="4" w:space="0" w:color="auto"/>
            </w:tcBorders>
            <w:vAlign w:val="center"/>
          </w:tcPr>
          <w:p w14:paraId="4A6D4EAB" w14:textId="77777777" w:rsidR="002B1DDA" w:rsidRPr="00154994" w:rsidRDefault="002B1DDA" w:rsidP="001D2CEB">
            <w:pPr>
              <w:jc w:val="center"/>
              <w:rPr>
                <w:kern w:val="0"/>
                <w:sz w:val="18"/>
                <w:szCs w:val="18"/>
              </w:rPr>
            </w:pPr>
            <w:r w:rsidRPr="00154994">
              <w:rPr>
                <w:kern w:val="0"/>
                <w:sz w:val="18"/>
                <w:szCs w:val="18"/>
              </w:rPr>
              <w:t>10/16/20</w:t>
            </w:r>
          </w:p>
        </w:tc>
        <w:tc>
          <w:tcPr>
            <w:tcW w:w="1440" w:type="dxa"/>
            <w:tcBorders>
              <w:left w:val="single" w:sz="4" w:space="0" w:color="auto"/>
            </w:tcBorders>
            <w:vAlign w:val="center"/>
          </w:tcPr>
          <w:p w14:paraId="5E6FE5D6" w14:textId="77777777" w:rsidR="002B1DDA" w:rsidRPr="00154994" w:rsidRDefault="002B1DDA" w:rsidP="001D2CEB">
            <w:pPr>
              <w:jc w:val="center"/>
              <w:rPr>
                <w:kern w:val="0"/>
                <w:sz w:val="18"/>
                <w:szCs w:val="18"/>
              </w:rPr>
            </w:pPr>
            <w:r w:rsidRPr="00154994">
              <w:rPr>
                <w:kern w:val="0"/>
                <w:sz w:val="18"/>
                <w:szCs w:val="18"/>
              </w:rPr>
              <w:t>11/30/20</w:t>
            </w:r>
          </w:p>
        </w:tc>
        <w:tc>
          <w:tcPr>
            <w:tcW w:w="1710" w:type="dxa"/>
            <w:vAlign w:val="center"/>
          </w:tcPr>
          <w:p w14:paraId="05D13C48" w14:textId="77777777" w:rsidR="002B1DDA" w:rsidRPr="00154994" w:rsidRDefault="002B1DDA" w:rsidP="001D2CEB">
            <w:pPr>
              <w:jc w:val="center"/>
              <w:rPr>
                <w:kern w:val="0"/>
                <w:sz w:val="18"/>
                <w:szCs w:val="18"/>
              </w:rPr>
            </w:pPr>
            <w:r w:rsidRPr="00154994">
              <w:rPr>
                <w:kern w:val="0"/>
                <w:sz w:val="18"/>
                <w:szCs w:val="18"/>
              </w:rPr>
              <w:t>12/21/20</w:t>
            </w:r>
          </w:p>
        </w:tc>
        <w:tc>
          <w:tcPr>
            <w:tcW w:w="1080" w:type="dxa"/>
            <w:vAlign w:val="center"/>
          </w:tcPr>
          <w:p w14:paraId="47023B19" w14:textId="77777777" w:rsidR="002B1DDA" w:rsidRPr="00154994" w:rsidRDefault="002B1DDA" w:rsidP="001D2CEB">
            <w:pPr>
              <w:jc w:val="center"/>
              <w:rPr>
                <w:kern w:val="0"/>
                <w:sz w:val="18"/>
                <w:szCs w:val="18"/>
              </w:rPr>
            </w:pPr>
            <w:r w:rsidRPr="00154994">
              <w:rPr>
                <w:kern w:val="0"/>
                <w:sz w:val="18"/>
                <w:szCs w:val="18"/>
              </w:rPr>
              <w:t>01/21/21</w:t>
            </w:r>
          </w:p>
        </w:tc>
        <w:tc>
          <w:tcPr>
            <w:tcW w:w="1440" w:type="dxa"/>
            <w:vAlign w:val="center"/>
          </w:tcPr>
          <w:p w14:paraId="3BA1F69D" w14:textId="77777777" w:rsidR="002B1DDA" w:rsidRPr="00154994" w:rsidRDefault="002B1DDA" w:rsidP="001D2CEB">
            <w:pPr>
              <w:jc w:val="center"/>
              <w:rPr>
                <w:kern w:val="0"/>
                <w:sz w:val="18"/>
                <w:szCs w:val="18"/>
              </w:rPr>
            </w:pPr>
            <w:r w:rsidRPr="00154994">
              <w:rPr>
                <w:kern w:val="0"/>
                <w:sz w:val="18"/>
                <w:szCs w:val="18"/>
              </w:rPr>
              <w:t>02/01/21</w:t>
            </w:r>
          </w:p>
        </w:tc>
        <w:tc>
          <w:tcPr>
            <w:tcW w:w="1800" w:type="dxa"/>
            <w:vAlign w:val="center"/>
          </w:tcPr>
          <w:p w14:paraId="4F7EB848" w14:textId="77777777" w:rsidR="002B1DDA" w:rsidRPr="00154994" w:rsidRDefault="002B1DDA" w:rsidP="001D2CEB">
            <w:pPr>
              <w:jc w:val="center"/>
              <w:rPr>
                <w:kern w:val="0"/>
                <w:sz w:val="18"/>
                <w:szCs w:val="18"/>
              </w:rPr>
            </w:pPr>
            <w:r w:rsidRPr="00154994">
              <w:rPr>
                <w:kern w:val="0"/>
                <w:sz w:val="18"/>
                <w:szCs w:val="18"/>
              </w:rPr>
              <w:t>06/28/21</w:t>
            </w:r>
          </w:p>
        </w:tc>
      </w:tr>
      <w:tr w:rsidR="002B1DDA" w:rsidRPr="00154994" w14:paraId="72E85F91" w14:textId="77777777" w:rsidTr="001D2CEB">
        <w:trPr>
          <w:trHeight w:val="288"/>
          <w:jc w:val="center"/>
        </w:trPr>
        <w:tc>
          <w:tcPr>
            <w:tcW w:w="1075" w:type="dxa"/>
            <w:vAlign w:val="center"/>
          </w:tcPr>
          <w:p w14:paraId="342F645F" w14:textId="77777777" w:rsidR="002B1DDA" w:rsidRPr="00154994" w:rsidRDefault="002B1DDA" w:rsidP="001D2CEB">
            <w:pPr>
              <w:jc w:val="center"/>
              <w:rPr>
                <w:kern w:val="0"/>
                <w:sz w:val="18"/>
                <w:szCs w:val="18"/>
              </w:rPr>
            </w:pPr>
            <w:r w:rsidRPr="00154994">
              <w:rPr>
                <w:kern w:val="0"/>
                <w:sz w:val="18"/>
                <w:szCs w:val="18"/>
              </w:rPr>
              <w:t>35:08</w:t>
            </w:r>
          </w:p>
        </w:tc>
        <w:tc>
          <w:tcPr>
            <w:tcW w:w="1080" w:type="dxa"/>
            <w:vAlign w:val="center"/>
          </w:tcPr>
          <w:p w14:paraId="192A6422" w14:textId="77777777" w:rsidR="002B1DDA" w:rsidRPr="00154994" w:rsidRDefault="002B1DDA" w:rsidP="001D2CEB">
            <w:pPr>
              <w:jc w:val="center"/>
              <w:rPr>
                <w:kern w:val="0"/>
                <w:sz w:val="18"/>
                <w:szCs w:val="18"/>
              </w:rPr>
            </w:pPr>
            <w:r w:rsidRPr="00154994">
              <w:rPr>
                <w:kern w:val="0"/>
                <w:sz w:val="18"/>
                <w:szCs w:val="18"/>
              </w:rPr>
              <w:t>10/15/20</w:t>
            </w:r>
          </w:p>
        </w:tc>
        <w:tc>
          <w:tcPr>
            <w:tcW w:w="1080" w:type="dxa"/>
            <w:tcBorders>
              <w:right w:val="single" w:sz="4" w:space="0" w:color="auto"/>
            </w:tcBorders>
            <w:vAlign w:val="center"/>
          </w:tcPr>
          <w:p w14:paraId="0A503B1B" w14:textId="77777777" w:rsidR="002B1DDA" w:rsidRPr="00154994" w:rsidRDefault="002B1DDA" w:rsidP="001D2CEB">
            <w:pPr>
              <w:jc w:val="center"/>
              <w:rPr>
                <w:kern w:val="0"/>
                <w:sz w:val="18"/>
                <w:szCs w:val="18"/>
              </w:rPr>
            </w:pPr>
            <w:r w:rsidRPr="00154994">
              <w:rPr>
                <w:kern w:val="0"/>
                <w:sz w:val="18"/>
                <w:szCs w:val="18"/>
              </w:rPr>
              <w:t>09/24/20</w:t>
            </w:r>
          </w:p>
        </w:tc>
        <w:tc>
          <w:tcPr>
            <w:tcW w:w="1350" w:type="dxa"/>
            <w:tcBorders>
              <w:top w:val="single" w:sz="4" w:space="0" w:color="auto"/>
              <w:left w:val="single" w:sz="4" w:space="0" w:color="auto"/>
              <w:bottom w:val="single" w:sz="4" w:space="0" w:color="auto"/>
              <w:right w:val="single" w:sz="4" w:space="0" w:color="auto"/>
            </w:tcBorders>
            <w:vAlign w:val="center"/>
          </w:tcPr>
          <w:p w14:paraId="42F82A9D" w14:textId="77777777" w:rsidR="002B1DDA" w:rsidRPr="00154994" w:rsidRDefault="002B1DDA" w:rsidP="001D2CEB">
            <w:pPr>
              <w:jc w:val="center"/>
              <w:rPr>
                <w:kern w:val="0"/>
                <w:sz w:val="18"/>
                <w:szCs w:val="18"/>
              </w:rPr>
            </w:pPr>
            <w:r w:rsidRPr="00154994">
              <w:rPr>
                <w:kern w:val="0"/>
                <w:sz w:val="18"/>
                <w:szCs w:val="18"/>
              </w:rPr>
              <w:t>10/30/20</w:t>
            </w:r>
          </w:p>
        </w:tc>
        <w:tc>
          <w:tcPr>
            <w:tcW w:w="1440" w:type="dxa"/>
            <w:tcBorders>
              <w:left w:val="single" w:sz="4" w:space="0" w:color="auto"/>
            </w:tcBorders>
            <w:vAlign w:val="center"/>
          </w:tcPr>
          <w:p w14:paraId="45879E87" w14:textId="77777777" w:rsidR="002B1DDA" w:rsidRPr="00154994" w:rsidRDefault="002B1DDA" w:rsidP="001D2CEB">
            <w:pPr>
              <w:jc w:val="center"/>
              <w:rPr>
                <w:kern w:val="0"/>
                <w:sz w:val="18"/>
                <w:szCs w:val="18"/>
              </w:rPr>
            </w:pPr>
            <w:r w:rsidRPr="00154994">
              <w:rPr>
                <w:kern w:val="0"/>
                <w:sz w:val="18"/>
                <w:szCs w:val="18"/>
              </w:rPr>
              <w:t>12/14/20</w:t>
            </w:r>
          </w:p>
        </w:tc>
        <w:tc>
          <w:tcPr>
            <w:tcW w:w="1710" w:type="dxa"/>
            <w:vAlign w:val="center"/>
          </w:tcPr>
          <w:p w14:paraId="7ED9848B" w14:textId="77777777" w:rsidR="002B1DDA" w:rsidRPr="00154994" w:rsidRDefault="002B1DDA" w:rsidP="001D2CEB">
            <w:pPr>
              <w:jc w:val="center"/>
              <w:rPr>
                <w:kern w:val="0"/>
                <w:sz w:val="18"/>
                <w:szCs w:val="18"/>
              </w:rPr>
            </w:pPr>
            <w:r w:rsidRPr="00154994">
              <w:rPr>
                <w:kern w:val="0"/>
                <w:sz w:val="18"/>
                <w:szCs w:val="18"/>
              </w:rPr>
              <w:t>12/21/20</w:t>
            </w:r>
          </w:p>
        </w:tc>
        <w:tc>
          <w:tcPr>
            <w:tcW w:w="1080" w:type="dxa"/>
            <w:vAlign w:val="center"/>
          </w:tcPr>
          <w:p w14:paraId="79BED116" w14:textId="77777777" w:rsidR="002B1DDA" w:rsidRPr="00154994" w:rsidRDefault="002B1DDA" w:rsidP="001D2CEB">
            <w:pPr>
              <w:jc w:val="center"/>
              <w:rPr>
                <w:kern w:val="0"/>
                <w:sz w:val="18"/>
                <w:szCs w:val="18"/>
              </w:rPr>
            </w:pPr>
            <w:r w:rsidRPr="00154994">
              <w:rPr>
                <w:kern w:val="0"/>
                <w:sz w:val="18"/>
                <w:szCs w:val="18"/>
              </w:rPr>
              <w:t>01/21/21</w:t>
            </w:r>
          </w:p>
        </w:tc>
        <w:tc>
          <w:tcPr>
            <w:tcW w:w="1440" w:type="dxa"/>
            <w:vAlign w:val="center"/>
          </w:tcPr>
          <w:p w14:paraId="28683E4B" w14:textId="77777777" w:rsidR="002B1DDA" w:rsidRPr="00154994" w:rsidRDefault="002B1DDA" w:rsidP="001D2CEB">
            <w:pPr>
              <w:jc w:val="center"/>
              <w:rPr>
                <w:kern w:val="0"/>
                <w:sz w:val="18"/>
                <w:szCs w:val="18"/>
              </w:rPr>
            </w:pPr>
            <w:r w:rsidRPr="00154994">
              <w:rPr>
                <w:kern w:val="0"/>
                <w:sz w:val="18"/>
                <w:szCs w:val="18"/>
              </w:rPr>
              <w:t>02/01/21</w:t>
            </w:r>
          </w:p>
        </w:tc>
        <w:tc>
          <w:tcPr>
            <w:tcW w:w="1800" w:type="dxa"/>
            <w:vAlign w:val="center"/>
          </w:tcPr>
          <w:p w14:paraId="422A7C1E" w14:textId="77777777" w:rsidR="002B1DDA" w:rsidRPr="00154994" w:rsidRDefault="002B1DDA" w:rsidP="001D2CEB">
            <w:pPr>
              <w:jc w:val="center"/>
              <w:rPr>
                <w:kern w:val="0"/>
                <w:sz w:val="18"/>
                <w:szCs w:val="18"/>
              </w:rPr>
            </w:pPr>
            <w:r w:rsidRPr="00154994">
              <w:rPr>
                <w:kern w:val="0"/>
                <w:sz w:val="18"/>
                <w:szCs w:val="18"/>
              </w:rPr>
              <w:t>07/12/21</w:t>
            </w:r>
          </w:p>
        </w:tc>
      </w:tr>
      <w:tr w:rsidR="002B1DDA" w:rsidRPr="00154994" w14:paraId="0BC46408" w14:textId="77777777" w:rsidTr="001D2CEB">
        <w:trPr>
          <w:trHeight w:val="288"/>
          <w:jc w:val="center"/>
        </w:trPr>
        <w:tc>
          <w:tcPr>
            <w:tcW w:w="1075" w:type="dxa"/>
            <w:vAlign w:val="center"/>
          </w:tcPr>
          <w:p w14:paraId="57A72141" w14:textId="77777777" w:rsidR="002B1DDA" w:rsidRPr="00154994" w:rsidRDefault="002B1DDA" w:rsidP="001D2CEB">
            <w:pPr>
              <w:jc w:val="center"/>
              <w:rPr>
                <w:kern w:val="0"/>
                <w:sz w:val="18"/>
                <w:szCs w:val="18"/>
              </w:rPr>
            </w:pPr>
            <w:r w:rsidRPr="00154994">
              <w:rPr>
                <w:kern w:val="0"/>
                <w:sz w:val="18"/>
                <w:szCs w:val="18"/>
              </w:rPr>
              <w:t>35:09</w:t>
            </w:r>
          </w:p>
        </w:tc>
        <w:tc>
          <w:tcPr>
            <w:tcW w:w="1080" w:type="dxa"/>
            <w:vAlign w:val="center"/>
          </w:tcPr>
          <w:p w14:paraId="41B3A3E3" w14:textId="77777777" w:rsidR="002B1DDA" w:rsidRPr="00154994" w:rsidRDefault="002B1DDA" w:rsidP="001D2CEB">
            <w:pPr>
              <w:jc w:val="center"/>
              <w:rPr>
                <w:kern w:val="0"/>
                <w:sz w:val="18"/>
                <w:szCs w:val="18"/>
              </w:rPr>
            </w:pPr>
            <w:r w:rsidRPr="00154994">
              <w:rPr>
                <w:kern w:val="0"/>
                <w:sz w:val="18"/>
                <w:szCs w:val="18"/>
              </w:rPr>
              <w:t>11/02/20</w:t>
            </w:r>
          </w:p>
        </w:tc>
        <w:tc>
          <w:tcPr>
            <w:tcW w:w="1080" w:type="dxa"/>
            <w:tcBorders>
              <w:right w:val="single" w:sz="4" w:space="0" w:color="auto"/>
            </w:tcBorders>
            <w:vAlign w:val="center"/>
          </w:tcPr>
          <w:p w14:paraId="23A31D2C" w14:textId="77777777" w:rsidR="002B1DDA" w:rsidRPr="00154994" w:rsidRDefault="002B1DDA" w:rsidP="001D2CEB">
            <w:pPr>
              <w:jc w:val="center"/>
              <w:rPr>
                <w:kern w:val="0"/>
                <w:sz w:val="18"/>
                <w:szCs w:val="18"/>
              </w:rPr>
            </w:pPr>
            <w:r w:rsidRPr="00154994">
              <w:rPr>
                <w:kern w:val="0"/>
                <w:sz w:val="18"/>
                <w:szCs w:val="18"/>
              </w:rPr>
              <w:t>10/12/20</w:t>
            </w:r>
          </w:p>
        </w:tc>
        <w:tc>
          <w:tcPr>
            <w:tcW w:w="1350" w:type="dxa"/>
            <w:tcBorders>
              <w:top w:val="single" w:sz="4" w:space="0" w:color="auto"/>
              <w:left w:val="single" w:sz="4" w:space="0" w:color="auto"/>
              <w:bottom w:val="single" w:sz="4" w:space="0" w:color="auto"/>
              <w:right w:val="single" w:sz="4" w:space="0" w:color="auto"/>
            </w:tcBorders>
            <w:vAlign w:val="center"/>
          </w:tcPr>
          <w:p w14:paraId="43A2F56E" w14:textId="77777777" w:rsidR="002B1DDA" w:rsidRPr="00154994" w:rsidRDefault="002B1DDA" w:rsidP="001D2CEB">
            <w:pPr>
              <w:jc w:val="center"/>
              <w:rPr>
                <w:kern w:val="0"/>
                <w:sz w:val="18"/>
                <w:szCs w:val="18"/>
              </w:rPr>
            </w:pPr>
            <w:r w:rsidRPr="00154994">
              <w:rPr>
                <w:kern w:val="0"/>
                <w:sz w:val="18"/>
                <w:szCs w:val="18"/>
              </w:rPr>
              <w:t>11/17/20</w:t>
            </w:r>
          </w:p>
        </w:tc>
        <w:tc>
          <w:tcPr>
            <w:tcW w:w="1440" w:type="dxa"/>
            <w:tcBorders>
              <w:left w:val="single" w:sz="4" w:space="0" w:color="auto"/>
            </w:tcBorders>
            <w:vAlign w:val="center"/>
          </w:tcPr>
          <w:p w14:paraId="5DAE4BA2" w14:textId="77777777" w:rsidR="002B1DDA" w:rsidRPr="00154994" w:rsidRDefault="002B1DDA" w:rsidP="001D2CEB">
            <w:pPr>
              <w:jc w:val="center"/>
              <w:rPr>
                <w:kern w:val="0"/>
                <w:sz w:val="18"/>
                <w:szCs w:val="18"/>
              </w:rPr>
            </w:pPr>
            <w:r w:rsidRPr="00154994">
              <w:rPr>
                <w:kern w:val="0"/>
                <w:sz w:val="18"/>
                <w:szCs w:val="18"/>
              </w:rPr>
              <w:t>01/04/21</w:t>
            </w:r>
          </w:p>
        </w:tc>
        <w:tc>
          <w:tcPr>
            <w:tcW w:w="1710" w:type="dxa"/>
            <w:vAlign w:val="center"/>
          </w:tcPr>
          <w:p w14:paraId="02987B6B" w14:textId="77777777" w:rsidR="002B1DDA" w:rsidRPr="00154994" w:rsidRDefault="002B1DDA" w:rsidP="001D2CEB">
            <w:pPr>
              <w:jc w:val="center"/>
              <w:rPr>
                <w:kern w:val="0"/>
                <w:sz w:val="18"/>
                <w:szCs w:val="18"/>
              </w:rPr>
            </w:pPr>
            <w:r w:rsidRPr="00154994">
              <w:rPr>
                <w:kern w:val="0"/>
                <w:sz w:val="18"/>
                <w:szCs w:val="18"/>
              </w:rPr>
              <w:t>01/20/21</w:t>
            </w:r>
          </w:p>
        </w:tc>
        <w:tc>
          <w:tcPr>
            <w:tcW w:w="1080" w:type="dxa"/>
            <w:vAlign w:val="center"/>
          </w:tcPr>
          <w:p w14:paraId="2EC36B20" w14:textId="77777777" w:rsidR="002B1DDA" w:rsidRPr="00154994" w:rsidRDefault="002B1DDA" w:rsidP="001D2CEB">
            <w:pPr>
              <w:jc w:val="center"/>
              <w:rPr>
                <w:kern w:val="0"/>
                <w:sz w:val="18"/>
                <w:szCs w:val="18"/>
              </w:rPr>
            </w:pPr>
            <w:r w:rsidRPr="00154994">
              <w:rPr>
                <w:kern w:val="0"/>
                <w:sz w:val="18"/>
                <w:szCs w:val="18"/>
              </w:rPr>
              <w:t>02/18/21</w:t>
            </w:r>
          </w:p>
        </w:tc>
        <w:tc>
          <w:tcPr>
            <w:tcW w:w="1440" w:type="dxa"/>
            <w:vAlign w:val="center"/>
          </w:tcPr>
          <w:p w14:paraId="19F16766" w14:textId="77777777" w:rsidR="002B1DDA" w:rsidRPr="00154994" w:rsidRDefault="002B1DDA" w:rsidP="001D2CEB">
            <w:pPr>
              <w:jc w:val="center"/>
              <w:rPr>
                <w:kern w:val="0"/>
                <w:sz w:val="18"/>
                <w:szCs w:val="18"/>
              </w:rPr>
            </w:pPr>
            <w:r w:rsidRPr="00154994">
              <w:rPr>
                <w:kern w:val="0"/>
                <w:sz w:val="18"/>
                <w:szCs w:val="18"/>
              </w:rPr>
              <w:t>03/01/21</w:t>
            </w:r>
          </w:p>
        </w:tc>
        <w:tc>
          <w:tcPr>
            <w:tcW w:w="1800" w:type="dxa"/>
            <w:vAlign w:val="center"/>
          </w:tcPr>
          <w:p w14:paraId="5D186415" w14:textId="77777777" w:rsidR="002B1DDA" w:rsidRPr="00154994" w:rsidRDefault="002B1DDA" w:rsidP="001D2CEB">
            <w:pPr>
              <w:jc w:val="center"/>
              <w:rPr>
                <w:kern w:val="0"/>
                <w:sz w:val="18"/>
                <w:szCs w:val="18"/>
              </w:rPr>
            </w:pPr>
            <w:r w:rsidRPr="00154994">
              <w:rPr>
                <w:kern w:val="0"/>
                <w:sz w:val="18"/>
                <w:szCs w:val="18"/>
              </w:rPr>
              <w:t>07/30/21</w:t>
            </w:r>
          </w:p>
        </w:tc>
      </w:tr>
      <w:tr w:rsidR="002B1DDA" w:rsidRPr="00154994" w14:paraId="39F8456A" w14:textId="77777777" w:rsidTr="001D2CEB">
        <w:trPr>
          <w:trHeight w:val="288"/>
          <w:jc w:val="center"/>
        </w:trPr>
        <w:tc>
          <w:tcPr>
            <w:tcW w:w="1075" w:type="dxa"/>
            <w:vAlign w:val="center"/>
          </w:tcPr>
          <w:p w14:paraId="083E37B0" w14:textId="77777777" w:rsidR="002B1DDA" w:rsidRPr="00154994" w:rsidRDefault="002B1DDA" w:rsidP="001D2CEB">
            <w:pPr>
              <w:jc w:val="center"/>
              <w:rPr>
                <w:kern w:val="0"/>
                <w:sz w:val="18"/>
                <w:szCs w:val="18"/>
              </w:rPr>
            </w:pPr>
            <w:r w:rsidRPr="00154994">
              <w:rPr>
                <w:kern w:val="0"/>
                <w:sz w:val="18"/>
                <w:szCs w:val="18"/>
              </w:rPr>
              <w:t>35:10</w:t>
            </w:r>
          </w:p>
        </w:tc>
        <w:tc>
          <w:tcPr>
            <w:tcW w:w="1080" w:type="dxa"/>
            <w:vAlign w:val="center"/>
          </w:tcPr>
          <w:p w14:paraId="55EB17EE" w14:textId="77777777" w:rsidR="002B1DDA" w:rsidRPr="00154994" w:rsidRDefault="002B1DDA" w:rsidP="001D2CEB">
            <w:pPr>
              <w:jc w:val="center"/>
              <w:rPr>
                <w:kern w:val="0"/>
                <w:sz w:val="18"/>
                <w:szCs w:val="18"/>
              </w:rPr>
            </w:pPr>
            <w:r w:rsidRPr="00154994">
              <w:rPr>
                <w:kern w:val="0"/>
                <w:sz w:val="18"/>
                <w:szCs w:val="18"/>
              </w:rPr>
              <w:t>11/16/20</w:t>
            </w:r>
          </w:p>
        </w:tc>
        <w:tc>
          <w:tcPr>
            <w:tcW w:w="1080" w:type="dxa"/>
            <w:tcBorders>
              <w:right w:val="single" w:sz="4" w:space="0" w:color="auto"/>
            </w:tcBorders>
            <w:vAlign w:val="center"/>
          </w:tcPr>
          <w:p w14:paraId="3701D9C2" w14:textId="77777777" w:rsidR="002B1DDA" w:rsidRPr="00154994" w:rsidRDefault="002B1DDA" w:rsidP="001D2CEB">
            <w:pPr>
              <w:jc w:val="center"/>
              <w:rPr>
                <w:kern w:val="0"/>
                <w:sz w:val="18"/>
                <w:szCs w:val="18"/>
              </w:rPr>
            </w:pPr>
            <w:r w:rsidRPr="00154994">
              <w:rPr>
                <w:kern w:val="0"/>
                <w:sz w:val="18"/>
                <w:szCs w:val="18"/>
              </w:rPr>
              <w:t>10/23/20</w:t>
            </w:r>
          </w:p>
        </w:tc>
        <w:tc>
          <w:tcPr>
            <w:tcW w:w="1350" w:type="dxa"/>
            <w:tcBorders>
              <w:top w:val="single" w:sz="4" w:space="0" w:color="auto"/>
              <w:left w:val="single" w:sz="4" w:space="0" w:color="auto"/>
              <w:bottom w:val="single" w:sz="4" w:space="0" w:color="auto"/>
              <w:right w:val="single" w:sz="4" w:space="0" w:color="auto"/>
            </w:tcBorders>
            <w:vAlign w:val="center"/>
          </w:tcPr>
          <w:p w14:paraId="5D0BA837" w14:textId="77777777" w:rsidR="002B1DDA" w:rsidRPr="00154994" w:rsidRDefault="002B1DDA" w:rsidP="001D2CEB">
            <w:pPr>
              <w:jc w:val="center"/>
              <w:rPr>
                <w:kern w:val="0"/>
                <w:sz w:val="18"/>
                <w:szCs w:val="18"/>
              </w:rPr>
            </w:pPr>
            <w:r w:rsidRPr="00154994">
              <w:rPr>
                <w:kern w:val="0"/>
                <w:sz w:val="18"/>
                <w:szCs w:val="18"/>
              </w:rPr>
              <w:t>12/01/20</w:t>
            </w:r>
          </w:p>
        </w:tc>
        <w:tc>
          <w:tcPr>
            <w:tcW w:w="1440" w:type="dxa"/>
            <w:tcBorders>
              <w:left w:val="single" w:sz="4" w:space="0" w:color="auto"/>
            </w:tcBorders>
            <w:vAlign w:val="center"/>
          </w:tcPr>
          <w:p w14:paraId="23411D6D" w14:textId="77777777" w:rsidR="002B1DDA" w:rsidRPr="00154994" w:rsidRDefault="002B1DDA" w:rsidP="001D2CEB">
            <w:pPr>
              <w:jc w:val="center"/>
              <w:rPr>
                <w:kern w:val="0"/>
                <w:sz w:val="18"/>
                <w:szCs w:val="18"/>
              </w:rPr>
            </w:pPr>
            <w:r w:rsidRPr="00154994">
              <w:rPr>
                <w:kern w:val="0"/>
                <w:sz w:val="18"/>
                <w:szCs w:val="18"/>
              </w:rPr>
              <w:t>01/15/21</w:t>
            </w:r>
          </w:p>
        </w:tc>
        <w:tc>
          <w:tcPr>
            <w:tcW w:w="1710" w:type="dxa"/>
            <w:vAlign w:val="center"/>
          </w:tcPr>
          <w:p w14:paraId="1412911A" w14:textId="77777777" w:rsidR="002B1DDA" w:rsidRPr="00154994" w:rsidRDefault="002B1DDA" w:rsidP="001D2CEB">
            <w:pPr>
              <w:jc w:val="center"/>
              <w:rPr>
                <w:kern w:val="0"/>
                <w:sz w:val="18"/>
                <w:szCs w:val="18"/>
              </w:rPr>
            </w:pPr>
            <w:r w:rsidRPr="00154994">
              <w:rPr>
                <w:kern w:val="0"/>
                <w:sz w:val="18"/>
                <w:szCs w:val="18"/>
              </w:rPr>
              <w:t>01/20/21</w:t>
            </w:r>
          </w:p>
        </w:tc>
        <w:tc>
          <w:tcPr>
            <w:tcW w:w="1080" w:type="dxa"/>
            <w:vAlign w:val="center"/>
          </w:tcPr>
          <w:p w14:paraId="27555642" w14:textId="77777777" w:rsidR="002B1DDA" w:rsidRPr="00154994" w:rsidRDefault="002B1DDA" w:rsidP="001D2CEB">
            <w:pPr>
              <w:jc w:val="center"/>
              <w:rPr>
                <w:kern w:val="0"/>
                <w:sz w:val="18"/>
                <w:szCs w:val="18"/>
              </w:rPr>
            </w:pPr>
            <w:r w:rsidRPr="00154994">
              <w:rPr>
                <w:kern w:val="0"/>
                <w:sz w:val="18"/>
                <w:szCs w:val="18"/>
              </w:rPr>
              <w:t>02/18/21</w:t>
            </w:r>
          </w:p>
        </w:tc>
        <w:tc>
          <w:tcPr>
            <w:tcW w:w="1440" w:type="dxa"/>
            <w:vAlign w:val="center"/>
          </w:tcPr>
          <w:p w14:paraId="0FDAE437" w14:textId="77777777" w:rsidR="002B1DDA" w:rsidRPr="00154994" w:rsidRDefault="002B1DDA" w:rsidP="001D2CEB">
            <w:pPr>
              <w:jc w:val="center"/>
              <w:rPr>
                <w:kern w:val="0"/>
                <w:sz w:val="18"/>
                <w:szCs w:val="18"/>
              </w:rPr>
            </w:pPr>
            <w:r w:rsidRPr="00154994">
              <w:rPr>
                <w:kern w:val="0"/>
                <w:sz w:val="18"/>
                <w:szCs w:val="18"/>
              </w:rPr>
              <w:t>03/01/21</w:t>
            </w:r>
          </w:p>
        </w:tc>
        <w:tc>
          <w:tcPr>
            <w:tcW w:w="1800" w:type="dxa"/>
            <w:vAlign w:val="center"/>
          </w:tcPr>
          <w:p w14:paraId="5B71DB55" w14:textId="77777777" w:rsidR="002B1DDA" w:rsidRPr="00154994" w:rsidRDefault="002B1DDA" w:rsidP="001D2CEB">
            <w:pPr>
              <w:jc w:val="center"/>
              <w:rPr>
                <w:kern w:val="0"/>
                <w:sz w:val="18"/>
                <w:szCs w:val="18"/>
              </w:rPr>
            </w:pPr>
            <w:r w:rsidRPr="00154994">
              <w:rPr>
                <w:kern w:val="0"/>
                <w:sz w:val="18"/>
                <w:szCs w:val="18"/>
              </w:rPr>
              <w:t>08/13/21</w:t>
            </w:r>
          </w:p>
        </w:tc>
      </w:tr>
      <w:tr w:rsidR="002B1DDA" w:rsidRPr="00154994" w14:paraId="2F02AAF1" w14:textId="77777777" w:rsidTr="001D2CEB">
        <w:trPr>
          <w:trHeight w:val="288"/>
          <w:jc w:val="center"/>
        </w:trPr>
        <w:tc>
          <w:tcPr>
            <w:tcW w:w="1075" w:type="dxa"/>
            <w:vAlign w:val="center"/>
          </w:tcPr>
          <w:p w14:paraId="048BBED1" w14:textId="77777777" w:rsidR="002B1DDA" w:rsidRPr="00154994" w:rsidRDefault="002B1DDA" w:rsidP="001D2CEB">
            <w:pPr>
              <w:jc w:val="center"/>
              <w:rPr>
                <w:kern w:val="0"/>
                <w:sz w:val="18"/>
                <w:szCs w:val="18"/>
              </w:rPr>
            </w:pPr>
            <w:r w:rsidRPr="00154994">
              <w:rPr>
                <w:kern w:val="0"/>
                <w:sz w:val="18"/>
                <w:szCs w:val="18"/>
              </w:rPr>
              <w:t>35:11</w:t>
            </w:r>
          </w:p>
        </w:tc>
        <w:tc>
          <w:tcPr>
            <w:tcW w:w="1080" w:type="dxa"/>
            <w:vAlign w:val="center"/>
          </w:tcPr>
          <w:p w14:paraId="0023FA19" w14:textId="77777777" w:rsidR="002B1DDA" w:rsidRPr="00154994" w:rsidRDefault="002B1DDA" w:rsidP="001D2CEB">
            <w:pPr>
              <w:jc w:val="center"/>
              <w:rPr>
                <w:kern w:val="0"/>
                <w:sz w:val="18"/>
                <w:szCs w:val="18"/>
              </w:rPr>
            </w:pPr>
            <w:r w:rsidRPr="00154994">
              <w:rPr>
                <w:kern w:val="0"/>
                <w:sz w:val="18"/>
                <w:szCs w:val="18"/>
              </w:rPr>
              <w:t>12/01/20</w:t>
            </w:r>
          </w:p>
        </w:tc>
        <w:tc>
          <w:tcPr>
            <w:tcW w:w="1080" w:type="dxa"/>
            <w:tcBorders>
              <w:right w:val="single" w:sz="4" w:space="0" w:color="auto"/>
            </w:tcBorders>
            <w:vAlign w:val="center"/>
          </w:tcPr>
          <w:p w14:paraId="7F3E3DF6" w14:textId="77777777" w:rsidR="002B1DDA" w:rsidRPr="00154994" w:rsidRDefault="002B1DDA" w:rsidP="001D2CEB">
            <w:pPr>
              <w:jc w:val="center"/>
              <w:rPr>
                <w:kern w:val="0"/>
                <w:sz w:val="18"/>
                <w:szCs w:val="18"/>
              </w:rPr>
            </w:pPr>
            <w:r w:rsidRPr="00154994">
              <w:rPr>
                <w:kern w:val="0"/>
                <w:sz w:val="18"/>
                <w:szCs w:val="18"/>
              </w:rPr>
              <w:t>11/05/20</w:t>
            </w:r>
          </w:p>
        </w:tc>
        <w:tc>
          <w:tcPr>
            <w:tcW w:w="1350" w:type="dxa"/>
            <w:tcBorders>
              <w:top w:val="single" w:sz="4" w:space="0" w:color="auto"/>
              <w:left w:val="single" w:sz="4" w:space="0" w:color="auto"/>
              <w:bottom w:val="single" w:sz="4" w:space="0" w:color="auto"/>
              <w:right w:val="single" w:sz="4" w:space="0" w:color="auto"/>
            </w:tcBorders>
            <w:vAlign w:val="center"/>
          </w:tcPr>
          <w:p w14:paraId="11DBFF02" w14:textId="77777777" w:rsidR="002B1DDA" w:rsidRPr="00154994" w:rsidRDefault="002B1DDA" w:rsidP="001D2CEB">
            <w:pPr>
              <w:jc w:val="center"/>
              <w:rPr>
                <w:kern w:val="0"/>
                <w:sz w:val="18"/>
                <w:szCs w:val="18"/>
              </w:rPr>
            </w:pPr>
            <w:r w:rsidRPr="00154994">
              <w:rPr>
                <w:kern w:val="0"/>
                <w:sz w:val="18"/>
                <w:szCs w:val="18"/>
              </w:rPr>
              <w:t>12/16/20</w:t>
            </w:r>
          </w:p>
        </w:tc>
        <w:tc>
          <w:tcPr>
            <w:tcW w:w="1440" w:type="dxa"/>
            <w:tcBorders>
              <w:left w:val="single" w:sz="4" w:space="0" w:color="auto"/>
            </w:tcBorders>
            <w:vAlign w:val="center"/>
          </w:tcPr>
          <w:p w14:paraId="3FD29C29" w14:textId="77777777" w:rsidR="002B1DDA" w:rsidRPr="00154994" w:rsidRDefault="002B1DDA" w:rsidP="001D2CEB">
            <w:pPr>
              <w:jc w:val="center"/>
              <w:rPr>
                <w:kern w:val="0"/>
                <w:sz w:val="18"/>
                <w:szCs w:val="18"/>
              </w:rPr>
            </w:pPr>
            <w:r w:rsidRPr="00154994">
              <w:rPr>
                <w:kern w:val="0"/>
                <w:sz w:val="18"/>
                <w:szCs w:val="18"/>
              </w:rPr>
              <w:t>02/01/21</w:t>
            </w:r>
          </w:p>
        </w:tc>
        <w:tc>
          <w:tcPr>
            <w:tcW w:w="1710" w:type="dxa"/>
            <w:vAlign w:val="center"/>
          </w:tcPr>
          <w:p w14:paraId="0DBD9FB9" w14:textId="77777777" w:rsidR="002B1DDA" w:rsidRPr="00154994" w:rsidRDefault="002B1DDA" w:rsidP="001D2CEB">
            <w:pPr>
              <w:jc w:val="center"/>
              <w:rPr>
                <w:kern w:val="0"/>
                <w:sz w:val="18"/>
                <w:szCs w:val="18"/>
              </w:rPr>
            </w:pPr>
            <w:r w:rsidRPr="00154994">
              <w:rPr>
                <w:kern w:val="0"/>
                <w:sz w:val="18"/>
                <w:szCs w:val="18"/>
              </w:rPr>
              <w:t>02/22/21</w:t>
            </w:r>
          </w:p>
        </w:tc>
        <w:tc>
          <w:tcPr>
            <w:tcW w:w="1080" w:type="dxa"/>
            <w:vAlign w:val="center"/>
          </w:tcPr>
          <w:p w14:paraId="3EA532FB" w14:textId="77777777" w:rsidR="002B1DDA" w:rsidRPr="00154994" w:rsidRDefault="002B1DDA" w:rsidP="001D2CEB">
            <w:pPr>
              <w:jc w:val="center"/>
              <w:rPr>
                <w:kern w:val="0"/>
                <w:sz w:val="18"/>
                <w:szCs w:val="18"/>
              </w:rPr>
            </w:pPr>
            <w:r w:rsidRPr="00154994">
              <w:rPr>
                <w:kern w:val="0"/>
                <w:sz w:val="18"/>
                <w:szCs w:val="18"/>
              </w:rPr>
              <w:t>03/18/21</w:t>
            </w:r>
          </w:p>
        </w:tc>
        <w:tc>
          <w:tcPr>
            <w:tcW w:w="1440" w:type="dxa"/>
            <w:vAlign w:val="center"/>
          </w:tcPr>
          <w:p w14:paraId="62A1988E" w14:textId="77777777" w:rsidR="002B1DDA" w:rsidRPr="00154994" w:rsidRDefault="002B1DDA" w:rsidP="001D2CEB">
            <w:pPr>
              <w:jc w:val="center"/>
              <w:rPr>
                <w:kern w:val="0"/>
                <w:sz w:val="18"/>
                <w:szCs w:val="18"/>
              </w:rPr>
            </w:pPr>
            <w:r w:rsidRPr="00154994">
              <w:rPr>
                <w:kern w:val="0"/>
                <w:sz w:val="18"/>
                <w:szCs w:val="18"/>
              </w:rPr>
              <w:t>04/01/21</w:t>
            </w:r>
          </w:p>
        </w:tc>
        <w:tc>
          <w:tcPr>
            <w:tcW w:w="1800" w:type="dxa"/>
            <w:vAlign w:val="center"/>
          </w:tcPr>
          <w:p w14:paraId="6C666377" w14:textId="77777777" w:rsidR="002B1DDA" w:rsidRPr="00154994" w:rsidRDefault="002B1DDA" w:rsidP="001D2CEB">
            <w:pPr>
              <w:jc w:val="center"/>
              <w:rPr>
                <w:kern w:val="0"/>
                <w:sz w:val="18"/>
                <w:szCs w:val="18"/>
              </w:rPr>
            </w:pPr>
            <w:r w:rsidRPr="00154994">
              <w:rPr>
                <w:kern w:val="0"/>
                <w:sz w:val="18"/>
                <w:szCs w:val="18"/>
              </w:rPr>
              <w:t>08/28/21</w:t>
            </w:r>
          </w:p>
        </w:tc>
      </w:tr>
      <w:tr w:rsidR="002B1DDA" w:rsidRPr="00154994" w14:paraId="102AD7C7" w14:textId="77777777" w:rsidTr="001D2CEB">
        <w:trPr>
          <w:trHeight w:val="288"/>
          <w:jc w:val="center"/>
        </w:trPr>
        <w:tc>
          <w:tcPr>
            <w:tcW w:w="1075" w:type="dxa"/>
            <w:vAlign w:val="center"/>
          </w:tcPr>
          <w:p w14:paraId="1464A9CF" w14:textId="77777777" w:rsidR="002B1DDA" w:rsidRPr="00154994" w:rsidRDefault="002B1DDA" w:rsidP="001D2CEB">
            <w:pPr>
              <w:jc w:val="center"/>
              <w:rPr>
                <w:kern w:val="0"/>
                <w:sz w:val="18"/>
                <w:szCs w:val="18"/>
              </w:rPr>
            </w:pPr>
            <w:r w:rsidRPr="00154994">
              <w:rPr>
                <w:kern w:val="0"/>
                <w:sz w:val="18"/>
                <w:szCs w:val="18"/>
              </w:rPr>
              <w:t>35:12</w:t>
            </w:r>
          </w:p>
        </w:tc>
        <w:tc>
          <w:tcPr>
            <w:tcW w:w="1080" w:type="dxa"/>
            <w:vAlign w:val="center"/>
          </w:tcPr>
          <w:p w14:paraId="74D31DE6" w14:textId="77777777" w:rsidR="002B1DDA" w:rsidRPr="00154994" w:rsidRDefault="002B1DDA" w:rsidP="001D2CEB">
            <w:pPr>
              <w:jc w:val="center"/>
              <w:rPr>
                <w:kern w:val="0"/>
                <w:sz w:val="18"/>
                <w:szCs w:val="18"/>
              </w:rPr>
            </w:pPr>
            <w:r w:rsidRPr="00154994">
              <w:rPr>
                <w:kern w:val="0"/>
                <w:sz w:val="18"/>
                <w:szCs w:val="18"/>
              </w:rPr>
              <w:t>12/15/20</w:t>
            </w:r>
          </w:p>
        </w:tc>
        <w:tc>
          <w:tcPr>
            <w:tcW w:w="1080" w:type="dxa"/>
            <w:tcBorders>
              <w:right w:val="single" w:sz="4" w:space="0" w:color="auto"/>
            </w:tcBorders>
            <w:vAlign w:val="center"/>
          </w:tcPr>
          <w:p w14:paraId="622EE721" w14:textId="77777777" w:rsidR="002B1DDA" w:rsidRPr="00154994" w:rsidRDefault="002B1DDA" w:rsidP="001D2CEB">
            <w:pPr>
              <w:jc w:val="center"/>
              <w:rPr>
                <w:kern w:val="0"/>
                <w:sz w:val="18"/>
                <w:szCs w:val="18"/>
              </w:rPr>
            </w:pPr>
            <w:r w:rsidRPr="00154994">
              <w:rPr>
                <w:kern w:val="0"/>
                <w:sz w:val="18"/>
                <w:szCs w:val="18"/>
              </w:rPr>
              <w:t>11/20/20</w:t>
            </w:r>
          </w:p>
        </w:tc>
        <w:tc>
          <w:tcPr>
            <w:tcW w:w="1350" w:type="dxa"/>
            <w:tcBorders>
              <w:top w:val="single" w:sz="4" w:space="0" w:color="auto"/>
              <w:left w:val="single" w:sz="4" w:space="0" w:color="auto"/>
              <w:bottom w:val="single" w:sz="4" w:space="0" w:color="auto"/>
              <w:right w:val="single" w:sz="4" w:space="0" w:color="auto"/>
            </w:tcBorders>
            <w:vAlign w:val="center"/>
          </w:tcPr>
          <w:p w14:paraId="3C65D074" w14:textId="77777777" w:rsidR="002B1DDA" w:rsidRPr="00154994" w:rsidRDefault="002B1DDA" w:rsidP="001D2CEB">
            <w:pPr>
              <w:jc w:val="center"/>
              <w:rPr>
                <w:kern w:val="0"/>
                <w:sz w:val="18"/>
                <w:szCs w:val="18"/>
              </w:rPr>
            </w:pPr>
            <w:r w:rsidRPr="00154994">
              <w:rPr>
                <w:kern w:val="0"/>
                <w:sz w:val="18"/>
                <w:szCs w:val="18"/>
              </w:rPr>
              <w:t>12/30/20</w:t>
            </w:r>
          </w:p>
        </w:tc>
        <w:tc>
          <w:tcPr>
            <w:tcW w:w="1440" w:type="dxa"/>
            <w:tcBorders>
              <w:left w:val="single" w:sz="4" w:space="0" w:color="auto"/>
            </w:tcBorders>
            <w:vAlign w:val="center"/>
          </w:tcPr>
          <w:p w14:paraId="28FAC876" w14:textId="77777777" w:rsidR="002B1DDA" w:rsidRPr="00154994" w:rsidRDefault="002B1DDA" w:rsidP="001D2CEB">
            <w:pPr>
              <w:jc w:val="center"/>
              <w:rPr>
                <w:kern w:val="0"/>
                <w:sz w:val="18"/>
                <w:szCs w:val="18"/>
              </w:rPr>
            </w:pPr>
            <w:r w:rsidRPr="00154994">
              <w:rPr>
                <w:kern w:val="0"/>
                <w:sz w:val="18"/>
                <w:szCs w:val="18"/>
              </w:rPr>
              <w:t>02/15/21</w:t>
            </w:r>
          </w:p>
        </w:tc>
        <w:tc>
          <w:tcPr>
            <w:tcW w:w="1710" w:type="dxa"/>
            <w:vAlign w:val="center"/>
          </w:tcPr>
          <w:p w14:paraId="37E913EF" w14:textId="77777777" w:rsidR="002B1DDA" w:rsidRPr="00154994" w:rsidRDefault="002B1DDA" w:rsidP="001D2CEB">
            <w:pPr>
              <w:jc w:val="center"/>
              <w:rPr>
                <w:kern w:val="0"/>
                <w:sz w:val="18"/>
                <w:szCs w:val="18"/>
              </w:rPr>
            </w:pPr>
            <w:r w:rsidRPr="00154994">
              <w:rPr>
                <w:kern w:val="0"/>
                <w:sz w:val="18"/>
                <w:szCs w:val="18"/>
              </w:rPr>
              <w:t>02/22/21</w:t>
            </w:r>
          </w:p>
        </w:tc>
        <w:tc>
          <w:tcPr>
            <w:tcW w:w="1080" w:type="dxa"/>
            <w:vAlign w:val="center"/>
          </w:tcPr>
          <w:p w14:paraId="03AE9317" w14:textId="77777777" w:rsidR="002B1DDA" w:rsidRPr="00154994" w:rsidRDefault="002B1DDA" w:rsidP="001D2CEB">
            <w:pPr>
              <w:jc w:val="center"/>
              <w:rPr>
                <w:kern w:val="0"/>
                <w:sz w:val="18"/>
                <w:szCs w:val="18"/>
              </w:rPr>
            </w:pPr>
            <w:r w:rsidRPr="00154994">
              <w:rPr>
                <w:kern w:val="0"/>
                <w:sz w:val="18"/>
                <w:szCs w:val="18"/>
              </w:rPr>
              <w:t>03/18/21</w:t>
            </w:r>
          </w:p>
        </w:tc>
        <w:tc>
          <w:tcPr>
            <w:tcW w:w="1440" w:type="dxa"/>
            <w:vAlign w:val="center"/>
          </w:tcPr>
          <w:p w14:paraId="5B4D95F9" w14:textId="77777777" w:rsidR="002B1DDA" w:rsidRPr="00154994" w:rsidRDefault="002B1DDA" w:rsidP="001D2CEB">
            <w:pPr>
              <w:jc w:val="center"/>
              <w:rPr>
                <w:kern w:val="0"/>
                <w:sz w:val="18"/>
                <w:szCs w:val="18"/>
              </w:rPr>
            </w:pPr>
            <w:r w:rsidRPr="00154994">
              <w:rPr>
                <w:kern w:val="0"/>
                <w:sz w:val="18"/>
                <w:szCs w:val="18"/>
              </w:rPr>
              <w:t>04/01/21</w:t>
            </w:r>
          </w:p>
        </w:tc>
        <w:tc>
          <w:tcPr>
            <w:tcW w:w="1800" w:type="dxa"/>
            <w:vAlign w:val="center"/>
          </w:tcPr>
          <w:p w14:paraId="4A7F4946" w14:textId="77777777" w:rsidR="002B1DDA" w:rsidRPr="00154994" w:rsidRDefault="002B1DDA" w:rsidP="001D2CEB">
            <w:pPr>
              <w:jc w:val="center"/>
              <w:rPr>
                <w:kern w:val="0"/>
                <w:sz w:val="18"/>
                <w:szCs w:val="18"/>
              </w:rPr>
            </w:pPr>
            <w:r w:rsidRPr="00154994">
              <w:rPr>
                <w:kern w:val="0"/>
                <w:sz w:val="18"/>
                <w:szCs w:val="18"/>
              </w:rPr>
              <w:t>09/11/21</w:t>
            </w:r>
          </w:p>
        </w:tc>
      </w:tr>
    </w:tbl>
    <w:p w14:paraId="56A49C7F" w14:textId="77777777" w:rsidR="002B1DDA" w:rsidRPr="00154994" w:rsidRDefault="002B1DDA" w:rsidP="002B1DDA">
      <w:pPr>
        <w:tabs>
          <w:tab w:val="left" w:pos="0"/>
        </w:tabs>
        <w:jc w:val="left"/>
        <w:rPr>
          <w:kern w:val="0"/>
          <w:szCs w:val="24"/>
        </w:rPr>
      </w:pPr>
    </w:p>
    <w:p w14:paraId="04149E9D" w14:textId="77777777" w:rsidR="002B1DDA" w:rsidRPr="00154994" w:rsidRDefault="002B1DDA" w:rsidP="002B1DDA">
      <w:pPr>
        <w:tabs>
          <w:tab w:val="left" w:pos="0"/>
        </w:tabs>
        <w:jc w:val="center"/>
        <w:rPr>
          <w:kern w:val="0"/>
          <w:szCs w:val="24"/>
        </w:rPr>
      </w:pPr>
      <w:r w:rsidRPr="00154994">
        <w:rPr>
          <w:rFonts w:eastAsia="Calibri"/>
          <w:kern w:val="0"/>
          <w:sz w:val="16"/>
          <w:szCs w:val="16"/>
        </w:rPr>
        <w:t>This document is prepared by the Office of Administrative Hearings as a public service and is not to be deemed binding or controlling.</w:t>
      </w:r>
    </w:p>
    <w:p w14:paraId="2615A4C9" w14:textId="7F4102AD" w:rsidR="002B1DDA" w:rsidRDefault="002B1DDA" w:rsidP="002B1DDA">
      <w:pPr>
        <w:tabs>
          <w:tab w:val="left" w:pos="0"/>
        </w:tabs>
        <w:jc w:val="center"/>
        <w:rPr>
          <w:b/>
          <w:bCs/>
          <w:u w:val="single"/>
        </w:rPr>
      </w:pPr>
    </w:p>
    <w:p w14:paraId="7C10A7F2" w14:textId="77777777" w:rsidR="002B1DDA" w:rsidRDefault="002B1DDA" w:rsidP="002B1DDA">
      <w:pPr>
        <w:tabs>
          <w:tab w:val="left" w:pos="0"/>
        </w:tabs>
        <w:jc w:val="center"/>
        <w:rPr>
          <w:b/>
          <w:bCs/>
          <w:u w:val="single"/>
        </w:rPr>
      </w:pPr>
    </w:p>
    <w:p w14:paraId="275F6BE4" w14:textId="77777777" w:rsidR="002B1DDA" w:rsidRDefault="002B1DDA" w:rsidP="002B1DDA">
      <w:pPr>
        <w:tabs>
          <w:tab w:val="left" w:pos="0"/>
        </w:tabs>
        <w:jc w:val="center"/>
        <w:rPr>
          <w:b/>
          <w:bCs/>
          <w:u w:val="single"/>
        </w:rPr>
      </w:pPr>
    </w:p>
    <w:p w14:paraId="1A44C9BF" w14:textId="77777777"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rsidSect="0049778A">
          <w:headerReference w:type="default" r:id="rId17"/>
          <w:footerReference w:type="default" r:id="rId18"/>
          <w:pgSz w:w="12240" w:h="15840"/>
          <w:pgMar w:top="360" w:right="720" w:bottom="360" w:left="720" w:header="360" w:footer="360" w:gutter="0"/>
          <w:pgNumType w:start="1334"/>
          <w:cols w:space="720"/>
        </w:sectPr>
      </w:pPr>
    </w:p>
    <w:p w14:paraId="1BF7830B" w14:textId="77777777" w:rsidR="00E91AE1" w:rsidRDefault="00E91AE1" w:rsidP="001D2CEB">
      <w:pPr>
        <w:pStyle w:val="Chapter"/>
        <w:rPr>
          <w:caps w:val="0"/>
        </w:rPr>
      </w:pPr>
      <w:r>
        <w:t>Title 14B – Department of Public Safety</w:t>
      </w:r>
    </w:p>
    <w:p w14:paraId="016B0E73" w14:textId="77777777" w:rsidR="00E91AE1" w:rsidRPr="00302C57" w:rsidRDefault="00E91AE1" w:rsidP="001D2CEB">
      <w:pPr>
        <w:pStyle w:val="Base"/>
        <w:rPr>
          <w:b/>
        </w:rPr>
      </w:pPr>
    </w:p>
    <w:p w14:paraId="0315EFE7" w14:textId="224F0EAF" w:rsidR="00E91AE1" w:rsidRDefault="00E91AE1">
      <w:pPr>
        <w:pStyle w:val="Paragraph"/>
        <w:rPr>
          <w:i/>
          <w:iCs/>
        </w:rPr>
      </w:pPr>
      <w:r w:rsidRPr="00B31E75">
        <w:rPr>
          <w:b/>
          <w:bCs/>
          <w:i/>
          <w:iCs/>
        </w:rPr>
        <w:t>Notice</w:t>
      </w:r>
      <w:r w:rsidRPr="00B31E75">
        <w:rPr>
          <w:i/>
          <w:iCs/>
        </w:rPr>
        <w:t xml:space="preserve"> is hereby given in accordance with G.S. 150B-21.2 that the </w:t>
      </w:r>
      <w:r>
        <w:rPr>
          <w:i/>
          <w:iCs/>
        </w:rPr>
        <w:t>Alarm Systems Licensing Board</w:t>
      </w:r>
      <w:r w:rsidRPr="00B31E75">
        <w:rPr>
          <w:i/>
          <w:iCs/>
        </w:rPr>
        <w:t xml:space="preserve"> intends to</w:t>
      </w:r>
      <w:r>
        <w:rPr>
          <w:i/>
          <w:iCs/>
        </w:rPr>
        <w:t xml:space="preserve"> amend the rules cited as 14B NCAC 17 .0201, .0204</w:t>
      </w:r>
      <w:r w:rsidR="00865117">
        <w:rPr>
          <w:i/>
          <w:iCs/>
        </w:rPr>
        <w:t>,</w:t>
      </w:r>
      <w:bookmarkStart w:id="0" w:name="_GoBack"/>
      <w:bookmarkEnd w:id="0"/>
      <w:r>
        <w:rPr>
          <w:i/>
          <w:iCs/>
        </w:rPr>
        <w:t xml:space="preserve"> and .0301</w:t>
      </w:r>
      <w:r w:rsidRPr="00B31E75">
        <w:rPr>
          <w:i/>
          <w:iCs/>
        </w:rPr>
        <w:t>.</w:t>
      </w:r>
    </w:p>
    <w:p w14:paraId="7BA12524" w14:textId="77777777" w:rsidR="00E91AE1" w:rsidRPr="00302C57" w:rsidRDefault="00E91AE1" w:rsidP="001D2CEB">
      <w:pPr>
        <w:pStyle w:val="Base"/>
        <w:rPr>
          <w:i/>
        </w:rPr>
      </w:pPr>
    </w:p>
    <w:p w14:paraId="701AD291" w14:textId="77777777" w:rsidR="00E91AE1" w:rsidRPr="00B31E75" w:rsidRDefault="00E91AE1" w:rsidP="001D2CEB">
      <w:pPr>
        <w:pStyle w:val="Paragraph"/>
        <w:rPr>
          <w:b/>
          <w:i/>
        </w:rPr>
      </w:pPr>
      <w:r w:rsidRPr="00B31E75">
        <w:rPr>
          <w:b/>
        </w:rPr>
        <w:t>Link to agency website pursuant to G.S. 150B-19.1(c):</w:t>
      </w:r>
      <w:r w:rsidRPr="00B31E75">
        <w:rPr>
          <w:b/>
          <w:i/>
        </w:rPr>
        <w:t xml:space="preserve">  </w:t>
      </w:r>
      <w:r>
        <w:rPr>
          <w:i/>
        </w:rPr>
        <w:t>https://www.ncdps.gov/dps-services/permits-licenses/alarm-system-licensing-board</w:t>
      </w:r>
    </w:p>
    <w:p w14:paraId="500CF957" w14:textId="77777777" w:rsidR="00E91AE1" w:rsidRPr="00302C57" w:rsidRDefault="00E91AE1" w:rsidP="001D2CEB">
      <w:pPr>
        <w:pStyle w:val="Base"/>
        <w:rPr>
          <w:b/>
        </w:rPr>
      </w:pPr>
    </w:p>
    <w:p w14:paraId="1CC65167" w14:textId="77777777" w:rsidR="00E91AE1" w:rsidRPr="00B31E75" w:rsidRDefault="00E91AE1">
      <w:pPr>
        <w:pStyle w:val="Paragraph"/>
        <w:rPr>
          <w:i/>
        </w:rPr>
      </w:pPr>
      <w:r w:rsidRPr="00B31E75">
        <w:rPr>
          <w:b/>
          <w:bCs/>
        </w:rPr>
        <w:t>Proposed Effective Date:</w:t>
      </w:r>
      <w:r w:rsidRPr="00B31E75">
        <w:rPr>
          <w:b/>
          <w:bCs/>
          <w:i/>
        </w:rPr>
        <w:t xml:space="preserve">  </w:t>
      </w:r>
      <w:r>
        <w:rPr>
          <w:i/>
          <w:color w:val="000000"/>
          <w:highlight w:val="white"/>
        </w:rPr>
        <w:t>June 1, 2020</w:t>
      </w:r>
    </w:p>
    <w:p w14:paraId="7F2DAB3D" w14:textId="77777777" w:rsidR="00E91AE1" w:rsidRPr="00B31E75" w:rsidRDefault="00E91AE1">
      <w:pPr>
        <w:pStyle w:val="Base"/>
      </w:pPr>
    </w:p>
    <w:p w14:paraId="160F46AA" w14:textId="77777777" w:rsidR="00E91AE1" w:rsidRDefault="00E91AE1" w:rsidP="001D2CEB">
      <w:pPr>
        <w:pStyle w:val="Base"/>
        <w:tabs>
          <w:tab w:val="left" w:pos="936"/>
        </w:tabs>
        <w:rPr>
          <w:b/>
        </w:rPr>
      </w:pPr>
      <w:r>
        <w:rPr>
          <w:b/>
        </w:rPr>
        <w:t>Public Hearing:</w:t>
      </w:r>
    </w:p>
    <w:p w14:paraId="631692D7" w14:textId="77777777" w:rsidR="00E91AE1" w:rsidRDefault="00E91AE1" w:rsidP="001D2CEB">
      <w:pPr>
        <w:pStyle w:val="Base"/>
        <w:tabs>
          <w:tab w:val="left" w:pos="936"/>
        </w:tabs>
      </w:pPr>
      <w:r>
        <w:rPr>
          <w:b/>
        </w:rPr>
        <w:t>Date:</w:t>
      </w:r>
      <w:r>
        <w:rPr>
          <w:i/>
        </w:rPr>
        <w:t xml:space="preserve">  February 18, 2020</w:t>
      </w:r>
    </w:p>
    <w:p w14:paraId="740C2CF3" w14:textId="77777777" w:rsidR="00E91AE1" w:rsidRDefault="00E91AE1" w:rsidP="001D2CEB">
      <w:pPr>
        <w:pStyle w:val="Base"/>
        <w:tabs>
          <w:tab w:val="left" w:pos="936"/>
        </w:tabs>
      </w:pPr>
      <w:r>
        <w:rPr>
          <w:b/>
        </w:rPr>
        <w:t>Time:</w:t>
      </w:r>
      <w:r>
        <w:rPr>
          <w:i/>
        </w:rPr>
        <w:t xml:space="preserve">  2:00 p.m.</w:t>
      </w:r>
    </w:p>
    <w:p w14:paraId="1225673B" w14:textId="77777777" w:rsidR="00E91AE1" w:rsidRDefault="00E91AE1" w:rsidP="001D2CEB">
      <w:pPr>
        <w:pStyle w:val="Base"/>
        <w:tabs>
          <w:tab w:val="left" w:pos="936"/>
        </w:tabs>
      </w:pPr>
      <w:r>
        <w:rPr>
          <w:b/>
        </w:rPr>
        <w:t>Location:</w:t>
      </w:r>
      <w:r>
        <w:rPr>
          <w:i/>
        </w:rPr>
        <w:t xml:space="preserve">  Conference Room, ASLB Office, 3101 Industrial Drive, Suite 104, Raleigh, NC 27609</w:t>
      </w:r>
    </w:p>
    <w:p w14:paraId="3FF60D23" w14:textId="77777777" w:rsidR="00E91AE1" w:rsidRDefault="00E91AE1" w:rsidP="001D2CEB">
      <w:pPr>
        <w:pStyle w:val="Base"/>
        <w:tabs>
          <w:tab w:val="left" w:pos="936"/>
        </w:tabs>
      </w:pPr>
    </w:p>
    <w:p w14:paraId="5D62D539" w14:textId="77777777" w:rsidR="00E91AE1" w:rsidRDefault="00E91AE1">
      <w:pPr>
        <w:pStyle w:val="Paragraph"/>
      </w:pPr>
      <w:r w:rsidRPr="00B31E75">
        <w:rPr>
          <w:b/>
          <w:bCs/>
        </w:rPr>
        <w:t>Reason for Proposed Action:</w:t>
      </w:r>
      <w:r w:rsidRPr="00B31E75">
        <w:t xml:space="preserve">  </w:t>
      </w:r>
    </w:p>
    <w:p w14:paraId="339ADFEC" w14:textId="77777777" w:rsidR="00E91AE1" w:rsidRDefault="00E91AE1">
      <w:pPr>
        <w:pStyle w:val="Paragraph"/>
        <w:rPr>
          <w:i/>
          <w:color w:val="000000"/>
          <w:highlight w:val="white"/>
        </w:rPr>
      </w:pPr>
      <w:r w:rsidRPr="00302C57">
        <w:rPr>
          <w:b/>
          <w:bCs/>
          <w:i/>
          <w:color w:val="000000"/>
          <w:highlight w:val="white"/>
        </w:rPr>
        <w:t>14B NCAC 17 .0201</w:t>
      </w:r>
      <w:r>
        <w:rPr>
          <w:b/>
          <w:bCs/>
          <w:i/>
          <w:color w:val="000000"/>
          <w:highlight w:val="white"/>
        </w:rPr>
        <w:t xml:space="preserve"> - </w:t>
      </w:r>
      <w:r>
        <w:rPr>
          <w:i/>
          <w:color w:val="000000"/>
          <w:highlight w:val="white"/>
        </w:rPr>
        <w:t>The amendment will allow applicants to submit required fingerprints via an online fingerprint scanning system.</w:t>
      </w:r>
    </w:p>
    <w:p w14:paraId="578D3002" w14:textId="77777777" w:rsidR="00E91AE1" w:rsidRDefault="00E91AE1">
      <w:pPr>
        <w:pStyle w:val="Paragraph"/>
        <w:rPr>
          <w:i/>
          <w:color w:val="000000"/>
          <w:highlight w:val="white"/>
        </w:rPr>
      </w:pPr>
      <w:r w:rsidRPr="00302C57">
        <w:rPr>
          <w:b/>
          <w:bCs/>
          <w:i/>
          <w:color w:val="000000"/>
          <w:highlight w:val="white"/>
        </w:rPr>
        <w:t>14B NCAC 17 .0204</w:t>
      </w:r>
      <w:r>
        <w:rPr>
          <w:b/>
          <w:bCs/>
          <w:i/>
          <w:color w:val="000000"/>
          <w:highlight w:val="white"/>
        </w:rPr>
        <w:t xml:space="preserve"> - </w:t>
      </w:r>
      <w:r>
        <w:rPr>
          <w:i/>
          <w:color w:val="000000"/>
          <w:highlight w:val="white"/>
        </w:rPr>
        <w:t>The amendment addresses the process for a license holder to reinstate an expired license.</w:t>
      </w:r>
    </w:p>
    <w:p w14:paraId="5E779D4F" w14:textId="77777777" w:rsidR="00E91AE1" w:rsidRPr="00B31E75" w:rsidRDefault="00E91AE1">
      <w:pPr>
        <w:pStyle w:val="Paragraph"/>
        <w:rPr>
          <w:i/>
          <w:iCs/>
        </w:rPr>
      </w:pPr>
      <w:r w:rsidRPr="00302C57">
        <w:rPr>
          <w:b/>
          <w:bCs/>
          <w:i/>
          <w:color w:val="000000"/>
          <w:highlight w:val="white"/>
        </w:rPr>
        <w:t>14B NCAC 17 .0301</w:t>
      </w:r>
      <w:r>
        <w:rPr>
          <w:b/>
          <w:bCs/>
          <w:i/>
          <w:color w:val="000000"/>
          <w:highlight w:val="white"/>
        </w:rPr>
        <w:t xml:space="preserve"> - </w:t>
      </w:r>
      <w:r>
        <w:rPr>
          <w:i/>
          <w:color w:val="000000"/>
          <w:highlight w:val="white"/>
        </w:rPr>
        <w:t>The amendment will allow applicants to submit required fingerprints via an online fingerprint scanning system.</w:t>
      </w:r>
    </w:p>
    <w:p w14:paraId="2DDABEB6" w14:textId="77777777" w:rsidR="00E91AE1" w:rsidRPr="00302C57" w:rsidRDefault="00E91AE1" w:rsidP="001D2CEB">
      <w:pPr>
        <w:pStyle w:val="Base"/>
        <w:rPr>
          <w:i/>
        </w:rPr>
      </w:pPr>
    </w:p>
    <w:p w14:paraId="3BD30BE2" w14:textId="77777777" w:rsidR="00E91AE1" w:rsidRPr="00B31E75" w:rsidRDefault="00E91AE1" w:rsidP="001D2CEB">
      <w:pPr>
        <w:pStyle w:val="Paragraph"/>
        <w:rPr>
          <w:iCs/>
        </w:rPr>
      </w:pPr>
      <w:r w:rsidRPr="00302C57">
        <w:rPr>
          <w:b/>
          <w:bCs/>
        </w:rPr>
        <w:t xml:space="preserve">Comments may be submitted </w:t>
      </w:r>
      <w:proofErr w:type="gramStart"/>
      <w:r w:rsidRPr="00302C57">
        <w:rPr>
          <w:b/>
          <w:bCs/>
        </w:rPr>
        <w:t>to:</w:t>
      </w:r>
      <w:proofErr w:type="gramEnd"/>
      <w:r w:rsidRPr="00302C57">
        <w:rPr>
          <w:b/>
          <w:bCs/>
        </w:rPr>
        <w:t xml:space="preserve">  </w:t>
      </w:r>
      <w:r w:rsidRPr="00302C57">
        <w:rPr>
          <w:i/>
          <w:iCs/>
          <w:highlight w:val="white"/>
        </w:rPr>
        <w:t>Paul Sherwin, 3101 Industrial Drive, Suite 104, Raleigh, NC 27609</w:t>
      </w:r>
    </w:p>
    <w:p w14:paraId="2A7BA6AF" w14:textId="77777777" w:rsidR="00E91AE1" w:rsidRPr="00302C57" w:rsidRDefault="00E91AE1" w:rsidP="001D2CEB">
      <w:pPr>
        <w:pStyle w:val="Base"/>
        <w:rPr>
          <w:b/>
          <w:i/>
        </w:rPr>
      </w:pPr>
    </w:p>
    <w:p w14:paraId="64B64949" w14:textId="77777777" w:rsidR="00E91AE1" w:rsidRPr="00B31E75" w:rsidRDefault="00E91AE1" w:rsidP="001D2CEB">
      <w:pPr>
        <w:pStyle w:val="Paragraph"/>
        <w:rPr>
          <w:b/>
        </w:rPr>
      </w:pPr>
      <w:r w:rsidRPr="00B31E75">
        <w:rPr>
          <w:b/>
          <w:iCs/>
        </w:rPr>
        <w:t>Comment period ends:</w:t>
      </w:r>
      <w:r w:rsidRPr="00B31E75">
        <w:rPr>
          <w:b/>
          <w:i/>
          <w:iCs/>
        </w:rPr>
        <w:t xml:space="preserve">  </w:t>
      </w:r>
      <w:r>
        <w:rPr>
          <w:i/>
          <w:color w:val="000000"/>
          <w:highlight w:val="white"/>
        </w:rPr>
        <w:t>April 3, 2020</w:t>
      </w:r>
    </w:p>
    <w:p w14:paraId="40265AD3" w14:textId="77777777" w:rsidR="00E91AE1" w:rsidRPr="00B31E75" w:rsidRDefault="00E91AE1" w:rsidP="001D2CEB">
      <w:pPr>
        <w:pStyle w:val="Base"/>
      </w:pPr>
    </w:p>
    <w:p w14:paraId="1A771A4F" w14:textId="77777777" w:rsidR="00E91AE1" w:rsidRPr="00B31E75" w:rsidRDefault="00E91AE1" w:rsidP="001D2CE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66391161" w14:textId="77777777" w:rsidR="00E91AE1" w:rsidRPr="00B31E75" w:rsidRDefault="00E91AE1" w:rsidP="001D2CEB">
      <w:pPr>
        <w:pStyle w:val="Base"/>
      </w:pPr>
    </w:p>
    <w:p w14:paraId="365C976C" w14:textId="77777777" w:rsidR="00E91AE1" w:rsidRPr="00B31E75" w:rsidRDefault="00E91AE1" w:rsidP="001D2CEB">
      <w:pPr>
        <w:pStyle w:val="Paragraph"/>
        <w:rPr>
          <w:b/>
        </w:rPr>
      </w:pPr>
      <w:r w:rsidRPr="00B31E75">
        <w:rPr>
          <w:b/>
        </w:rPr>
        <w:t>Fiscal impact. Does any rule or combination of rules in this notice create an economic impact? Check all that apply.</w:t>
      </w:r>
    </w:p>
    <w:p w14:paraId="1929D444"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State funds affected</w:t>
      </w:r>
    </w:p>
    <w:p w14:paraId="74C0F9DC"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Local funds affected</w:t>
      </w:r>
    </w:p>
    <w:p w14:paraId="2A3E5FDD"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Substantial economic impact (&gt;= $1,000,000)</w:t>
      </w:r>
    </w:p>
    <w:p w14:paraId="35F06D57"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Approved by OSBM</w:t>
      </w:r>
    </w:p>
    <w:p w14:paraId="639F6417"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No fiscal note required</w:t>
      </w:r>
    </w:p>
    <w:p w14:paraId="74CFBD1D" w14:textId="77777777" w:rsidR="00E91AE1" w:rsidRPr="00B31E75" w:rsidRDefault="00E91AE1" w:rsidP="001D2CEB">
      <w:pPr>
        <w:pStyle w:val="Base"/>
      </w:pPr>
    </w:p>
    <w:p w14:paraId="6096FDEA" w14:textId="77777777" w:rsidR="00E91AE1" w:rsidRDefault="00E91AE1" w:rsidP="001D2CEB">
      <w:pPr>
        <w:pStyle w:val="Chapter"/>
      </w:pPr>
      <w:r>
        <w:t>Chapter 17 - Alarm Systems Licensing Board</w:t>
      </w:r>
    </w:p>
    <w:p w14:paraId="1B97E7EE" w14:textId="77777777" w:rsidR="00E91AE1" w:rsidRDefault="00E91AE1" w:rsidP="001D2CEB">
      <w:pPr>
        <w:pStyle w:val="Base"/>
      </w:pPr>
    </w:p>
    <w:p w14:paraId="2DA95AD9" w14:textId="77777777" w:rsidR="00E91AE1" w:rsidRDefault="00E91AE1" w:rsidP="001D2CEB">
      <w:pPr>
        <w:pStyle w:val="Section"/>
      </w:pPr>
      <w:r>
        <w:t>SECTION .0200 – PROVISIONS FOR LICENSEES</w:t>
      </w:r>
    </w:p>
    <w:p w14:paraId="550EF1F3" w14:textId="77777777" w:rsidR="00E91AE1" w:rsidRPr="00557A90" w:rsidRDefault="00E91AE1" w:rsidP="001D2CEB">
      <w:pPr>
        <w:pStyle w:val="Base"/>
      </w:pPr>
    </w:p>
    <w:p w14:paraId="3964DD2E" w14:textId="77777777" w:rsidR="00E91AE1" w:rsidRPr="00557A90" w:rsidRDefault="00E91AE1" w:rsidP="001D2CEB">
      <w:pPr>
        <w:pStyle w:val="Rule"/>
      </w:pPr>
      <w:r w:rsidRPr="00557A90">
        <w:t>14B NCAC 17 .0201</w:t>
      </w:r>
      <w:r w:rsidRPr="00557A90">
        <w:tab/>
        <w:t>APPLICATION FOR LICENSE</w:t>
      </w:r>
    </w:p>
    <w:p w14:paraId="6D8608BF" w14:textId="77777777" w:rsidR="00E91AE1" w:rsidRPr="00557A90" w:rsidRDefault="00E91AE1" w:rsidP="001D2CEB">
      <w:pPr>
        <w:pStyle w:val="Paragraph"/>
      </w:pPr>
      <w:r w:rsidRPr="00557A90">
        <w:t>(a)  Each applicant for a license shall submit an online application on the website provided by the Board. When this online application is submitted, it shall be accompanied by:</w:t>
      </w:r>
    </w:p>
    <w:p w14:paraId="4A0A7BD3" w14:textId="77777777" w:rsidR="00E91AE1" w:rsidRPr="00557A90" w:rsidRDefault="00E91AE1" w:rsidP="001D2CEB">
      <w:pPr>
        <w:pStyle w:val="SubParagraph"/>
        <w:tabs>
          <w:tab w:val="clear" w:pos="1800"/>
        </w:tabs>
      </w:pPr>
      <w:r w:rsidRPr="00557A90">
        <w:t>(1)</w:t>
      </w:r>
      <w:r w:rsidRPr="00557A90">
        <w:tab/>
      </w:r>
      <w:r w:rsidRPr="00557A90">
        <w:rPr>
          <w:u w:val="single"/>
        </w:rPr>
        <w:t>electronic submission of fingerprints from a Live Scan or similar system approved by the State Bureau of Investigation or</w:t>
      </w:r>
      <w:r w:rsidRPr="00557A90">
        <w:t xml:space="preserve"> one set of classifiable fingerprints on an F.B.I. fingerprint card provided by the Board and mailed separately to the Board's office;</w:t>
      </w:r>
    </w:p>
    <w:p w14:paraId="0F3D31FC" w14:textId="77777777" w:rsidR="00E91AE1" w:rsidRPr="00557A90" w:rsidRDefault="00E91AE1" w:rsidP="001D2CEB">
      <w:pPr>
        <w:pStyle w:val="SubParagraph"/>
        <w:tabs>
          <w:tab w:val="clear" w:pos="1800"/>
        </w:tabs>
      </w:pPr>
      <w:r w:rsidRPr="00557A90">
        <w:t>(2)</w:t>
      </w:r>
      <w:r w:rsidRPr="00557A90">
        <w:tab/>
        <w:t xml:space="preserve">one head and shoulders digital photograph of the applicant in JPG format of </w:t>
      </w:r>
      <w:proofErr w:type="gramStart"/>
      <w:r w:rsidRPr="00557A90">
        <w:t>sufficient</w:t>
      </w:r>
      <w:proofErr w:type="gramEnd"/>
      <w:r w:rsidRPr="00557A90">
        <w:t xml:space="preserve"> quality for identification, taken within six months prior to the online submission, and uploaded with the application submission;</w:t>
      </w:r>
    </w:p>
    <w:p w14:paraId="39B34C57" w14:textId="77777777" w:rsidR="00E91AE1" w:rsidRPr="00557A90" w:rsidRDefault="00E91AE1" w:rsidP="001D2CEB">
      <w:pPr>
        <w:pStyle w:val="SubParagraph"/>
        <w:tabs>
          <w:tab w:val="clear" w:pos="1800"/>
        </w:tabs>
      </w:pPr>
      <w:r w:rsidRPr="00557A90">
        <w:t>(3)</w:t>
      </w:r>
      <w:r w:rsidRPr="00557A90">
        <w:tab/>
        <w:t>statements of the results of a statewide criminal history records search by the reporting service designated by the Board pursuant to G.S. 74D-2.1(a) for any state where the applicant has resided within the preceeding 60 months; and</w:t>
      </w:r>
    </w:p>
    <w:p w14:paraId="2E847D7F" w14:textId="77777777" w:rsidR="00E91AE1" w:rsidRPr="00557A90" w:rsidRDefault="00E91AE1" w:rsidP="001D2CEB">
      <w:pPr>
        <w:pStyle w:val="SubParagraph"/>
        <w:tabs>
          <w:tab w:val="clear" w:pos="1800"/>
        </w:tabs>
      </w:pPr>
      <w:r w:rsidRPr="00557A90">
        <w:t>(4)</w:t>
      </w:r>
      <w:r w:rsidRPr="00557A90">
        <w:tab/>
        <w:t>the applicant's application fee,</w:t>
      </w:r>
      <w:r>
        <w:t xml:space="preserve"> </w:t>
      </w:r>
      <w:r w:rsidRPr="00557A90">
        <w:t xml:space="preserve">along with a </w:t>
      </w:r>
      <w:proofErr w:type="gramStart"/>
      <w:r w:rsidRPr="00557A90">
        <w:t>four dollar</w:t>
      </w:r>
      <w:proofErr w:type="gramEnd"/>
      <w:r w:rsidRPr="00557A90">
        <w:t xml:space="preserve"> ($4.00) convenience fee charged by the third-party vendor and credit card transaction fee charged by the applicant's credit card provider and collected online.</w:t>
      </w:r>
    </w:p>
    <w:p w14:paraId="2BCF4D73" w14:textId="77777777" w:rsidR="00E91AE1" w:rsidRPr="00557A90" w:rsidRDefault="00E91AE1" w:rsidP="001D2CEB">
      <w:pPr>
        <w:pStyle w:val="Paragraph"/>
      </w:pPr>
      <w:r w:rsidRPr="00557A90">
        <w:t>(b)  Each applicant shall upload evidence of high school graduation either by diploma, G.E.D. certificate, or other equivalent documentation.</w:t>
      </w:r>
    </w:p>
    <w:p w14:paraId="4ADB0639" w14:textId="77777777" w:rsidR="00E91AE1" w:rsidRPr="00557A90" w:rsidRDefault="00E91AE1" w:rsidP="001D2CEB">
      <w:pPr>
        <w:pStyle w:val="Paragraph"/>
      </w:pPr>
      <w:r w:rsidRPr="00557A90">
        <w:t>(c)  Each applicant for a license shall meet personally with either a Board investigator, the Screening Committee, the Director, or a Board representative designated by the Director prior to being issued a license. The applicant shall discuss the provisions of G.S. 74D and the administrative rules in this Chapter during the personal meeting. The applicant shall sign a form provided by the Board stating that the applicant has reviewed the information with the Board's representative and that the applicant understands G.S. 74D and the administrative rules in this Chapter.</w:t>
      </w:r>
    </w:p>
    <w:p w14:paraId="4F8AA38E" w14:textId="77777777" w:rsidR="00E91AE1" w:rsidRPr="00557A90" w:rsidRDefault="00E91AE1" w:rsidP="001D2CEB">
      <w:pPr>
        <w:pStyle w:val="Paragraph"/>
      </w:pPr>
      <w:r w:rsidRPr="00557A90">
        <w:t xml:space="preserve">(d)  Each applicant for a branch office license shall submit an online application on the website provided by the Board. This </w:t>
      </w:r>
      <w:r w:rsidRPr="00557A90">
        <w:rPr>
          <w:strike/>
        </w:rPr>
        <w:t>form</w:t>
      </w:r>
      <w:r w:rsidRPr="00557A90">
        <w:t xml:space="preserve"> online application shall be accompanied by the branch office application fee.</w:t>
      </w:r>
    </w:p>
    <w:p w14:paraId="14B1592D" w14:textId="77777777" w:rsidR="00E91AE1" w:rsidRPr="00557A90" w:rsidRDefault="00E91AE1" w:rsidP="001D2CEB">
      <w:pPr>
        <w:pStyle w:val="Base"/>
      </w:pPr>
    </w:p>
    <w:p w14:paraId="72B6DDF9" w14:textId="339252FB" w:rsidR="00E91AE1" w:rsidRPr="00E91AE1" w:rsidRDefault="00E91AE1" w:rsidP="00E91AE1">
      <w:pPr>
        <w:pStyle w:val="HistoryAuthority"/>
      </w:pPr>
      <w:r w:rsidRPr="00557A90">
        <w:lastRenderedPageBreak/>
        <w:t>Authority G.S. 74D-2; 74D-2.1; 74D-3; 74D-5; 74D-7; 74D-8</w:t>
      </w:r>
      <w:r>
        <w:t>.</w:t>
      </w:r>
    </w:p>
    <w:p w14:paraId="56007687" w14:textId="77777777" w:rsidR="00E91AE1" w:rsidRPr="00557A90" w:rsidRDefault="00E91AE1" w:rsidP="001D2CEB">
      <w:pPr>
        <w:pStyle w:val="Base"/>
      </w:pPr>
    </w:p>
    <w:p w14:paraId="6ACFFA26" w14:textId="77777777" w:rsidR="00E91AE1" w:rsidRPr="00A53AA8" w:rsidRDefault="00E91AE1" w:rsidP="001D2CEB">
      <w:pPr>
        <w:pStyle w:val="Rule"/>
      </w:pPr>
      <w:r w:rsidRPr="00A53AA8">
        <w:t>14B NCAC 17 .0204</w:t>
      </w:r>
      <w:r w:rsidRPr="00A53AA8">
        <w:tab/>
        <w:t xml:space="preserve">RENEWAL </w:t>
      </w:r>
      <w:r w:rsidRPr="00A53AA8">
        <w:rPr>
          <w:u w:val="single"/>
        </w:rPr>
        <w:t>OR REINSTATEMENT</w:t>
      </w:r>
      <w:r w:rsidRPr="00A53AA8">
        <w:t xml:space="preserve"> OF LICENSE</w:t>
      </w:r>
    </w:p>
    <w:p w14:paraId="47BC6D3B" w14:textId="77777777" w:rsidR="00E91AE1" w:rsidRPr="00A53AA8" w:rsidRDefault="00E91AE1" w:rsidP="001D2CEB">
      <w:pPr>
        <w:pStyle w:val="Paragraph"/>
      </w:pPr>
      <w:r w:rsidRPr="00A53AA8">
        <w:t>(a)  Each applicant for a license renewal shall submit an online renewal application on the website provided by the Board. This online application shall be submitted not less than 30 days prior to expiration of the applicant's current license and shall be accompanied by:</w:t>
      </w:r>
    </w:p>
    <w:p w14:paraId="22B739CA" w14:textId="77777777" w:rsidR="00E91AE1" w:rsidRPr="00A53AA8" w:rsidRDefault="00E91AE1" w:rsidP="001D2CEB">
      <w:pPr>
        <w:pStyle w:val="SubParagraph"/>
        <w:tabs>
          <w:tab w:val="clear" w:pos="1800"/>
        </w:tabs>
      </w:pPr>
      <w:r w:rsidRPr="00A53AA8">
        <w:t>(1)</w:t>
      </w:r>
      <w:r w:rsidRPr="00A53AA8">
        <w:tab/>
        <w:t>statements of the result of a statewide criminal history records search by the reporting service designated by the Board pursuant to G.S. 74D-2.1 for any state where the applicant has resided within the preceeding 24 months;</w:t>
      </w:r>
    </w:p>
    <w:p w14:paraId="6A30CD8D" w14:textId="77777777" w:rsidR="00E91AE1" w:rsidRPr="00A53AA8" w:rsidRDefault="00E91AE1" w:rsidP="001D2CEB">
      <w:pPr>
        <w:pStyle w:val="SubParagraph"/>
        <w:tabs>
          <w:tab w:val="clear" w:pos="1800"/>
        </w:tabs>
      </w:pPr>
      <w:r w:rsidRPr="00A53AA8">
        <w:t>(2)</w:t>
      </w:r>
      <w:r w:rsidRPr="00A53AA8">
        <w:tab/>
        <w:t>the applicant's renewal fee as set forth in .0203(a)(2); and</w:t>
      </w:r>
    </w:p>
    <w:p w14:paraId="6D4A8BE3" w14:textId="77777777" w:rsidR="00E91AE1" w:rsidRPr="00A53AA8" w:rsidRDefault="00E91AE1" w:rsidP="001D2CEB">
      <w:pPr>
        <w:pStyle w:val="SubParagraph"/>
        <w:tabs>
          <w:tab w:val="clear" w:pos="1800"/>
        </w:tabs>
      </w:pPr>
      <w:r w:rsidRPr="00A53AA8">
        <w:t>(3)</w:t>
      </w:r>
      <w:r w:rsidRPr="00A53AA8">
        <w:tab/>
        <w:t>proof of liability insurance pursuant to G.S. 74D-9.</w:t>
      </w:r>
    </w:p>
    <w:p w14:paraId="5FE5725B" w14:textId="77777777" w:rsidR="00E91AE1" w:rsidRPr="00A53AA8" w:rsidRDefault="00E91AE1" w:rsidP="001D2CEB">
      <w:pPr>
        <w:pStyle w:val="Paragraph"/>
      </w:pPr>
      <w:r w:rsidRPr="00A53AA8">
        <w:t>(b)  Applications for renewal shall be submitted not less than 30 days before the expiration date of the license. No renewal shall be granted more than 90 days after the date of expiration of a license.</w:t>
      </w:r>
    </w:p>
    <w:p w14:paraId="006106AC" w14:textId="77777777" w:rsidR="00E91AE1" w:rsidRPr="00A53AA8" w:rsidRDefault="00E91AE1" w:rsidP="001D2CEB">
      <w:pPr>
        <w:pStyle w:val="Paragraph"/>
      </w:pPr>
      <w:r w:rsidRPr="00A53AA8">
        <w:t>(c)  Applications for renewal submitted after the expiration date of the license shall be accompanied by the late renewal fee established by Rule .0203 of this Section and shall be submitted not later than 90 days after the expiration date of the license.</w:t>
      </w:r>
    </w:p>
    <w:p w14:paraId="2549A065" w14:textId="77777777" w:rsidR="00E91AE1" w:rsidRPr="00A53AA8" w:rsidRDefault="00E91AE1" w:rsidP="001D2CEB">
      <w:pPr>
        <w:pStyle w:val="Paragraph"/>
      </w:pPr>
      <w:r w:rsidRPr="00A53AA8">
        <w:rPr>
          <w:u w:val="single"/>
        </w:rPr>
        <w:t>(d)  If a licensee has maintained a license at least two years and then allows the license to expire, the license may be re-issued if application is made within one year of the expiration date by submitting an online reinstatement of an expired license application accompanied by the Subparagraphs (a)(1) through (3) of this Rule and the late fee required by Paragraph (c) of this Rule.</w:t>
      </w:r>
      <w:r>
        <w:rPr>
          <w:u w:val="single"/>
        </w:rPr>
        <w:t xml:space="preserve"> </w:t>
      </w:r>
      <w:r w:rsidRPr="00A53AA8">
        <w:rPr>
          <w:u w:val="single"/>
        </w:rPr>
        <w:t>The Board retains the right to discipline a licensee for activity during the period of lapse.</w:t>
      </w:r>
    </w:p>
    <w:p w14:paraId="149B071B" w14:textId="77777777" w:rsidR="00E91AE1" w:rsidRPr="00A53AA8" w:rsidRDefault="00E91AE1" w:rsidP="001D2CEB">
      <w:pPr>
        <w:pStyle w:val="Paragraph"/>
      </w:pPr>
      <w:r w:rsidRPr="00A53AA8">
        <w:rPr>
          <w:strike/>
        </w:rPr>
        <w:t>(d)</w:t>
      </w:r>
      <w:r w:rsidRPr="00A53AA8">
        <w:rPr>
          <w:u w:val="single"/>
        </w:rPr>
        <w:t>(</w:t>
      </w:r>
      <w:proofErr w:type="gramStart"/>
      <w:r w:rsidRPr="00A53AA8">
        <w:rPr>
          <w:u w:val="single"/>
        </w:rPr>
        <w:t>e)</w:t>
      </w:r>
      <w:r w:rsidRPr="00A53AA8">
        <w:t xml:space="preserve">  The</w:t>
      </w:r>
      <w:proofErr w:type="gramEnd"/>
      <w:r w:rsidRPr="00A53AA8">
        <w:t xml:space="preserve"> Director shall review and approve or recommend denial of an application for </w:t>
      </w:r>
      <w:r w:rsidRPr="00A53AA8">
        <w:rPr>
          <w:strike/>
        </w:rPr>
        <w:t>renewal.</w:t>
      </w:r>
      <w:r w:rsidRPr="00A53AA8">
        <w:t xml:space="preserve"> </w:t>
      </w:r>
      <w:r w:rsidRPr="00A53AA8">
        <w:rPr>
          <w:u w:val="single"/>
        </w:rPr>
        <w:t>renewal or reinstatement.</w:t>
      </w:r>
      <w:r w:rsidRPr="00A53AA8">
        <w:t xml:space="preserve"> All denials shall be submitted to the Board for a final Board decision.</w:t>
      </w:r>
    </w:p>
    <w:p w14:paraId="1A6C5274" w14:textId="77777777" w:rsidR="00E91AE1" w:rsidRPr="00A53AA8" w:rsidRDefault="00E91AE1" w:rsidP="001D2CEB">
      <w:pPr>
        <w:pStyle w:val="Paragraph"/>
      </w:pPr>
      <w:r w:rsidRPr="00A53AA8">
        <w:rPr>
          <w:strike/>
        </w:rPr>
        <w:t>(e)</w:t>
      </w:r>
      <w:r w:rsidRPr="00A53AA8">
        <w:rPr>
          <w:u w:val="single"/>
        </w:rPr>
        <w:t>(f)</w:t>
      </w:r>
      <w:r w:rsidRPr="00A53AA8">
        <w:t xml:space="preserve">  Members of the armed forces whose licenses are in good standing and to whom G.S. 105-249.2 grants an extension of time to file a tax return shall be granted the same extension of time to pay the license renewal fee and to complete the continuing education requirements prescribed in Section .0500 of this Chapter. A copy of the military order or the extension approval by the Internal Revenue Service or by the North Carolina Department of Revenue shall be furnished to the Board.</w:t>
      </w:r>
    </w:p>
    <w:p w14:paraId="48A3F618" w14:textId="77777777" w:rsidR="00E91AE1" w:rsidRPr="00A53AA8" w:rsidRDefault="00E91AE1" w:rsidP="001D2CEB">
      <w:pPr>
        <w:pStyle w:val="Base"/>
      </w:pPr>
    </w:p>
    <w:p w14:paraId="5524DB46" w14:textId="69E6E371" w:rsidR="00E91AE1" w:rsidRPr="00A53AA8" w:rsidRDefault="00E91AE1" w:rsidP="00E91AE1">
      <w:pPr>
        <w:pStyle w:val="HistoryAuthority"/>
      </w:pPr>
      <w:r w:rsidRPr="00A53AA8">
        <w:t>Authority G.S. 74D-2(a); 74D-5; 74D-7; 93B-15</w:t>
      </w:r>
      <w:r>
        <w:t>.</w:t>
      </w:r>
    </w:p>
    <w:p w14:paraId="6BA839BA" w14:textId="77777777" w:rsidR="00E91AE1" w:rsidRPr="00A53AA8" w:rsidRDefault="00E91AE1" w:rsidP="001D2CEB">
      <w:pPr>
        <w:pStyle w:val="Base"/>
      </w:pPr>
    </w:p>
    <w:p w14:paraId="2FBB86C3" w14:textId="77777777" w:rsidR="00E91AE1" w:rsidRDefault="00E91AE1" w:rsidP="001D2CEB">
      <w:pPr>
        <w:pStyle w:val="Section"/>
      </w:pPr>
      <w:r>
        <w:t>SECTION .0300 – PROVISIONS FOR REGISTRANTS</w:t>
      </w:r>
    </w:p>
    <w:p w14:paraId="482DB9C9" w14:textId="77777777" w:rsidR="00E91AE1" w:rsidRPr="00E714DA" w:rsidRDefault="00E91AE1" w:rsidP="001D2CEB">
      <w:pPr>
        <w:pStyle w:val="Base"/>
      </w:pPr>
    </w:p>
    <w:p w14:paraId="1D3D30C9" w14:textId="77777777" w:rsidR="00E91AE1" w:rsidRPr="00E714DA" w:rsidRDefault="00E91AE1" w:rsidP="001D2CEB">
      <w:pPr>
        <w:pStyle w:val="Rule"/>
      </w:pPr>
      <w:r w:rsidRPr="00E714DA">
        <w:t>14B NCAC 17 .0301</w:t>
      </w:r>
      <w:r w:rsidRPr="00E714DA">
        <w:tab/>
        <w:t>APPLICATION FOR REGISTRATION</w:t>
      </w:r>
    </w:p>
    <w:p w14:paraId="4F853D8D" w14:textId="77777777" w:rsidR="00E91AE1" w:rsidRPr="00E714DA" w:rsidRDefault="00E91AE1" w:rsidP="001D2CEB">
      <w:pPr>
        <w:pStyle w:val="Paragraph"/>
      </w:pPr>
      <w:r w:rsidRPr="00E714DA">
        <w:t>(a)  Each licensee or qualifying agent shall submit an online application for the registration of his or her employee on the website provided by the Board. When this online application is submitted, it shall be accompanied by:</w:t>
      </w:r>
    </w:p>
    <w:p w14:paraId="45971C58" w14:textId="77777777" w:rsidR="00E91AE1" w:rsidRPr="00E714DA" w:rsidRDefault="00E91AE1" w:rsidP="001D2CEB">
      <w:pPr>
        <w:pStyle w:val="SubParagraph"/>
        <w:tabs>
          <w:tab w:val="clear" w:pos="1800"/>
        </w:tabs>
      </w:pPr>
      <w:r w:rsidRPr="00E714DA">
        <w:t>(1)</w:t>
      </w:r>
      <w:r w:rsidRPr="00E714DA">
        <w:tab/>
      </w:r>
      <w:r w:rsidRPr="00E714DA">
        <w:rPr>
          <w:u w:val="single"/>
        </w:rPr>
        <w:t>electronic submission of fingerprints from a Live Scan or similar system approved by the State Bureau of Investigation or</w:t>
      </w:r>
      <w:r w:rsidRPr="00E714DA">
        <w:t xml:space="preserve"> one set of classifiable fingerprints on a standard F.B.I. </w:t>
      </w:r>
      <w:r w:rsidRPr="00E714DA">
        <w:t>fingerprint card mailed separately to the Board's office;</w:t>
      </w:r>
    </w:p>
    <w:p w14:paraId="512738CE" w14:textId="77777777" w:rsidR="00E91AE1" w:rsidRPr="00E714DA" w:rsidRDefault="00E91AE1" w:rsidP="001D2CEB">
      <w:pPr>
        <w:pStyle w:val="SubParagraph"/>
        <w:tabs>
          <w:tab w:val="clear" w:pos="1800"/>
        </w:tabs>
      </w:pPr>
      <w:r w:rsidRPr="00E714DA">
        <w:t>(2)</w:t>
      </w:r>
      <w:r w:rsidRPr="00E714DA">
        <w:tab/>
        <w:t xml:space="preserve">one original signed S.B.I. release of information form uploaded </w:t>
      </w:r>
      <w:proofErr w:type="gramStart"/>
      <w:r w:rsidRPr="00E714DA">
        <w:t>online</w:t>
      </w:r>
      <w:proofErr w:type="gramEnd"/>
      <w:r w:rsidRPr="00E714DA">
        <w:t xml:space="preserve"> and the original mailed separately to the Board's office;</w:t>
      </w:r>
    </w:p>
    <w:p w14:paraId="68BB12B2" w14:textId="77777777" w:rsidR="00E91AE1" w:rsidRPr="00E714DA" w:rsidRDefault="00E91AE1" w:rsidP="001D2CEB">
      <w:pPr>
        <w:pStyle w:val="SubParagraph"/>
        <w:tabs>
          <w:tab w:val="clear" w:pos="1800"/>
        </w:tabs>
      </w:pPr>
      <w:r w:rsidRPr="00E714DA">
        <w:t>(3)</w:t>
      </w:r>
      <w:r w:rsidRPr="00E714DA">
        <w:tab/>
        <w:t>one head and shoulders digital photograph of the applicant of acceptable quality for identification, taken within six months prior to online submission, and uploaded with the application submission;</w:t>
      </w:r>
    </w:p>
    <w:p w14:paraId="6BC92B06" w14:textId="77777777" w:rsidR="00E91AE1" w:rsidRPr="00E714DA" w:rsidRDefault="00E91AE1" w:rsidP="001D2CEB">
      <w:pPr>
        <w:pStyle w:val="SubParagraph"/>
        <w:tabs>
          <w:tab w:val="clear" w:pos="1800"/>
        </w:tabs>
      </w:pPr>
      <w:r w:rsidRPr="00E714DA">
        <w:t>(4)</w:t>
      </w:r>
      <w:r w:rsidRPr="00E714DA">
        <w:tab/>
        <w:t>statements of the results of a statewide criminal history records search by the reporting service designated by the Board pursuant to G.S. 74D-2.1(a) for any state where the applicant has resided within the preceeding 60 months;</w:t>
      </w:r>
    </w:p>
    <w:p w14:paraId="1F8488C2" w14:textId="77777777" w:rsidR="00E91AE1" w:rsidRPr="00E714DA" w:rsidRDefault="00E91AE1" w:rsidP="001D2CEB">
      <w:pPr>
        <w:pStyle w:val="SubParagraph"/>
        <w:tabs>
          <w:tab w:val="clear" w:pos="1800"/>
        </w:tabs>
      </w:pPr>
      <w:r w:rsidRPr="00E714DA">
        <w:t>(5)</w:t>
      </w:r>
      <w:r w:rsidRPr="00E714DA">
        <w:tab/>
        <w:t xml:space="preserve">the registration fee required by Rule .0302 of this Section, along with a </w:t>
      </w:r>
      <w:proofErr w:type="gramStart"/>
      <w:r w:rsidRPr="00E714DA">
        <w:t>four dollar</w:t>
      </w:r>
      <w:proofErr w:type="gramEnd"/>
      <w:r w:rsidRPr="00E714DA">
        <w:t xml:space="preserve"> ($4.00) convenience fee charged by the third-party provider and credit card transaction fee charged by the applicant's credit card provider and collected online; and</w:t>
      </w:r>
    </w:p>
    <w:p w14:paraId="3A7F2C74" w14:textId="77777777" w:rsidR="00E91AE1" w:rsidRPr="00E714DA" w:rsidRDefault="00E91AE1" w:rsidP="001D2CEB">
      <w:pPr>
        <w:pStyle w:val="SubParagraph"/>
        <w:tabs>
          <w:tab w:val="clear" w:pos="1800"/>
        </w:tabs>
      </w:pPr>
      <w:r w:rsidRPr="00E714DA">
        <w:t>(6)</w:t>
      </w:r>
      <w:r w:rsidRPr="00E714DA">
        <w:tab/>
        <w:t>a completed affidavit form and public notice statement form.</w:t>
      </w:r>
    </w:p>
    <w:p w14:paraId="3BD93DE6" w14:textId="77777777" w:rsidR="00E91AE1" w:rsidRPr="00E714DA" w:rsidRDefault="00E91AE1" w:rsidP="001D2CEB">
      <w:pPr>
        <w:pStyle w:val="Paragraph"/>
      </w:pPr>
      <w:r w:rsidRPr="00E714DA">
        <w:t xml:space="preserve">(b)  The employer of an applicant who is currently registered with another alarm business shall complete an online application form provided by the Board. This form shall be accompanied by the applicant's multiple registration fee along with a </w:t>
      </w:r>
      <w:proofErr w:type="gramStart"/>
      <w:r w:rsidRPr="00E714DA">
        <w:t>four dollar</w:t>
      </w:r>
      <w:proofErr w:type="gramEnd"/>
      <w:r w:rsidRPr="00E714DA">
        <w:t xml:space="preserve"> ($4.00) convenience fee charged by the third-party provider and credit card transaction fee charged by the applicant's credit card provider and collected online.</w:t>
      </w:r>
      <w:r>
        <w:t xml:space="preserve"> </w:t>
      </w:r>
      <w:r w:rsidRPr="00E714DA">
        <w:t>This online application shall be accompanied by a completed affidavit form and public notice statement form.</w:t>
      </w:r>
    </w:p>
    <w:p w14:paraId="18287FA4" w14:textId="77777777" w:rsidR="00E91AE1" w:rsidRPr="00E714DA" w:rsidRDefault="00E91AE1" w:rsidP="001D2CEB">
      <w:pPr>
        <w:pStyle w:val="Paragraph"/>
      </w:pPr>
      <w:r w:rsidRPr="00E714DA">
        <w:t>(c)  The employer of each applicant for registration shall print and retain a copy of the applicant's online application in the individual applicant's personnel file in the employer's office.</w:t>
      </w:r>
    </w:p>
    <w:p w14:paraId="64B57D4F" w14:textId="77777777" w:rsidR="00E91AE1" w:rsidRPr="00E714DA" w:rsidRDefault="00E91AE1" w:rsidP="001D2CEB">
      <w:pPr>
        <w:pStyle w:val="Base"/>
      </w:pPr>
    </w:p>
    <w:p w14:paraId="21952B86" w14:textId="2FE41C3C" w:rsidR="00E91AE1" w:rsidRPr="00E714DA" w:rsidRDefault="00E91AE1" w:rsidP="00E91AE1">
      <w:pPr>
        <w:pStyle w:val="HistoryAuthority"/>
      </w:pPr>
      <w:r w:rsidRPr="00E714DA">
        <w:t>Authority G.S. 74D-2.1; 74D-5; 74D-8</w:t>
      </w:r>
      <w:r>
        <w:t>.</w:t>
      </w:r>
    </w:p>
    <w:p w14:paraId="625FD0A3" w14:textId="77777777" w:rsidR="00E91AE1" w:rsidRPr="005E4FB1" w:rsidRDefault="00E91AE1" w:rsidP="001D2CEB">
      <w:pPr>
        <w:pStyle w:val="Base"/>
      </w:pPr>
    </w:p>
    <w:p w14:paraId="77C34BC7" w14:textId="38319C4C" w:rsidR="00D52FD0" w:rsidRDefault="00D52FD0" w:rsidP="00E91AE1">
      <w:pPr>
        <w:pStyle w:val="Base"/>
        <w:pBdr>
          <w:top w:val="single" w:sz="18" w:space="1" w:color="auto"/>
        </w:pBdr>
      </w:pPr>
    </w:p>
    <w:p w14:paraId="59DF8635" w14:textId="77777777" w:rsidR="00E91AE1" w:rsidRDefault="00E91AE1" w:rsidP="001D2CEB">
      <w:pPr>
        <w:pStyle w:val="Chapter"/>
        <w:rPr>
          <w:caps w:val="0"/>
        </w:rPr>
      </w:pPr>
      <w:r>
        <w:t>Title 15A – Department of Environmental Quality</w:t>
      </w:r>
    </w:p>
    <w:p w14:paraId="6F2C7784" w14:textId="77777777" w:rsidR="00E91AE1" w:rsidRDefault="00E91AE1" w:rsidP="001D2CEB">
      <w:pPr>
        <w:pStyle w:val="Chapter"/>
        <w:rPr>
          <w:caps w:val="0"/>
        </w:rPr>
      </w:pPr>
    </w:p>
    <w:p w14:paraId="17F2021C" w14:textId="77777777" w:rsidR="00E91AE1" w:rsidRDefault="00E91AE1">
      <w:pPr>
        <w:pStyle w:val="Paragraph"/>
        <w:rPr>
          <w:i/>
          <w:iCs/>
        </w:rPr>
      </w:pPr>
      <w:r w:rsidRPr="00B31E75">
        <w:rPr>
          <w:b/>
          <w:bCs/>
          <w:i/>
          <w:iCs/>
        </w:rPr>
        <w:t>Notice</w:t>
      </w:r>
      <w:r w:rsidRPr="00B31E75">
        <w:rPr>
          <w:i/>
          <w:iCs/>
        </w:rPr>
        <w:t xml:space="preserve"> is hereby given in accordance with G.S. 150B-21.2 that the </w:t>
      </w:r>
      <w:r>
        <w:rPr>
          <w:i/>
          <w:iCs/>
        </w:rPr>
        <w:t>Environmental Management Commission</w:t>
      </w:r>
      <w:r w:rsidRPr="00B31E75">
        <w:rPr>
          <w:i/>
          <w:iCs/>
        </w:rPr>
        <w:t xml:space="preserve"> intends to</w:t>
      </w:r>
      <w:r>
        <w:rPr>
          <w:i/>
          <w:iCs/>
        </w:rPr>
        <w:t xml:space="preserve"> adopt the rule cited as 15A NCAC 02D .0546 and amend the rule cited as 15A NCAC 02D .1104</w:t>
      </w:r>
      <w:r w:rsidRPr="00B31E75">
        <w:rPr>
          <w:i/>
          <w:iCs/>
        </w:rPr>
        <w:t>.</w:t>
      </w:r>
    </w:p>
    <w:p w14:paraId="3A47A917" w14:textId="77777777" w:rsidR="00E91AE1" w:rsidRPr="000507F2" w:rsidRDefault="00E91AE1" w:rsidP="001D2CEB">
      <w:pPr>
        <w:pStyle w:val="Base"/>
        <w:rPr>
          <w:i/>
        </w:rPr>
      </w:pPr>
    </w:p>
    <w:p w14:paraId="6A2EA4AE" w14:textId="77777777" w:rsidR="00E91AE1" w:rsidRPr="00B31E75" w:rsidRDefault="00E91AE1" w:rsidP="001D2CEB">
      <w:pPr>
        <w:pStyle w:val="Paragraph"/>
        <w:rPr>
          <w:b/>
          <w:i/>
        </w:rPr>
      </w:pPr>
      <w:r w:rsidRPr="00B31E75">
        <w:rPr>
          <w:b/>
        </w:rPr>
        <w:t>Link to agency website pursuant to G.S. 150B-19.1(c):</w:t>
      </w:r>
      <w:r w:rsidRPr="00B31E75">
        <w:rPr>
          <w:b/>
          <w:i/>
        </w:rPr>
        <w:t xml:space="preserve">  </w:t>
      </w:r>
      <w:r>
        <w:rPr>
          <w:i/>
        </w:rPr>
        <w:t>http://deq.nc.gov/about/divisions/air-quality/air-quality-rules/rules-hearing-process</w:t>
      </w:r>
    </w:p>
    <w:p w14:paraId="1A709270" w14:textId="77777777" w:rsidR="00E91AE1" w:rsidRPr="000507F2" w:rsidRDefault="00E91AE1" w:rsidP="001D2CEB">
      <w:pPr>
        <w:pStyle w:val="Base"/>
        <w:rPr>
          <w:b/>
        </w:rPr>
      </w:pPr>
    </w:p>
    <w:p w14:paraId="6BAE8363" w14:textId="77777777" w:rsidR="00E91AE1" w:rsidRPr="00B31E75" w:rsidRDefault="00E91AE1">
      <w:pPr>
        <w:pStyle w:val="Paragraph"/>
        <w:rPr>
          <w:i/>
        </w:rPr>
      </w:pPr>
      <w:r w:rsidRPr="00B31E75">
        <w:rPr>
          <w:b/>
          <w:bCs/>
        </w:rPr>
        <w:t>Proposed Effective Date:</w:t>
      </w:r>
      <w:r w:rsidRPr="00B31E75">
        <w:rPr>
          <w:b/>
          <w:bCs/>
          <w:i/>
        </w:rPr>
        <w:t xml:space="preserve">  </w:t>
      </w:r>
      <w:r>
        <w:rPr>
          <w:i/>
          <w:color w:val="000000"/>
          <w:highlight w:val="white"/>
        </w:rPr>
        <w:t>July 1, 2020</w:t>
      </w:r>
    </w:p>
    <w:p w14:paraId="20F36FB8" w14:textId="77777777" w:rsidR="00E91AE1" w:rsidRPr="00B31E75" w:rsidRDefault="00E91AE1">
      <w:pPr>
        <w:pStyle w:val="Base"/>
      </w:pPr>
    </w:p>
    <w:p w14:paraId="361197F9" w14:textId="77777777" w:rsidR="00E91AE1" w:rsidRDefault="00E91AE1" w:rsidP="001D2CEB">
      <w:pPr>
        <w:pStyle w:val="Base"/>
        <w:tabs>
          <w:tab w:val="left" w:pos="936"/>
        </w:tabs>
        <w:rPr>
          <w:b/>
        </w:rPr>
      </w:pPr>
      <w:r>
        <w:rPr>
          <w:b/>
        </w:rPr>
        <w:t>Public Hearing:</w:t>
      </w:r>
    </w:p>
    <w:p w14:paraId="5BFFF2CA" w14:textId="77777777" w:rsidR="00E91AE1" w:rsidRDefault="00E91AE1" w:rsidP="001D2CEB">
      <w:pPr>
        <w:pStyle w:val="Base"/>
        <w:tabs>
          <w:tab w:val="left" w:pos="936"/>
        </w:tabs>
      </w:pPr>
      <w:r>
        <w:rPr>
          <w:b/>
        </w:rPr>
        <w:t>Date:</w:t>
      </w:r>
      <w:r>
        <w:rPr>
          <w:i/>
        </w:rPr>
        <w:t xml:space="preserve">  March 17, 2020</w:t>
      </w:r>
    </w:p>
    <w:p w14:paraId="0512063B" w14:textId="77777777" w:rsidR="00E91AE1" w:rsidRDefault="00E91AE1" w:rsidP="001D2CEB">
      <w:pPr>
        <w:pStyle w:val="Base"/>
        <w:tabs>
          <w:tab w:val="left" w:pos="936"/>
        </w:tabs>
      </w:pPr>
      <w:r>
        <w:rPr>
          <w:b/>
        </w:rPr>
        <w:t>Time:</w:t>
      </w:r>
      <w:r>
        <w:rPr>
          <w:i/>
        </w:rPr>
        <w:t xml:space="preserve">  6:00 p.m.</w:t>
      </w:r>
    </w:p>
    <w:p w14:paraId="1F85A68E" w14:textId="77777777" w:rsidR="00E91AE1" w:rsidRDefault="00E91AE1" w:rsidP="001D2CEB">
      <w:pPr>
        <w:pStyle w:val="Base"/>
        <w:tabs>
          <w:tab w:val="left" w:pos="936"/>
        </w:tabs>
        <w:rPr>
          <w:b/>
          <w:i/>
        </w:rPr>
      </w:pPr>
      <w:r>
        <w:rPr>
          <w:b/>
        </w:rPr>
        <w:t>Location:</w:t>
      </w:r>
      <w:r>
        <w:rPr>
          <w:i/>
        </w:rPr>
        <w:t xml:space="preserve">  DEQ Green Square Office Building, 1st Floor Training Room (#1210), 217 West Jones Street, Raleigh, NC 27603</w:t>
      </w:r>
    </w:p>
    <w:p w14:paraId="48CA699A" w14:textId="77777777" w:rsidR="00E91AE1" w:rsidRDefault="00E91AE1" w:rsidP="001D2CEB">
      <w:pPr>
        <w:pStyle w:val="Base"/>
        <w:tabs>
          <w:tab w:val="left" w:pos="936"/>
        </w:tabs>
      </w:pPr>
      <w:r>
        <w:rPr>
          <w:b/>
        </w:rPr>
        <w:lastRenderedPageBreak/>
        <w:t>Date:</w:t>
      </w:r>
      <w:r>
        <w:rPr>
          <w:i/>
        </w:rPr>
        <w:t xml:space="preserve">  March 18, 2020</w:t>
      </w:r>
    </w:p>
    <w:p w14:paraId="18421E7A" w14:textId="77777777" w:rsidR="00E91AE1" w:rsidRDefault="00E91AE1" w:rsidP="001D2CEB">
      <w:pPr>
        <w:pStyle w:val="Base"/>
        <w:tabs>
          <w:tab w:val="left" w:pos="936"/>
        </w:tabs>
      </w:pPr>
      <w:r>
        <w:rPr>
          <w:b/>
        </w:rPr>
        <w:t>Time:</w:t>
      </w:r>
      <w:r>
        <w:rPr>
          <w:i/>
        </w:rPr>
        <w:t xml:space="preserve">  6:00 p.m.</w:t>
      </w:r>
    </w:p>
    <w:p w14:paraId="3B97E684" w14:textId="77777777" w:rsidR="00E91AE1" w:rsidRDefault="00E91AE1" w:rsidP="001D2CEB">
      <w:pPr>
        <w:pStyle w:val="Base"/>
        <w:tabs>
          <w:tab w:val="left" w:pos="936"/>
        </w:tabs>
      </w:pPr>
      <w:r>
        <w:rPr>
          <w:b/>
        </w:rPr>
        <w:t>Location:</w:t>
      </w:r>
      <w:r>
        <w:rPr>
          <w:i/>
        </w:rPr>
        <w:t xml:space="preserve">  Cape Fear Community College, Union Station, 502 N. Front St., Wilmington, NC 28401</w:t>
      </w:r>
    </w:p>
    <w:p w14:paraId="4D7338A2" w14:textId="77777777" w:rsidR="00E91AE1" w:rsidRDefault="00E91AE1" w:rsidP="001D2CEB">
      <w:pPr>
        <w:pStyle w:val="Base"/>
        <w:tabs>
          <w:tab w:val="left" w:pos="936"/>
        </w:tabs>
      </w:pPr>
    </w:p>
    <w:p w14:paraId="58508128" w14:textId="77777777" w:rsidR="00E91AE1" w:rsidRDefault="00E91AE1">
      <w:pPr>
        <w:pStyle w:val="Paragraph"/>
        <w:rPr>
          <w:i/>
          <w:color w:val="000000"/>
          <w:highlight w:val="white"/>
        </w:rPr>
      </w:pPr>
      <w:r w:rsidRPr="00B31E75">
        <w:rPr>
          <w:b/>
          <w:bCs/>
        </w:rPr>
        <w:t>Reason for Proposed Action:</w:t>
      </w:r>
      <w:r w:rsidRPr="00B31E75">
        <w:t xml:space="preserve">  </w:t>
      </w:r>
      <w:r>
        <w:rPr>
          <w:i/>
          <w:color w:val="000000"/>
          <w:highlight w:val="white"/>
        </w:rPr>
        <w:t>To receive comments on the adoption of the Control of Emissions from Log Fumigation Operations rule and the amendment of the Toxic Air Pollutant Guidelines rule. Also, to receive comment on the accompanying revised fiscal note for the proposed adoption and amendment.</w:t>
      </w:r>
    </w:p>
    <w:p w14:paraId="2377C15C" w14:textId="77777777" w:rsidR="00E91AE1" w:rsidRDefault="00E91AE1">
      <w:pPr>
        <w:pStyle w:val="Paragraph"/>
        <w:rPr>
          <w:i/>
          <w:color w:val="000000"/>
          <w:highlight w:val="white"/>
        </w:rPr>
      </w:pPr>
      <w:r>
        <w:rPr>
          <w:i/>
          <w:color w:val="000000"/>
          <w:highlight w:val="white"/>
        </w:rPr>
        <w:t>The Division of Air Quality identified that the general public adjacent to log fumigation operations may experience both short-term acute toxicity exposures, as well as longer-term chronic toxicity exposures to certain concentrations of methyl bromide as a result of these operations. Neurological and respiratory toxicological effects are of greatest concern from exposure to certain concentrations of methyl bromide. To protect the health of all persons that may live or work in areas subject to airborne releases of methyl bromide from those operations, the Environmental Management Commission (EMC) is proposing to adopt a rule that regulates these emissions using an Acceptable Ambient Level (AAL), which limits the air concentration of methyl bromide or other fumigants beyond the fence line of a facility.</w:t>
      </w:r>
    </w:p>
    <w:p w14:paraId="4441BA7E" w14:textId="77777777" w:rsidR="00E91AE1" w:rsidRDefault="00E91AE1">
      <w:pPr>
        <w:pStyle w:val="Paragraph"/>
        <w:rPr>
          <w:i/>
          <w:color w:val="000000"/>
          <w:highlight w:val="white"/>
        </w:rPr>
      </w:pPr>
      <w:r>
        <w:rPr>
          <w:i/>
          <w:color w:val="000000"/>
          <w:highlight w:val="white"/>
        </w:rPr>
        <w:t>On May 9, 2019, the EMC approved proceeding to public comment on an AAL value of 0.005 mg/m</w:t>
      </w:r>
      <w:r w:rsidRPr="00323C8E">
        <w:rPr>
          <w:i/>
          <w:color w:val="000000"/>
          <w:highlight w:val="white"/>
          <w:vertAlign w:val="superscript"/>
        </w:rPr>
        <w:t>3</w:t>
      </w:r>
      <w:r>
        <w:rPr>
          <w:i/>
          <w:color w:val="000000"/>
          <w:highlight w:val="white"/>
        </w:rPr>
        <w:t xml:space="preserve"> with a 24-hour averaging time for methyl bromide. In addition, the EMC requested comment on a value within a range of AALs from 0.005 mg/m</w:t>
      </w:r>
      <w:r w:rsidRPr="00323C8E">
        <w:rPr>
          <w:i/>
          <w:color w:val="000000"/>
          <w:highlight w:val="white"/>
          <w:vertAlign w:val="superscript"/>
        </w:rPr>
        <w:t>3</w:t>
      </w:r>
      <w:r>
        <w:rPr>
          <w:i/>
          <w:color w:val="000000"/>
          <w:highlight w:val="white"/>
        </w:rPr>
        <w:t xml:space="preserve"> to 0.078 mg/m</w:t>
      </w:r>
      <w:r w:rsidRPr="00323C8E">
        <w:rPr>
          <w:i/>
          <w:color w:val="000000"/>
          <w:highlight w:val="white"/>
          <w:vertAlign w:val="superscript"/>
        </w:rPr>
        <w:t>3</w:t>
      </w:r>
      <w:r>
        <w:rPr>
          <w:i/>
          <w:color w:val="000000"/>
          <w:highlight w:val="white"/>
          <w:vertAlign w:val="superscript"/>
        </w:rPr>
        <w:t xml:space="preserve"> </w:t>
      </w:r>
      <w:r>
        <w:rPr>
          <w:i/>
          <w:color w:val="000000"/>
          <w:highlight w:val="white"/>
        </w:rPr>
        <w:t>with a 24-hour averaging time for methyl bromide. The 0.005 mg/m</w:t>
      </w:r>
      <w:r w:rsidRPr="00323C8E">
        <w:rPr>
          <w:i/>
          <w:color w:val="000000"/>
          <w:highlight w:val="white"/>
          <w:vertAlign w:val="superscript"/>
        </w:rPr>
        <w:t>3</w:t>
      </w:r>
      <w:r>
        <w:rPr>
          <w:i/>
          <w:color w:val="000000"/>
          <w:highlight w:val="white"/>
        </w:rPr>
        <w:t xml:space="preserve"> value is based on the US EPA Integrated Risk Information System (IRIS) chronic reference concentration (RfC). The 0.078 mg/m</w:t>
      </w:r>
      <w:r w:rsidRPr="00323C8E">
        <w:rPr>
          <w:i/>
          <w:color w:val="000000"/>
          <w:highlight w:val="white"/>
          <w:vertAlign w:val="superscript"/>
        </w:rPr>
        <w:t>3</w:t>
      </w:r>
      <w:r>
        <w:rPr>
          <w:i/>
          <w:color w:val="000000"/>
          <w:highlight w:val="white"/>
        </w:rPr>
        <w:t xml:space="preserve"> value is based on the minimal risk level (intermediate) from the April 2018 Draft for Public Comment Toxicological Profile for Bromomethane prepared by the federal Centers for Disease Control’s Agency for Toxic Substances and Disease Registry (ATSDR). A copy of this assessment can be found at: https://www.atsdr.cdc.gov/ToxProfiles/tp.asp?id=822&amp;tid=160</w:t>
      </w:r>
    </w:p>
    <w:p w14:paraId="289C45F9" w14:textId="77777777" w:rsidR="00E91AE1" w:rsidRDefault="00E91AE1">
      <w:pPr>
        <w:pStyle w:val="Paragraph"/>
        <w:rPr>
          <w:i/>
          <w:color w:val="000000"/>
          <w:highlight w:val="white"/>
        </w:rPr>
      </w:pPr>
      <w:r>
        <w:rPr>
          <w:i/>
          <w:color w:val="000000"/>
          <w:highlight w:val="white"/>
        </w:rPr>
        <w:t>During the initial public comment period, (North Carolina Register Volume 33, Issue 24), the EMC received support for the 0.005 mg/m</w:t>
      </w:r>
      <w:r w:rsidRPr="00323C8E">
        <w:rPr>
          <w:i/>
          <w:color w:val="000000"/>
          <w:highlight w:val="white"/>
          <w:vertAlign w:val="superscript"/>
        </w:rPr>
        <w:t>3</w:t>
      </w:r>
      <w:r>
        <w:rPr>
          <w:i/>
          <w:color w:val="000000"/>
          <w:highlight w:val="white"/>
        </w:rPr>
        <w:t xml:space="preserve"> value; however, some commenters expressed concerns that the 24-hour averaging time was not appropriate for a chronic RfC. The Secretaries’ Science Advisory Board (SAB) agreed that a longer averaging time for a chronic RfC is appropriate; however, they also agreed an acute value is necessary to protect the public from short-term exposures to certain concentrations of methyl bromide. Therefore, the SAB recommended using 0.078 mg/m</w:t>
      </w:r>
      <w:r w:rsidRPr="00323C8E">
        <w:rPr>
          <w:i/>
          <w:color w:val="000000"/>
          <w:highlight w:val="white"/>
          <w:vertAlign w:val="superscript"/>
        </w:rPr>
        <w:t>3</w:t>
      </w:r>
      <w:r>
        <w:rPr>
          <w:i/>
          <w:color w:val="000000"/>
          <w:highlight w:val="white"/>
        </w:rPr>
        <w:t xml:space="preserve"> with a 24-hour averaging time as an acute AAL paired with a chronic AAL of 0.005 mg/m</w:t>
      </w:r>
      <w:r w:rsidRPr="00323C8E">
        <w:rPr>
          <w:i/>
          <w:color w:val="000000"/>
          <w:highlight w:val="white"/>
          <w:vertAlign w:val="superscript"/>
        </w:rPr>
        <w:t>3</w:t>
      </w:r>
      <w:r>
        <w:rPr>
          <w:i/>
          <w:color w:val="000000"/>
          <w:highlight w:val="white"/>
        </w:rPr>
        <w:t xml:space="preserve"> with an annual averaging time. </w:t>
      </w:r>
    </w:p>
    <w:p w14:paraId="0E351EE7" w14:textId="77777777" w:rsidR="00E91AE1" w:rsidRDefault="00E91AE1">
      <w:pPr>
        <w:pStyle w:val="Paragraph"/>
        <w:rPr>
          <w:i/>
          <w:color w:val="000000"/>
          <w:highlight w:val="white"/>
        </w:rPr>
      </w:pPr>
      <w:r>
        <w:rPr>
          <w:i/>
          <w:color w:val="000000"/>
          <w:highlight w:val="white"/>
        </w:rPr>
        <w:t>The proposed rule and amendment are as follows:</w:t>
      </w:r>
    </w:p>
    <w:p w14:paraId="26EF354C" w14:textId="77777777" w:rsidR="00E91AE1" w:rsidRDefault="00E91AE1">
      <w:pPr>
        <w:pStyle w:val="Paragraph"/>
        <w:rPr>
          <w:i/>
          <w:color w:val="000000"/>
          <w:highlight w:val="white"/>
        </w:rPr>
      </w:pPr>
      <w:r w:rsidRPr="00316EBD">
        <w:rPr>
          <w:b/>
          <w:bCs/>
          <w:i/>
          <w:color w:val="000000"/>
          <w:highlight w:val="white"/>
        </w:rPr>
        <w:t>15A NCAC 02D .0546</w:t>
      </w:r>
      <w:r>
        <w:rPr>
          <w:b/>
          <w:bCs/>
          <w:i/>
          <w:color w:val="000000"/>
          <w:highlight w:val="white"/>
        </w:rPr>
        <w:t>-</w:t>
      </w:r>
      <w:r>
        <w:rPr>
          <w:i/>
          <w:color w:val="000000"/>
          <w:highlight w:val="white"/>
        </w:rPr>
        <w:t>Control of Emissions from Log Fumigation Operations. This rule is proposed for adoption to establish emission control requirements for hazardous air pollutant and toxic air pollutant emissions from bulk, chamber, and container log fumigation operations; and</w:t>
      </w:r>
    </w:p>
    <w:p w14:paraId="41DC72FC" w14:textId="77777777" w:rsidR="00E91AE1" w:rsidRDefault="00E91AE1">
      <w:pPr>
        <w:pStyle w:val="Paragraph"/>
        <w:rPr>
          <w:i/>
          <w:color w:val="000000"/>
          <w:highlight w:val="white"/>
        </w:rPr>
      </w:pPr>
      <w:r w:rsidRPr="00316EBD">
        <w:rPr>
          <w:b/>
          <w:bCs/>
          <w:i/>
          <w:color w:val="000000"/>
          <w:highlight w:val="white"/>
        </w:rPr>
        <w:t>15A NCAC 02D .1104</w:t>
      </w:r>
      <w:r>
        <w:rPr>
          <w:i/>
          <w:color w:val="000000"/>
          <w:highlight w:val="white"/>
        </w:rPr>
        <w:t>-Toxic Air Pollutant Guidelines. In addition to the AAL value of 0.005 mg/m</w:t>
      </w:r>
      <w:r w:rsidRPr="00323C8E">
        <w:rPr>
          <w:i/>
          <w:color w:val="000000"/>
          <w:highlight w:val="white"/>
          <w:vertAlign w:val="superscript"/>
        </w:rPr>
        <w:t>3</w:t>
      </w:r>
      <w:r>
        <w:rPr>
          <w:i/>
          <w:color w:val="000000"/>
          <w:highlight w:val="white"/>
        </w:rPr>
        <w:t xml:space="preserve"> with a 24-hour averaging time for methyl bromide originally proposed, the EMC seeks public comment on an additional regulatory option: AALs </w:t>
      </w:r>
      <w:r>
        <w:rPr>
          <w:i/>
          <w:color w:val="000000"/>
          <w:highlight w:val="white"/>
        </w:rPr>
        <w:t>for methyl bromide of 0.078 mg/m</w:t>
      </w:r>
      <w:r w:rsidRPr="00323C8E">
        <w:rPr>
          <w:i/>
          <w:color w:val="000000"/>
          <w:highlight w:val="white"/>
          <w:vertAlign w:val="superscript"/>
        </w:rPr>
        <w:t>3</w:t>
      </w:r>
      <w:r>
        <w:rPr>
          <w:i/>
          <w:color w:val="000000"/>
          <w:highlight w:val="white"/>
        </w:rPr>
        <w:t xml:space="preserve"> with a 24-hour averaging time and 0.005 mg/m</w:t>
      </w:r>
      <w:r w:rsidRPr="00323C8E">
        <w:rPr>
          <w:i/>
          <w:color w:val="000000"/>
          <w:highlight w:val="white"/>
          <w:vertAlign w:val="superscript"/>
        </w:rPr>
        <w:t>3</w:t>
      </w:r>
      <w:r>
        <w:rPr>
          <w:i/>
          <w:color w:val="000000"/>
          <w:highlight w:val="white"/>
        </w:rPr>
        <w:t xml:space="preserve"> with an annual averaging time. </w:t>
      </w:r>
    </w:p>
    <w:p w14:paraId="4134073C" w14:textId="77777777" w:rsidR="00E91AE1" w:rsidRDefault="00E91AE1">
      <w:pPr>
        <w:pStyle w:val="Paragraph"/>
        <w:rPr>
          <w:i/>
          <w:color w:val="000000"/>
          <w:highlight w:val="white"/>
        </w:rPr>
      </w:pPr>
      <w:r>
        <w:rPr>
          <w:i/>
          <w:color w:val="000000"/>
          <w:highlight w:val="white"/>
        </w:rPr>
        <w:t>In addition, the EMC also requests public comment on an acute AAL value for methyl bromide within a range of 0.078 mg/m</w:t>
      </w:r>
      <w:r w:rsidRPr="0088743E">
        <w:rPr>
          <w:i/>
          <w:color w:val="000000"/>
          <w:highlight w:val="white"/>
          <w:vertAlign w:val="superscript"/>
        </w:rPr>
        <w:t>3</w:t>
      </w:r>
      <w:r>
        <w:rPr>
          <w:i/>
          <w:color w:val="000000"/>
          <w:highlight w:val="white"/>
        </w:rPr>
        <w:t xml:space="preserve"> to 1.29 mg/m</w:t>
      </w:r>
      <w:r w:rsidRPr="00323C8E">
        <w:rPr>
          <w:i/>
          <w:color w:val="000000"/>
          <w:highlight w:val="white"/>
          <w:vertAlign w:val="superscript"/>
        </w:rPr>
        <w:t>3</w:t>
      </w:r>
      <w:r>
        <w:rPr>
          <w:i/>
          <w:color w:val="000000"/>
          <w:highlight w:val="white"/>
        </w:rPr>
        <w:t xml:space="preserve"> with a 24-hour averaging time. These AAL values would be paired with a chronic AAL of 0.005 mg/m</w:t>
      </w:r>
      <w:r w:rsidRPr="00323C8E">
        <w:rPr>
          <w:i/>
          <w:color w:val="000000"/>
          <w:highlight w:val="white"/>
          <w:vertAlign w:val="superscript"/>
        </w:rPr>
        <w:t>3</w:t>
      </w:r>
      <w:r>
        <w:rPr>
          <w:i/>
          <w:color w:val="000000"/>
          <w:highlight w:val="white"/>
        </w:rPr>
        <w:t xml:space="preserve"> with an annual averaging time. The acute toxicity value of 1.29 mg/m</w:t>
      </w:r>
      <w:r w:rsidRPr="00323C8E">
        <w:rPr>
          <w:i/>
          <w:color w:val="000000"/>
          <w:highlight w:val="white"/>
          <w:vertAlign w:val="superscript"/>
        </w:rPr>
        <w:t>3</w:t>
      </w:r>
      <w:r>
        <w:rPr>
          <w:i/>
          <w:color w:val="000000"/>
          <w:highlight w:val="white"/>
        </w:rPr>
        <w:t xml:space="preserve"> is included in the Draft Human Risk Assessment for Registration Review for methyl bromide, a Federal Insecticide, Rodenticide, Fungicide (FIFRA) pesticide re-registration review document prepared by the U.S. EPA Office of Chemical Safety and Pollution Prevention. A copy of this assessment can be found at https://www.regulations.gov/document?D=EPA-HQ-OPP-2013-0269-0030.</w:t>
      </w:r>
    </w:p>
    <w:p w14:paraId="040672E6" w14:textId="77777777" w:rsidR="00E91AE1" w:rsidRPr="00B31E75" w:rsidRDefault="00E91AE1">
      <w:pPr>
        <w:pStyle w:val="Paragraph"/>
        <w:rPr>
          <w:i/>
          <w:iCs/>
        </w:rPr>
      </w:pPr>
      <w:r>
        <w:rPr>
          <w:i/>
          <w:color w:val="000000"/>
          <w:highlight w:val="white"/>
        </w:rPr>
        <w:t>The text of the rules and fiscal note are available on the DAQ website:  http://deq.nc.gov/about/divisions/air-quality/air-quality-rules/rules-hearing-process.</w:t>
      </w:r>
    </w:p>
    <w:p w14:paraId="06729CD4" w14:textId="77777777" w:rsidR="00E91AE1" w:rsidRPr="00B31E75" w:rsidRDefault="00E91AE1">
      <w:pPr>
        <w:pStyle w:val="Paragraph"/>
        <w:rPr>
          <w:i/>
          <w:iCs/>
        </w:rPr>
      </w:pPr>
    </w:p>
    <w:p w14:paraId="75F71820" w14:textId="00AAA9E1" w:rsidR="00E91AE1" w:rsidRPr="00316EBD" w:rsidRDefault="00E91AE1" w:rsidP="001D2CEB">
      <w:pPr>
        <w:pStyle w:val="Paragraph"/>
        <w:rPr>
          <w:i/>
        </w:rPr>
      </w:pPr>
      <w:r w:rsidRPr="00316EBD">
        <w:rPr>
          <w:b/>
          <w:bCs/>
        </w:rPr>
        <w:t xml:space="preserve">Comments may be submitted </w:t>
      </w:r>
      <w:proofErr w:type="gramStart"/>
      <w:r w:rsidRPr="00316EBD">
        <w:rPr>
          <w:b/>
          <w:bCs/>
        </w:rPr>
        <w:t>to:</w:t>
      </w:r>
      <w:proofErr w:type="gramEnd"/>
      <w:r w:rsidRPr="00316EBD">
        <w:rPr>
          <w:b/>
          <w:bCs/>
        </w:rPr>
        <w:t xml:space="preserve">  </w:t>
      </w:r>
      <w:r w:rsidRPr="00316EBD">
        <w:rPr>
          <w:i/>
          <w:highlight w:val="white"/>
        </w:rPr>
        <w:t xml:space="preserve">Patrick Knowlson, 217 West Jones St., 1641 Mail Service Center, Raleigh, NC 27699-1641; phone (919) 707-8711; fax (919) 715-0717; email </w:t>
      </w:r>
      <w:r w:rsidRPr="00A90EB6">
        <w:rPr>
          <w:i/>
          <w:highlight w:val="white"/>
        </w:rPr>
        <w:t>daq.publiccomments@ncdenr.gov</w:t>
      </w:r>
      <w:r>
        <w:rPr>
          <w:i/>
        </w:rPr>
        <w:t xml:space="preserve"> (Please type "Revised Log Fumigation Rule" in subject line)</w:t>
      </w:r>
    </w:p>
    <w:p w14:paraId="23657CC9" w14:textId="77777777" w:rsidR="00E91AE1" w:rsidRPr="00316EBD" w:rsidRDefault="00E91AE1" w:rsidP="001D2CEB">
      <w:pPr>
        <w:pStyle w:val="Base"/>
        <w:rPr>
          <w:i/>
        </w:rPr>
      </w:pPr>
    </w:p>
    <w:p w14:paraId="0770F9EC" w14:textId="77777777" w:rsidR="00E91AE1" w:rsidRPr="00B31E75" w:rsidRDefault="00E91AE1" w:rsidP="001D2CEB">
      <w:pPr>
        <w:pStyle w:val="Paragraph"/>
        <w:rPr>
          <w:b/>
        </w:rPr>
      </w:pPr>
      <w:r w:rsidRPr="00B31E75">
        <w:rPr>
          <w:b/>
          <w:iCs/>
        </w:rPr>
        <w:t>Comment period ends:</w:t>
      </w:r>
      <w:r w:rsidRPr="00B31E75">
        <w:rPr>
          <w:b/>
          <w:i/>
          <w:iCs/>
        </w:rPr>
        <w:t xml:space="preserve">  </w:t>
      </w:r>
      <w:r>
        <w:rPr>
          <w:i/>
          <w:color w:val="000000"/>
          <w:highlight w:val="white"/>
        </w:rPr>
        <w:t>April 3, 2020</w:t>
      </w:r>
    </w:p>
    <w:p w14:paraId="1430907A" w14:textId="77777777" w:rsidR="00E91AE1" w:rsidRPr="00B31E75" w:rsidRDefault="00E91AE1" w:rsidP="001D2CEB">
      <w:pPr>
        <w:pStyle w:val="Base"/>
      </w:pPr>
    </w:p>
    <w:p w14:paraId="26236593" w14:textId="77777777" w:rsidR="00E91AE1" w:rsidRPr="00B31E75" w:rsidRDefault="00E91AE1" w:rsidP="001D2CE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36FC764B" w14:textId="77777777" w:rsidR="00E91AE1" w:rsidRPr="00B31E75" w:rsidRDefault="00E91AE1" w:rsidP="001D2CEB">
      <w:pPr>
        <w:pStyle w:val="Base"/>
      </w:pPr>
    </w:p>
    <w:p w14:paraId="0E52F670" w14:textId="77777777" w:rsidR="00E91AE1" w:rsidRPr="00B31E75" w:rsidRDefault="00E91AE1" w:rsidP="001D2CEB">
      <w:pPr>
        <w:pStyle w:val="Paragraph"/>
        <w:rPr>
          <w:b/>
        </w:rPr>
      </w:pPr>
      <w:r w:rsidRPr="00B31E75">
        <w:rPr>
          <w:b/>
        </w:rPr>
        <w:t>Fiscal impact. Does any rule or combination of rules in this notice create an economic impact? Check all that apply.</w:t>
      </w:r>
    </w:p>
    <w:p w14:paraId="1FC4DC57"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State funds affected</w:t>
      </w:r>
    </w:p>
    <w:p w14:paraId="5E45AB2D"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Local funds affected</w:t>
      </w:r>
    </w:p>
    <w:p w14:paraId="31C4D8AE"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Substantial economic impact (&gt;= $1,000,000)</w:t>
      </w:r>
    </w:p>
    <w:p w14:paraId="67B9644C"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Approved by OSBM</w:t>
      </w:r>
    </w:p>
    <w:p w14:paraId="4E49B6B0"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No fiscal note required</w:t>
      </w:r>
    </w:p>
    <w:p w14:paraId="7CF25A2C" w14:textId="77777777" w:rsidR="00E91AE1" w:rsidRPr="00B31E75" w:rsidRDefault="00E91AE1" w:rsidP="001D2CEB">
      <w:pPr>
        <w:pStyle w:val="Base"/>
      </w:pPr>
    </w:p>
    <w:p w14:paraId="787A3AD3" w14:textId="77777777" w:rsidR="00E91AE1" w:rsidRPr="00727CE2" w:rsidRDefault="00E91AE1" w:rsidP="001D2CEB">
      <w:pPr>
        <w:pStyle w:val="Rule"/>
      </w:pPr>
      <w:r w:rsidRPr="00727CE2">
        <w:rPr>
          <w:u w:val="single"/>
        </w:rPr>
        <w:t>15A NCAC 02D .0546</w:t>
      </w:r>
      <w:r w:rsidRPr="00727CE2">
        <w:tab/>
      </w:r>
      <w:r w:rsidRPr="00727CE2">
        <w:rPr>
          <w:u w:val="single"/>
        </w:rPr>
        <w:t>Control of EMISSIONS FROM log fumigation operations</w:t>
      </w:r>
    </w:p>
    <w:p w14:paraId="042F9FC6" w14:textId="77777777" w:rsidR="00E91AE1" w:rsidRPr="00727CE2" w:rsidRDefault="00E91AE1" w:rsidP="001D2CEB">
      <w:pPr>
        <w:pStyle w:val="Paragraph"/>
      </w:pPr>
      <w:r w:rsidRPr="00727CE2">
        <w:rPr>
          <w:u w:val="single"/>
        </w:rPr>
        <w:t>(a)  Purpose. The purpose of this Rule is to establish emission control requirements for hazardous air pollutants and toxic air pollutants from log fumigation operations.</w:t>
      </w:r>
    </w:p>
    <w:p w14:paraId="321130CB" w14:textId="77777777" w:rsidR="00E91AE1" w:rsidRPr="00727CE2" w:rsidRDefault="00E91AE1" w:rsidP="001D2CEB">
      <w:pPr>
        <w:pStyle w:val="Paragraph"/>
      </w:pPr>
      <w:r w:rsidRPr="00727CE2">
        <w:rPr>
          <w:u w:val="single"/>
        </w:rPr>
        <w:t>(b)  Definitions. For the purpose of this Rule, the following definitions and definitions in this Subchapter or 15A NCAC 02Q apply:</w:t>
      </w:r>
    </w:p>
    <w:p w14:paraId="5889A89F" w14:textId="77777777" w:rsidR="00E91AE1" w:rsidRPr="00727CE2" w:rsidRDefault="00E91AE1" w:rsidP="001D2CEB">
      <w:pPr>
        <w:pStyle w:val="SubParagraph"/>
        <w:tabs>
          <w:tab w:val="clear" w:pos="1800"/>
        </w:tabs>
      </w:pPr>
      <w:r w:rsidRPr="00727CE2">
        <w:rPr>
          <w:u w:val="single"/>
        </w:rPr>
        <w:lastRenderedPageBreak/>
        <w:t>(1)</w:t>
      </w:r>
      <w:r w:rsidRPr="00727CE2">
        <w:tab/>
      </w:r>
      <w:r w:rsidRPr="00727CE2">
        <w:rPr>
          <w:u w:val="single"/>
        </w:rPr>
        <w:t>"Bulk or tarpaulin log fumigation" means the fumigation of logs that are placed in piles on an impermeable surface and covered with a weighted-down tarpaulin.</w:t>
      </w:r>
    </w:p>
    <w:p w14:paraId="3416C38A" w14:textId="77777777" w:rsidR="00E91AE1" w:rsidRPr="00727CE2" w:rsidRDefault="00E91AE1" w:rsidP="001D2CEB">
      <w:pPr>
        <w:pStyle w:val="SubParagraph"/>
        <w:tabs>
          <w:tab w:val="clear" w:pos="1800"/>
        </w:tabs>
      </w:pPr>
      <w:r w:rsidRPr="00727CE2">
        <w:rPr>
          <w:u w:val="single"/>
        </w:rPr>
        <w:t>(2)</w:t>
      </w:r>
      <w:r w:rsidRPr="00727CE2">
        <w:tab/>
      </w:r>
      <w:r w:rsidRPr="00727CE2">
        <w:rPr>
          <w:u w:val="single"/>
        </w:rPr>
        <w:t>"Chamber log fumigation" means the fumigation of logs inside a sealed building or structure that is specifically used for fumigation. Chambers used for fumigation may be either atmospheric or vacuum type.</w:t>
      </w:r>
    </w:p>
    <w:p w14:paraId="68584E8F" w14:textId="77777777" w:rsidR="00E91AE1" w:rsidRPr="00727CE2" w:rsidRDefault="00E91AE1" w:rsidP="001D2CEB">
      <w:pPr>
        <w:pStyle w:val="SubParagraph"/>
        <w:tabs>
          <w:tab w:val="clear" w:pos="1800"/>
        </w:tabs>
      </w:pPr>
      <w:r w:rsidRPr="00727CE2">
        <w:rPr>
          <w:u w:val="single"/>
        </w:rPr>
        <w:t>(3)</w:t>
      </w:r>
      <w:r w:rsidRPr="00727CE2">
        <w:tab/>
      </w:r>
      <w:r w:rsidRPr="00727CE2">
        <w:rPr>
          <w:u w:val="single"/>
        </w:rPr>
        <w:t>"Container log fumigation" means the fumigation of logs inside a container and where the doors of the container are closed and sealed.</w:t>
      </w:r>
    </w:p>
    <w:p w14:paraId="1ECAC474" w14:textId="77777777" w:rsidR="00E91AE1" w:rsidRPr="00727CE2" w:rsidRDefault="00E91AE1" w:rsidP="001D2CEB">
      <w:pPr>
        <w:pStyle w:val="SubParagraph"/>
        <w:tabs>
          <w:tab w:val="clear" w:pos="1800"/>
        </w:tabs>
      </w:pPr>
      <w:r w:rsidRPr="00727CE2">
        <w:rPr>
          <w:u w:val="single"/>
        </w:rPr>
        <w:t>(4)</w:t>
      </w:r>
      <w:r w:rsidRPr="00727CE2">
        <w:tab/>
      </w:r>
      <w:r w:rsidRPr="00727CE2">
        <w:rPr>
          <w:u w:val="single"/>
        </w:rPr>
        <w:t>"Fumigant" means the hazardous air pollutant or toxic air pollutant that is used to eliminate the pests within the logs.</w:t>
      </w:r>
    </w:p>
    <w:p w14:paraId="63DF5D52" w14:textId="77777777" w:rsidR="00E91AE1" w:rsidRPr="00727CE2" w:rsidRDefault="00E91AE1" w:rsidP="001D2CEB">
      <w:pPr>
        <w:pStyle w:val="SubParagraph"/>
        <w:tabs>
          <w:tab w:val="clear" w:pos="1800"/>
        </w:tabs>
      </w:pPr>
      <w:r w:rsidRPr="00727CE2">
        <w:rPr>
          <w:u w:val="single"/>
        </w:rPr>
        <w:t>(5)</w:t>
      </w:r>
      <w:r w:rsidRPr="00727CE2">
        <w:tab/>
      </w:r>
      <w:r w:rsidRPr="00727CE2">
        <w:rPr>
          <w:u w:val="single"/>
        </w:rPr>
        <w:t xml:space="preserve">"Fumigation operation" means the </w:t>
      </w:r>
      <w:proofErr w:type="gramStart"/>
      <w:r w:rsidRPr="00727CE2">
        <w:rPr>
          <w:u w:val="single"/>
        </w:rPr>
        <w:t>period of time</w:t>
      </w:r>
      <w:proofErr w:type="gramEnd"/>
      <w:r w:rsidRPr="00727CE2">
        <w:rPr>
          <w:u w:val="single"/>
        </w:rPr>
        <w:t xml:space="preserve"> that the fumigant is injected and retained in the container or chamber for the purposes of treating the logs for insects and other pests to prevent the transfer of exotic organisms.</w:t>
      </w:r>
    </w:p>
    <w:p w14:paraId="0B0C0210" w14:textId="77777777" w:rsidR="00E91AE1" w:rsidRPr="00727CE2" w:rsidRDefault="00E91AE1" w:rsidP="001D2CEB">
      <w:pPr>
        <w:pStyle w:val="SubParagraph"/>
        <w:tabs>
          <w:tab w:val="clear" w:pos="1800"/>
        </w:tabs>
      </w:pPr>
      <w:r w:rsidRPr="00727CE2">
        <w:rPr>
          <w:u w:val="single"/>
        </w:rPr>
        <w:t>(6)</w:t>
      </w:r>
      <w:r w:rsidRPr="00727CE2">
        <w:tab/>
      </w:r>
      <w:r w:rsidRPr="00727CE2">
        <w:rPr>
          <w:u w:val="single"/>
        </w:rPr>
        <w:t>"Hazardous air pollutant" means any pollutant listed under Section 112(b) of the federal Clean Air Act.</w:t>
      </w:r>
    </w:p>
    <w:p w14:paraId="66B7C92C" w14:textId="77777777" w:rsidR="00E91AE1" w:rsidRPr="00727CE2" w:rsidRDefault="00E91AE1" w:rsidP="001D2CEB">
      <w:pPr>
        <w:pStyle w:val="SubParagraph"/>
        <w:tabs>
          <w:tab w:val="clear" w:pos="1800"/>
        </w:tabs>
      </w:pPr>
      <w:r w:rsidRPr="00727CE2">
        <w:rPr>
          <w:u w:val="single"/>
        </w:rPr>
        <w:t>(7)</w:t>
      </w:r>
      <w:r w:rsidRPr="00727CE2">
        <w:tab/>
      </w:r>
      <w:r w:rsidRPr="00727CE2">
        <w:rPr>
          <w:u w:val="single"/>
        </w:rPr>
        <w:t>"Public right-of-way" means an access area where people can reasonably be expected to be present for any or all parts of a 24-hour period.</w:t>
      </w:r>
    </w:p>
    <w:p w14:paraId="33AD8104" w14:textId="77777777" w:rsidR="00E91AE1" w:rsidRPr="00727CE2" w:rsidRDefault="00E91AE1" w:rsidP="001D2CEB">
      <w:pPr>
        <w:pStyle w:val="SubParagraph"/>
        <w:tabs>
          <w:tab w:val="clear" w:pos="1800"/>
        </w:tabs>
      </w:pPr>
      <w:r w:rsidRPr="00727CE2">
        <w:rPr>
          <w:u w:val="single"/>
        </w:rPr>
        <w:t>(8)</w:t>
      </w:r>
      <w:r w:rsidRPr="00727CE2">
        <w:tab/>
      </w:r>
      <w:r w:rsidRPr="00727CE2">
        <w:rPr>
          <w:u w:val="single"/>
        </w:rPr>
        <w:t>"Toxic air pollutant" means any of the carcinogens, chronic toxicants, acute systemic toxicants, or acute irritants that are listed in 15A NCAC 02D .1104.</w:t>
      </w:r>
    </w:p>
    <w:p w14:paraId="223B3CBD" w14:textId="77777777" w:rsidR="00E91AE1" w:rsidRPr="00727CE2" w:rsidRDefault="00E91AE1" w:rsidP="001D2CEB">
      <w:pPr>
        <w:pStyle w:val="Paragraph"/>
      </w:pPr>
      <w:r w:rsidRPr="00727CE2">
        <w:rPr>
          <w:u w:val="single"/>
        </w:rPr>
        <w:t>(c)  Applicability. This Rule applies to new, existing, and modified bulk, chamber, and container log fumigation operations that use a hazardous air pollutant or toxic air pollutant as a fumigant.</w:t>
      </w:r>
    </w:p>
    <w:p w14:paraId="5595E0AC" w14:textId="77777777" w:rsidR="00E91AE1" w:rsidRPr="00727CE2" w:rsidRDefault="00E91AE1" w:rsidP="001D2CEB">
      <w:pPr>
        <w:pStyle w:val="Paragraph"/>
      </w:pPr>
      <w:r w:rsidRPr="00727CE2">
        <w:rPr>
          <w:u w:val="single"/>
        </w:rPr>
        <w:t>(d)  Emission Control Requirements. The owner or operator of a log fumigation operation shall comply with the Toxic Air Pollutant Guidelines specified in 15A NCAC 02D .1104 and follow the procedures specified in 15A NCAC 02D .1106, 15A NCAC 02Q .0709, and .0710.</w:t>
      </w:r>
    </w:p>
    <w:p w14:paraId="71D9014B" w14:textId="77777777" w:rsidR="00E91AE1" w:rsidRPr="00727CE2" w:rsidRDefault="00E91AE1" w:rsidP="001D2CEB">
      <w:pPr>
        <w:pStyle w:val="Paragraph"/>
      </w:pPr>
      <w:r w:rsidRPr="00727CE2">
        <w:rPr>
          <w:u w:val="single"/>
        </w:rPr>
        <w:t xml:space="preserve">(e)  The owner or operator shall post signs notifying the public of fumigation operations. The signs shall be visible and legible at the fence or property line closest to any public right-of-way. The signs </w:t>
      </w:r>
      <w:proofErr w:type="gramStart"/>
      <w:r w:rsidRPr="00727CE2">
        <w:rPr>
          <w:u w:val="single"/>
        </w:rPr>
        <w:t>shall remain in place at all times</w:t>
      </w:r>
      <w:proofErr w:type="gramEnd"/>
      <w:r w:rsidRPr="00727CE2">
        <w:rPr>
          <w:u w:val="single"/>
        </w:rPr>
        <w:t xml:space="preserve"> and shall conform to the format for placards mandated by the federally approved fumigant label.</w:t>
      </w:r>
    </w:p>
    <w:p w14:paraId="2D13A025" w14:textId="77777777" w:rsidR="00E91AE1" w:rsidRPr="00727CE2" w:rsidRDefault="00E91AE1" w:rsidP="001D2CEB">
      <w:pPr>
        <w:pStyle w:val="Paragraph"/>
      </w:pPr>
      <w:r w:rsidRPr="00727CE2">
        <w:rPr>
          <w:u w:val="single"/>
        </w:rPr>
        <w:t>(f)  Monitoring, Recordkeeping and Reporting. The owner or operator of a bulk, chamber, or container log fumigation operation shall comply with the requirements pursuant to 15A NCAC 02D .0600.</w:t>
      </w:r>
    </w:p>
    <w:p w14:paraId="64F375B2" w14:textId="77777777" w:rsidR="00E91AE1" w:rsidRPr="00727CE2" w:rsidRDefault="00E91AE1" w:rsidP="001D2CEB">
      <w:pPr>
        <w:pStyle w:val="SubParagraph"/>
        <w:tabs>
          <w:tab w:val="clear" w:pos="1800"/>
        </w:tabs>
      </w:pPr>
      <w:r w:rsidRPr="00727CE2">
        <w:rPr>
          <w:u w:val="single"/>
        </w:rPr>
        <w:t>(1)</w:t>
      </w:r>
      <w:r w:rsidRPr="00727CE2">
        <w:tab/>
      </w:r>
      <w:r w:rsidRPr="00727CE2">
        <w:rPr>
          <w:u w:val="single"/>
        </w:rPr>
        <w:t xml:space="preserve">The owner or operator shall send an initial notification of commencement of operations to </w:t>
      </w:r>
      <w:r w:rsidRPr="00727CE2">
        <w:rPr>
          <w:u w:val="single"/>
        </w:rPr>
        <w:t>the appropriate Division of Air Quality regional office within 15 days of initial fumigation start-up.</w:t>
      </w:r>
    </w:p>
    <w:p w14:paraId="6AF707BA" w14:textId="77777777" w:rsidR="00E91AE1" w:rsidRPr="00727CE2" w:rsidRDefault="00E91AE1" w:rsidP="001D2CEB">
      <w:pPr>
        <w:pStyle w:val="SubParagraph"/>
        <w:tabs>
          <w:tab w:val="clear" w:pos="1800"/>
        </w:tabs>
      </w:pPr>
      <w:r w:rsidRPr="00727CE2">
        <w:rPr>
          <w:u w:val="single"/>
        </w:rPr>
        <w:t>(2)</w:t>
      </w:r>
      <w:r w:rsidRPr="00727CE2">
        <w:tab/>
      </w:r>
      <w:r w:rsidRPr="00727CE2">
        <w:rPr>
          <w:u w:val="single"/>
        </w:rPr>
        <w:t>The owner or operator shall submit a quarterly summary report, with the original signature of the Permittee or the authorized responsible official, of the monitoring and recordkeeping activities postmarked no later than 30 days after the end of each calendar year quarter. The report shall contain the following:</w:t>
      </w:r>
    </w:p>
    <w:p w14:paraId="21F05126" w14:textId="77777777" w:rsidR="00E91AE1" w:rsidRPr="00727CE2" w:rsidRDefault="00E91AE1" w:rsidP="001D2CEB">
      <w:pPr>
        <w:pStyle w:val="Part"/>
        <w:tabs>
          <w:tab w:val="clear" w:pos="2520"/>
        </w:tabs>
      </w:pPr>
      <w:r w:rsidRPr="00727CE2">
        <w:rPr>
          <w:u w:val="single"/>
        </w:rPr>
        <w:t>(A)</w:t>
      </w:r>
      <w:r w:rsidRPr="00727CE2">
        <w:tab/>
      </w:r>
      <w:r w:rsidRPr="00727CE2">
        <w:rPr>
          <w:u w:val="single"/>
        </w:rPr>
        <w:t>company name, address, and facility ID number;</w:t>
      </w:r>
    </w:p>
    <w:p w14:paraId="1B65EBE9" w14:textId="77777777" w:rsidR="00E91AE1" w:rsidRPr="00727CE2" w:rsidRDefault="00E91AE1" w:rsidP="001D2CEB">
      <w:pPr>
        <w:pStyle w:val="Part"/>
        <w:tabs>
          <w:tab w:val="clear" w:pos="2520"/>
        </w:tabs>
      </w:pPr>
      <w:r w:rsidRPr="00727CE2">
        <w:rPr>
          <w:u w:val="single"/>
        </w:rPr>
        <w:t>(B)</w:t>
      </w:r>
      <w:r w:rsidRPr="00727CE2">
        <w:tab/>
      </w:r>
      <w:r w:rsidRPr="00727CE2">
        <w:rPr>
          <w:u w:val="single"/>
        </w:rPr>
        <w:t>calendar year quarter represented by the report;</w:t>
      </w:r>
    </w:p>
    <w:p w14:paraId="3017F99A" w14:textId="77777777" w:rsidR="00E91AE1" w:rsidRPr="00727CE2" w:rsidRDefault="00E91AE1" w:rsidP="001D2CEB">
      <w:pPr>
        <w:pStyle w:val="Part"/>
        <w:tabs>
          <w:tab w:val="clear" w:pos="2520"/>
        </w:tabs>
      </w:pPr>
      <w:r w:rsidRPr="00727CE2">
        <w:rPr>
          <w:u w:val="single"/>
        </w:rPr>
        <w:t>(C)</w:t>
      </w:r>
      <w:r w:rsidRPr="00727CE2">
        <w:tab/>
      </w:r>
      <w:r w:rsidRPr="00727CE2">
        <w:rPr>
          <w:u w:val="single"/>
        </w:rPr>
        <w:t>daily and total fumigant usage in pounds for each quarter;</w:t>
      </w:r>
    </w:p>
    <w:p w14:paraId="22CF4604" w14:textId="77777777" w:rsidR="00E91AE1" w:rsidRPr="00727CE2" w:rsidRDefault="00E91AE1" w:rsidP="001D2CEB">
      <w:pPr>
        <w:pStyle w:val="Part"/>
        <w:tabs>
          <w:tab w:val="clear" w:pos="2520"/>
        </w:tabs>
      </w:pPr>
      <w:r w:rsidRPr="00727CE2">
        <w:rPr>
          <w:u w:val="single"/>
        </w:rPr>
        <w:t>(D)</w:t>
      </w:r>
      <w:r w:rsidRPr="00727CE2">
        <w:tab/>
      </w:r>
      <w:r w:rsidRPr="00727CE2">
        <w:rPr>
          <w:u w:val="single"/>
        </w:rPr>
        <w:t>a summary of the monitoring data required by the permit that was collected during the quarter; and</w:t>
      </w:r>
    </w:p>
    <w:p w14:paraId="04BDBC5B" w14:textId="77777777" w:rsidR="00E91AE1" w:rsidRPr="00727CE2" w:rsidRDefault="00E91AE1" w:rsidP="001D2CEB">
      <w:pPr>
        <w:pStyle w:val="Part"/>
        <w:tabs>
          <w:tab w:val="clear" w:pos="2520"/>
        </w:tabs>
      </w:pPr>
      <w:r w:rsidRPr="00727CE2">
        <w:rPr>
          <w:u w:val="single"/>
        </w:rPr>
        <w:t>(E)</w:t>
      </w:r>
      <w:r w:rsidRPr="00727CE2">
        <w:tab/>
      </w:r>
      <w:r w:rsidRPr="00727CE2">
        <w:rPr>
          <w:u w:val="single"/>
        </w:rPr>
        <w:t>a summary of exceedances from the levels established in the permit that occurred during the quarter of any monitoring parameters.</w:t>
      </w:r>
    </w:p>
    <w:p w14:paraId="7DEFABAC" w14:textId="77777777" w:rsidR="00E91AE1" w:rsidRPr="00727CE2" w:rsidRDefault="00E91AE1" w:rsidP="001D2CEB">
      <w:pPr>
        <w:pStyle w:val="Paragraph"/>
      </w:pPr>
      <w:r w:rsidRPr="00727CE2">
        <w:rPr>
          <w:u w:val="single"/>
        </w:rPr>
        <w:t>(g)  Compliance Schedule. The owner or operator of an existing log fumigation operation subject to this Rule shall achieve compliance within 60 days after the Rule is effective or in accordance with an alternate compliance schedule approved by the Director. In establishing an alternate compliance schedule, the Director shall consider whether the compliance approach chosen by the facility involves the purchase and installation of a control device.</w:t>
      </w:r>
      <w:r>
        <w:rPr>
          <w:u w:val="single"/>
        </w:rPr>
        <w:t xml:space="preserve"> </w:t>
      </w:r>
      <w:r w:rsidRPr="00727CE2">
        <w:rPr>
          <w:u w:val="single"/>
        </w:rPr>
        <w:t>New and modified facilities shall achieve compliance with this Rule upon start-up.</w:t>
      </w:r>
    </w:p>
    <w:p w14:paraId="6E99E3A9" w14:textId="77777777" w:rsidR="00E91AE1" w:rsidRPr="00727CE2" w:rsidRDefault="00E91AE1" w:rsidP="001D2CEB">
      <w:pPr>
        <w:pStyle w:val="Base"/>
      </w:pPr>
    </w:p>
    <w:p w14:paraId="20BFC61A" w14:textId="7F2CD872" w:rsidR="00E91AE1" w:rsidRPr="00727CE2" w:rsidRDefault="00E91AE1" w:rsidP="00E91AE1">
      <w:pPr>
        <w:pStyle w:val="HistoryAuthority"/>
      </w:pPr>
      <w:r w:rsidRPr="00727CE2">
        <w:t>Authority G.S. 143-215.3(a)(1); 143-215.107(a)(5)</w:t>
      </w:r>
      <w:r>
        <w:t>.</w:t>
      </w:r>
    </w:p>
    <w:p w14:paraId="71A6A26E" w14:textId="77777777" w:rsidR="00E91AE1" w:rsidRPr="00727CE2" w:rsidRDefault="00E91AE1" w:rsidP="001D2CEB">
      <w:pPr>
        <w:pStyle w:val="Base"/>
      </w:pPr>
    </w:p>
    <w:p w14:paraId="20B25677" w14:textId="77777777" w:rsidR="00E91AE1" w:rsidRDefault="00E91AE1" w:rsidP="001D2CEB">
      <w:pPr>
        <w:pStyle w:val="Section"/>
      </w:pPr>
      <w:r>
        <w:t xml:space="preserve">SECTION .1100 </w:t>
      </w:r>
      <w:r>
        <w:noBreakHyphen/>
        <w:t xml:space="preserve"> CONTROL OF TOXIC AIR POLLUTANTS</w:t>
      </w:r>
    </w:p>
    <w:p w14:paraId="74ABDA7C" w14:textId="77777777" w:rsidR="00E91AE1" w:rsidRPr="002E6B69" w:rsidRDefault="00E91AE1" w:rsidP="001D2CEB">
      <w:pPr>
        <w:pStyle w:val="Base"/>
      </w:pPr>
    </w:p>
    <w:p w14:paraId="7FE9BD48" w14:textId="77777777" w:rsidR="00E91AE1" w:rsidRPr="002E6B69" w:rsidRDefault="00E91AE1" w:rsidP="001D2CEB">
      <w:pPr>
        <w:pStyle w:val="Rule"/>
      </w:pPr>
      <w:r w:rsidRPr="002E6B69">
        <w:t>15A NCAC 02D .1104</w:t>
      </w:r>
      <w:r w:rsidRPr="002E6B69">
        <w:tab/>
        <w:t>TOXIC AIR POLLUTANT GUIDELINES</w:t>
      </w:r>
    </w:p>
    <w:p w14:paraId="450F6546" w14:textId="77777777" w:rsidR="00E91AE1" w:rsidRPr="002E6B69" w:rsidRDefault="00E91AE1" w:rsidP="001D2CEB">
      <w:pPr>
        <w:pStyle w:val="Paragraph"/>
      </w:pPr>
      <w:r w:rsidRPr="002E6B69">
        <w:t>A facility shall not emit any of the following toxic air pollutants in such quantities that may cause or contribute beyond the facility's premises to any significant ambient air concentration that may adversely affect human health, except as allowed pursuant to 15A NCAC 02Q .0700. In determining these significant ambient air concentrations, the Division shall be governed by the following list of acceptable ambient levels in milligrams per cubic meter at 77</w:t>
      </w:r>
      <w:r w:rsidRPr="002E6B69">
        <w:sym w:font="Symbol" w:char="F0B0"/>
      </w:r>
      <w:r w:rsidRPr="002E6B69">
        <w:t xml:space="preserve"> F (25</w:t>
      </w:r>
      <w:r w:rsidRPr="002E6B69">
        <w:sym w:font="Symbol" w:char="F0B0"/>
      </w:r>
      <w:r w:rsidRPr="002E6B69">
        <w:t xml:space="preserve"> C) and 29.92 inches (760 mm) of mercury pressure, except for asbestos:</w:t>
      </w:r>
    </w:p>
    <w:p w14:paraId="1D25424B" w14:textId="77777777" w:rsidR="00E91AE1" w:rsidRDefault="00E91AE1" w:rsidP="001D2CEB">
      <w:pPr>
        <w:pStyle w:val="Base"/>
        <w:sectPr w:rsidR="00E91AE1">
          <w:type w:val="continuous"/>
          <w:pgSz w:w="12240" w:h="15840"/>
          <w:pgMar w:top="360" w:right="720" w:bottom="360" w:left="720" w:header="360" w:footer="360" w:gutter="0"/>
          <w:cols w:num="2" w:space="360"/>
        </w:sectPr>
      </w:pPr>
    </w:p>
    <w:p w14:paraId="7AACFA7B" w14:textId="2E43CCD8" w:rsidR="00E91AE1" w:rsidRDefault="00E91AE1" w:rsidP="001D2CEB">
      <w:pPr>
        <w:pStyle w:val="Base"/>
      </w:pPr>
    </w:p>
    <w:p w14:paraId="7A164578" w14:textId="4374117B" w:rsidR="00A90EB6" w:rsidRDefault="00A90EB6" w:rsidP="001D2CEB">
      <w:pPr>
        <w:pStyle w:val="Base"/>
      </w:pPr>
    </w:p>
    <w:tbl>
      <w:tblPr>
        <w:tblW w:w="8820" w:type="dxa"/>
        <w:tblInd w:w="120" w:type="dxa"/>
        <w:tblLayout w:type="fixed"/>
        <w:tblCellMar>
          <w:left w:w="120" w:type="dxa"/>
          <w:right w:w="120" w:type="dxa"/>
        </w:tblCellMar>
        <w:tblLook w:val="0000" w:firstRow="0" w:lastRow="0" w:firstColumn="0" w:lastColumn="0" w:noHBand="0" w:noVBand="0"/>
      </w:tblPr>
      <w:tblGrid>
        <w:gridCol w:w="3420"/>
        <w:gridCol w:w="1620"/>
        <w:gridCol w:w="1305"/>
        <w:gridCol w:w="1305"/>
        <w:gridCol w:w="1170"/>
      </w:tblGrid>
      <w:tr w:rsidR="00E91AE1" w:rsidRPr="002E6B69" w14:paraId="28A9E052" w14:textId="77777777" w:rsidTr="001D2CEB">
        <w:trPr>
          <w:tblHeader/>
        </w:trPr>
        <w:tc>
          <w:tcPr>
            <w:tcW w:w="8820" w:type="dxa"/>
            <w:gridSpan w:val="5"/>
            <w:tcBorders>
              <w:top w:val="single" w:sz="6" w:space="0" w:color="000000"/>
              <w:left w:val="single" w:sz="6" w:space="0" w:color="000000"/>
              <w:bottom w:val="single" w:sz="6" w:space="0" w:color="000000"/>
              <w:right w:val="single" w:sz="6" w:space="0" w:color="000000"/>
            </w:tcBorders>
          </w:tcPr>
          <w:p w14:paraId="59122888" w14:textId="77777777" w:rsidR="00E91AE1" w:rsidRPr="002E6B69" w:rsidRDefault="00E91AE1" w:rsidP="001D2CEB">
            <w:r w:rsidRPr="002E6B69">
              <w:rPr>
                <w:kern w:val="0"/>
              </w:rPr>
              <w:lastRenderedPageBreak/>
              <w:t>Acceptable Ambient Levels (AAL) in Milligrams per Cubic Meter (mg/m</w:t>
            </w:r>
            <w:r w:rsidRPr="002E6B69">
              <w:rPr>
                <w:kern w:val="0"/>
                <w:vertAlign w:val="superscript"/>
              </w:rPr>
              <w:t>3</w:t>
            </w:r>
            <w:r w:rsidRPr="002E6B69">
              <w:rPr>
                <w:kern w:val="0"/>
              </w:rPr>
              <w:t>) Except Where Noted</w:t>
            </w:r>
          </w:p>
        </w:tc>
      </w:tr>
      <w:tr w:rsidR="00E91AE1" w:rsidRPr="002E6B69" w14:paraId="58527254" w14:textId="77777777" w:rsidTr="001D2CEB">
        <w:trPr>
          <w:tblHeader/>
        </w:trPr>
        <w:tc>
          <w:tcPr>
            <w:tcW w:w="3420" w:type="dxa"/>
            <w:tcBorders>
              <w:top w:val="single" w:sz="6" w:space="0" w:color="000000"/>
              <w:left w:val="single" w:sz="6" w:space="0" w:color="000000"/>
              <w:bottom w:val="single" w:sz="6" w:space="0" w:color="000000"/>
              <w:right w:val="single" w:sz="6" w:space="0" w:color="000000"/>
            </w:tcBorders>
          </w:tcPr>
          <w:p w14:paraId="180F6762" w14:textId="77777777" w:rsidR="00E91AE1" w:rsidRPr="002E6B69" w:rsidRDefault="00E91AE1" w:rsidP="001D2CEB">
            <w:pPr>
              <w:pStyle w:val="Base"/>
            </w:pPr>
          </w:p>
          <w:p w14:paraId="21FDD9EB" w14:textId="77777777" w:rsidR="00E91AE1" w:rsidRPr="002E6B69" w:rsidRDefault="00E91AE1" w:rsidP="001D2CEB">
            <w:r w:rsidRPr="002E6B69">
              <w:rPr>
                <w:kern w:val="0"/>
              </w:rPr>
              <w:t>Pollutant (CAS Number)</w:t>
            </w:r>
          </w:p>
        </w:tc>
        <w:tc>
          <w:tcPr>
            <w:tcW w:w="1620" w:type="dxa"/>
            <w:tcBorders>
              <w:top w:val="single" w:sz="6" w:space="0" w:color="000000"/>
              <w:left w:val="single" w:sz="6" w:space="0" w:color="000000"/>
              <w:bottom w:val="single" w:sz="6" w:space="0" w:color="000000"/>
              <w:right w:val="single" w:sz="6" w:space="0" w:color="000000"/>
            </w:tcBorders>
          </w:tcPr>
          <w:p w14:paraId="229DD282" w14:textId="77777777" w:rsidR="00E91AE1" w:rsidRPr="002E6B69" w:rsidRDefault="00E91AE1" w:rsidP="001D2CEB">
            <w:pPr>
              <w:pStyle w:val="Base"/>
            </w:pPr>
          </w:p>
          <w:p w14:paraId="1BA1794E" w14:textId="77777777" w:rsidR="00E91AE1" w:rsidRPr="002E6B69" w:rsidRDefault="00E91AE1" w:rsidP="001D2CEB">
            <w:pPr>
              <w:pStyle w:val="Base"/>
            </w:pPr>
            <w:r w:rsidRPr="002E6B69">
              <w:t>Annual (Carcinogens)</w:t>
            </w:r>
          </w:p>
          <w:p w14:paraId="1CB76208" w14:textId="77777777" w:rsidR="00E91AE1" w:rsidRPr="002E6B69" w:rsidRDefault="00E91AE1" w:rsidP="001D2CEB">
            <w:pPr>
              <w:pStyle w:val="Base"/>
            </w:pPr>
          </w:p>
          <w:p w14:paraId="4238855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0D5FB8BE" w14:textId="77777777" w:rsidR="00E91AE1" w:rsidRPr="002E6B69" w:rsidRDefault="00E91AE1" w:rsidP="001D2CEB">
            <w:pPr>
              <w:pStyle w:val="Base"/>
            </w:pPr>
          </w:p>
          <w:p w14:paraId="2C3F009B" w14:textId="77777777" w:rsidR="00E91AE1" w:rsidRPr="002E6B69" w:rsidRDefault="00E91AE1" w:rsidP="001D2CEB">
            <w:pPr>
              <w:pStyle w:val="Base"/>
            </w:pPr>
            <w:r w:rsidRPr="002E6B69">
              <w:t>24-hour</w:t>
            </w:r>
          </w:p>
          <w:p w14:paraId="0806FAE7" w14:textId="77777777" w:rsidR="00E91AE1" w:rsidRPr="002E6B69" w:rsidRDefault="00E91AE1" w:rsidP="001D2CEB">
            <w:pPr>
              <w:rPr>
                <w:kern w:val="0"/>
              </w:rPr>
            </w:pPr>
            <w:r w:rsidRPr="002E6B69">
              <w:rPr>
                <w:kern w:val="0"/>
              </w:rPr>
              <w:t>(Chronic Toxicants)</w:t>
            </w:r>
          </w:p>
          <w:p w14:paraId="0ED4131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78EC078E" w14:textId="77777777" w:rsidR="00E91AE1" w:rsidRPr="002E6B69" w:rsidRDefault="00E91AE1" w:rsidP="001D2CEB">
            <w:pPr>
              <w:pStyle w:val="Base"/>
            </w:pPr>
          </w:p>
          <w:p w14:paraId="11EABC03" w14:textId="77777777" w:rsidR="00E91AE1" w:rsidRPr="002E6B69" w:rsidRDefault="00E91AE1" w:rsidP="001D2CEB">
            <w:pPr>
              <w:pStyle w:val="Base"/>
            </w:pPr>
            <w:r w:rsidRPr="002E6B69">
              <w:t>1-hour</w:t>
            </w:r>
          </w:p>
          <w:p w14:paraId="753B8871" w14:textId="77777777" w:rsidR="00E91AE1" w:rsidRPr="002E6B69" w:rsidRDefault="00E91AE1" w:rsidP="001D2CEB">
            <w:r w:rsidRPr="002E6B69">
              <w:rPr>
                <w:kern w:val="0"/>
              </w:rPr>
              <w:t>(Acute Systemic Toxicants)</w:t>
            </w:r>
          </w:p>
        </w:tc>
        <w:tc>
          <w:tcPr>
            <w:tcW w:w="1170" w:type="dxa"/>
            <w:tcBorders>
              <w:top w:val="single" w:sz="6" w:space="0" w:color="000000"/>
              <w:left w:val="single" w:sz="6" w:space="0" w:color="000000"/>
              <w:bottom w:val="single" w:sz="6" w:space="0" w:color="000000"/>
              <w:right w:val="single" w:sz="6" w:space="0" w:color="000000"/>
            </w:tcBorders>
          </w:tcPr>
          <w:p w14:paraId="07EE5097" w14:textId="77777777" w:rsidR="00E91AE1" w:rsidRPr="002E6B69" w:rsidRDefault="00E91AE1" w:rsidP="001D2CEB">
            <w:pPr>
              <w:pStyle w:val="Base"/>
            </w:pPr>
          </w:p>
          <w:p w14:paraId="5C9655F2" w14:textId="77777777" w:rsidR="00E91AE1" w:rsidRPr="002E6B69" w:rsidRDefault="00E91AE1" w:rsidP="001D2CEB">
            <w:pPr>
              <w:pStyle w:val="Base"/>
            </w:pPr>
            <w:r w:rsidRPr="002E6B69">
              <w:t>1-hour</w:t>
            </w:r>
          </w:p>
          <w:p w14:paraId="0E6BFB62" w14:textId="77777777" w:rsidR="00E91AE1" w:rsidRPr="002E6B69" w:rsidRDefault="00E91AE1" w:rsidP="001D2CEB">
            <w:pPr>
              <w:rPr>
                <w:kern w:val="0"/>
              </w:rPr>
            </w:pPr>
            <w:r w:rsidRPr="002E6B69">
              <w:rPr>
                <w:kern w:val="0"/>
              </w:rPr>
              <w:t>(Acute Irritants)</w:t>
            </w:r>
          </w:p>
          <w:p w14:paraId="5F97A99A" w14:textId="77777777" w:rsidR="00E91AE1" w:rsidRPr="002E6B69" w:rsidRDefault="00E91AE1" w:rsidP="001D2CEB">
            <w:pPr>
              <w:pStyle w:val="Base"/>
            </w:pPr>
          </w:p>
        </w:tc>
      </w:tr>
      <w:tr w:rsidR="00E91AE1" w:rsidRPr="002E6B69" w14:paraId="4F6DF67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DF8E43E" w14:textId="77777777" w:rsidR="00E91AE1" w:rsidRPr="002E6B69" w:rsidRDefault="00E91AE1" w:rsidP="001D2CEB">
            <w:r w:rsidRPr="002E6B69">
              <w:rPr>
                <w:kern w:val="0"/>
              </w:rPr>
              <w:t>acetaldehyde (75-07-0)</w:t>
            </w:r>
          </w:p>
        </w:tc>
        <w:tc>
          <w:tcPr>
            <w:tcW w:w="1620" w:type="dxa"/>
            <w:tcBorders>
              <w:top w:val="single" w:sz="6" w:space="0" w:color="000000"/>
              <w:left w:val="single" w:sz="6" w:space="0" w:color="000000"/>
              <w:bottom w:val="single" w:sz="6" w:space="0" w:color="000000"/>
              <w:right w:val="single" w:sz="6" w:space="0" w:color="000000"/>
            </w:tcBorders>
            <w:vAlign w:val="center"/>
          </w:tcPr>
          <w:p w14:paraId="005915A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4A0C70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700B1E2"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0B51EDD" w14:textId="77777777" w:rsidR="00E91AE1" w:rsidRPr="002E6B69" w:rsidRDefault="00E91AE1" w:rsidP="001D2CEB">
            <w:r w:rsidRPr="002E6B69">
              <w:rPr>
                <w:kern w:val="0"/>
              </w:rPr>
              <w:t>27</w:t>
            </w:r>
          </w:p>
        </w:tc>
      </w:tr>
      <w:tr w:rsidR="00E91AE1" w:rsidRPr="002E6B69" w14:paraId="59FFABA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8957944" w14:textId="77777777" w:rsidR="00E91AE1" w:rsidRPr="002E6B69" w:rsidRDefault="00E91AE1" w:rsidP="001D2CEB">
            <w:r w:rsidRPr="002E6B69">
              <w:rPr>
                <w:kern w:val="0"/>
              </w:rPr>
              <w:t>acetic acid (64-19-7)</w:t>
            </w:r>
          </w:p>
        </w:tc>
        <w:tc>
          <w:tcPr>
            <w:tcW w:w="1620" w:type="dxa"/>
            <w:tcBorders>
              <w:top w:val="single" w:sz="6" w:space="0" w:color="000000"/>
              <w:left w:val="single" w:sz="6" w:space="0" w:color="000000"/>
              <w:bottom w:val="single" w:sz="6" w:space="0" w:color="000000"/>
              <w:right w:val="single" w:sz="6" w:space="0" w:color="000000"/>
            </w:tcBorders>
            <w:vAlign w:val="center"/>
          </w:tcPr>
          <w:p w14:paraId="295A027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D1D641F"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B96F1B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8C5093A" w14:textId="77777777" w:rsidR="00E91AE1" w:rsidRPr="002E6B69" w:rsidRDefault="00E91AE1" w:rsidP="001D2CEB">
            <w:r w:rsidRPr="002E6B69">
              <w:rPr>
                <w:kern w:val="0"/>
              </w:rPr>
              <w:t>3.7</w:t>
            </w:r>
          </w:p>
        </w:tc>
      </w:tr>
      <w:tr w:rsidR="00E91AE1" w:rsidRPr="002E6B69" w14:paraId="4B903B1D"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068ADE9" w14:textId="77777777" w:rsidR="00E91AE1" w:rsidRPr="002E6B69" w:rsidRDefault="00E91AE1" w:rsidP="001D2CEB">
            <w:r w:rsidRPr="002E6B69">
              <w:rPr>
                <w:kern w:val="0"/>
              </w:rPr>
              <w:t>acrolein (107-02-8)</w:t>
            </w:r>
          </w:p>
        </w:tc>
        <w:tc>
          <w:tcPr>
            <w:tcW w:w="1620" w:type="dxa"/>
            <w:tcBorders>
              <w:top w:val="single" w:sz="6" w:space="0" w:color="000000"/>
              <w:left w:val="single" w:sz="6" w:space="0" w:color="000000"/>
              <w:bottom w:val="single" w:sz="6" w:space="0" w:color="000000"/>
              <w:right w:val="single" w:sz="6" w:space="0" w:color="000000"/>
            </w:tcBorders>
            <w:vAlign w:val="center"/>
          </w:tcPr>
          <w:p w14:paraId="0AE49CBD"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F5DB102"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85C9C54"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23E60D12" w14:textId="77777777" w:rsidR="00E91AE1" w:rsidRPr="002E6B69" w:rsidRDefault="00E91AE1" w:rsidP="001D2CEB">
            <w:r w:rsidRPr="002E6B69">
              <w:rPr>
                <w:kern w:val="0"/>
              </w:rPr>
              <w:t>0.08</w:t>
            </w:r>
          </w:p>
        </w:tc>
      </w:tr>
      <w:tr w:rsidR="00E91AE1" w:rsidRPr="002E6B69" w14:paraId="3E98894D"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7389DA0" w14:textId="77777777" w:rsidR="00E91AE1" w:rsidRPr="002E6B69" w:rsidRDefault="00E91AE1" w:rsidP="001D2CEB">
            <w:r w:rsidRPr="002E6B69">
              <w:rPr>
                <w:kern w:val="0"/>
              </w:rPr>
              <w:t>acrylonitrile (107-13-1)</w:t>
            </w:r>
          </w:p>
        </w:tc>
        <w:tc>
          <w:tcPr>
            <w:tcW w:w="1620" w:type="dxa"/>
            <w:tcBorders>
              <w:top w:val="single" w:sz="6" w:space="0" w:color="000000"/>
              <w:left w:val="single" w:sz="6" w:space="0" w:color="000000"/>
              <w:bottom w:val="single" w:sz="6" w:space="0" w:color="000000"/>
              <w:right w:val="single" w:sz="6" w:space="0" w:color="000000"/>
            </w:tcBorders>
            <w:vAlign w:val="center"/>
          </w:tcPr>
          <w:p w14:paraId="5203F80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D4E72B6" w14:textId="77777777" w:rsidR="00E91AE1" w:rsidRPr="002E6B69" w:rsidRDefault="00E91AE1" w:rsidP="001D2CEB">
            <w:r w:rsidRPr="002E6B69">
              <w:rPr>
                <w:kern w:val="0"/>
              </w:rPr>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4593B856" w14:textId="77777777" w:rsidR="00E91AE1" w:rsidRPr="002E6B69" w:rsidRDefault="00E91AE1" w:rsidP="001D2CEB">
            <w:pPr>
              <w:pStyle w:val="Base"/>
            </w:pPr>
            <w:r w:rsidRPr="002E6B69">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4F139DC6" w14:textId="77777777" w:rsidR="00E91AE1" w:rsidRPr="002E6B69" w:rsidRDefault="00E91AE1" w:rsidP="001D2CEB">
            <w:pPr>
              <w:pStyle w:val="Base"/>
            </w:pPr>
          </w:p>
        </w:tc>
      </w:tr>
      <w:tr w:rsidR="00E91AE1" w:rsidRPr="002E6B69" w14:paraId="4C273E4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CD816AD" w14:textId="77777777" w:rsidR="00E91AE1" w:rsidRPr="002E6B69" w:rsidRDefault="00E91AE1" w:rsidP="001D2CEB">
            <w:r w:rsidRPr="002E6B69">
              <w:rPr>
                <w:kern w:val="0"/>
              </w:rPr>
              <w:t>ammonia (7664-41-7)</w:t>
            </w:r>
          </w:p>
        </w:tc>
        <w:tc>
          <w:tcPr>
            <w:tcW w:w="1620" w:type="dxa"/>
            <w:tcBorders>
              <w:top w:val="single" w:sz="6" w:space="0" w:color="000000"/>
              <w:left w:val="single" w:sz="6" w:space="0" w:color="000000"/>
              <w:bottom w:val="single" w:sz="6" w:space="0" w:color="000000"/>
              <w:right w:val="single" w:sz="6" w:space="0" w:color="000000"/>
            </w:tcBorders>
            <w:vAlign w:val="center"/>
          </w:tcPr>
          <w:p w14:paraId="08EAE48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64E0EA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B94B69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32DB937" w14:textId="77777777" w:rsidR="00E91AE1" w:rsidRPr="002E6B69" w:rsidRDefault="00E91AE1" w:rsidP="001D2CEB">
            <w:r w:rsidRPr="002E6B69">
              <w:rPr>
                <w:kern w:val="0"/>
              </w:rPr>
              <w:t>2.7</w:t>
            </w:r>
          </w:p>
        </w:tc>
      </w:tr>
      <w:tr w:rsidR="00E91AE1" w:rsidRPr="002E6B69" w14:paraId="62015E9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88D3F0E" w14:textId="77777777" w:rsidR="00E91AE1" w:rsidRPr="002E6B69" w:rsidRDefault="00E91AE1" w:rsidP="001D2CEB">
            <w:r w:rsidRPr="002E6B69">
              <w:rPr>
                <w:kern w:val="0"/>
              </w:rPr>
              <w:t>aniline (62-53-3)</w:t>
            </w:r>
          </w:p>
        </w:tc>
        <w:tc>
          <w:tcPr>
            <w:tcW w:w="1620" w:type="dxa"/>
            <w:tcBorders>
              <w:top w:val="single" w:sz="6" w:space="0" w:color="000000"/>
              <w:left w:val="single" w:sz="6" w:space="0" w:color="000000"/>
              <w:bottom w:val="single" w:sz="6" w:space="0" w:color="000000"/>
              <w:right w:val="single" w:sz="6" w:space="0" w:color="000000"/>
            </w:tcBorders>
            <w:vAlign w:val="center"/>
          </w:tcPr>
          <w:p w14:paraId="7DB8A8F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037045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9AF4EB5" w14:textId="77777777" w:rsidR="00E91AE1" w:rsidRPr="002E6B69" w:rsidRDefault="00E91AE1" w:rsidP="001D2CEB">
            <w:pPr>
              <w:pStyle w:val="Base"/>
            </w:pPr>
            <w:r w:rsidRPr="002E6B69">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656B574F" w14:textId="77777777" w:rsidR="00E91AE1" w:rsidRPr="002E6B69" w:rsidRDefault="00E91AE1" w:rsidP="001D2CEB">
            <w:pPr>
              <w:pStyle w:val="Base"/>
            </w:pPr>
          </w:p>
        </w:tc>
      </w:tr>
      <w:tr w:rsidR="00E91AE1" w:rsidRPr="002E6B69" w14:paraId="209C2FF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995DDF4" w14:textId="77777777" w:rsidR="00E91AE1" w:rsidRPr="002E6B69" w:rsidRDefault="00E91AE1" w:rsidP="001D2CEB">
            <w:r w:rsidRPr="002E6B69">
              <w:rPr>
                <w:kern w:val="0"/>
              </w:rPr>
              <w:t>arsenic and inorganic arsenic</w:t>
            </w:r>
            <w:r>
              <w:rPr>
                <w:kern w:val="0"/>
              </w:rPr>
              <w:t xml:space="preserve"> </w:t>
            </w:r>
            <w:r w:rsidRPr="002E6B69">
              <w:rPr>
                <w:kern w:val="0"/>
              </w:rPr>
              <w:t>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3570CE74" w14:textId="77777777" w:rsidR="00E91AE1" w:rsidRPr="002E6B69" w:rsidRDefault="00E91AE1" w:rsidP="001D2CEB">
            <w:r w:rsidRPr="002E6B69">
              <w:rPr>
                <w:kern w:val="0"/>
              </w:rPr>
              <w:t>2.1 x 10</w:t>
            </w:r>
            <w:r w:rsidRPr="002E6B69">
              <w:rPr>
                <w:kern w:val="0"/>
                <w:vertAlign w:val="superscript"/>
              </w:rPr>
              <w:t xml:space="preserve">-6 </w:t>
            </w:r>
          </w:p>
        </w:tc>
        <w:tc>
          <w:tcPr>
            <w:tcW w:w="1305" w:type="dxa"/>
            <w:tcBorders>
              <w:top w:val="single" w:sz="6" w:space="0" w:color="000000"/>
              <w:left w:val="single" w:sz="6" w:space="0" w:color="000000"/>
              <w:bottom w:val="single" w:sz="6" w:space="0" w:color="000000"/>
              <w:right w:val="single" w:sz="6" w:space="0" w:color="000000"/>
            </w:tcBorders>
            <w:vAlign w:val="center"/>
          </w:tcPr>
          <w:p w14:paraId="43AD18C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29D301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34A9E00" w14:textId="77777777" w:rsidR="00E91AE1" w:rsidRPr="002E6B69" w:rsidRDefault="00E91AE1" w:rsidP="001D2CEB">
            <w:pPr>
              <w:pStyle w:val="Base"/>
            </w:pPr>
          </w:p>
        </w:tc>
      </w:tr>
      <w:tr w:rsidR="00E91AE1" w:rsidRPr="002E6B69" w14:paraId="6077EA80"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2E88832" w14:textId="77777777" w:rsidR="00E91AE1" w:rsidRPr="002E6B69" w:rsidRDefault="00E91AE1" w:rsidP="001D2CEB">
            <w:r w:rsidRPr="002E6B69">
              <w:rPr>
                <w:kern w:val="0"/>
              </w:rPr>
              <w:t>asbestos (1332-21-4)</w:t>
            </w:r>
          </w:p>
        </w:tc>
        <w:tc>
          <w:tcPr>
            <w:tcW w:w="1620" w:type="dxa"/>
            <w:tcBorders>
              <w:top w:val="single" w:sz="6" w:space="0" w:color="000000"/>
              <w:left w:val="single" w:sz="6" w:space="0" w:color="000000"/>
              <w:bottom w:val="single" w:sz="6" w:space="0" w:color="000000"/>
              <w:right w:val="single" w:sz="6" w:space="0" w:color="000000"/>
            </w:tcBorders>
            <w:vAlign w:val="center"/>
          </w:tcPr>
          <w:p w14:paraId="4DBDB6DC" w14:textId="77777777" w:rsidR="00E91AE1" w:rsidRPr="002E6B69" w:rsidRDefault="00E91AE1" w:rsidP="001D2CEB">
            <w:r w:rsidRPr="002E6B69">
              <w:rPr>
                <w:kern w:val="0"/>
              </w:rPr>
              <w:t>2.8 x 10</w:t>
            </w:r>
            <w:r w:rsidRPr="002E6B69">
              <w:rPr>
                <w:kern w:val="0"/>
                <w:vertAlign w:val="superscript"/>
              </w:rPr>
              <w:t>-6</w:t>
            </w:r>
            <w:r w:rsidRPr="002E6B69">
              <w:rPr>
                <w:kern w:val="0"/>
              </w:rPr>
              <w:t xml:space="preserve"> fibers/ml</w:t>
            </w:r>
          </w:p>
        </w:tc>
        <w:tc>
          <w:tcPr>
            <w:tcW w:w="1305" w:type="dxa"/>
            <w:tcBorders>
              <w:top w:val="single" w:sz="6" w:space="0" w:color="000000"/>
              <w:left w:val="single" w:sz="6" w:space="0" w:color="000000"/>
              <w:bottom w:val="single" w:sz="6" w:space="0" w:color="000000"/>
              <w:right w:val="single" w:sz="6" w:space="0" w:color="000000"/>
            </w:tcBorders>
            <w:vAlign w:val="center"/>
          </w:tcPr>
          <w:p w14:paraId="021D07D1"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EC1940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3578AE2" w14:textId="77777777" w:rsidR="00E91AE1" w:rsidRPr="002E6B69" w:rsidRDefault="00E91AE1" w:rsidP="001D2CEB">
            <w:pPr>
              <w:pStyle w:val="Base"/>
            </w:pPr>
          </w:p>
        </w:tc>
      </w:tr>
      <w:tr w:rsidR="00E91AE1" w:rsidRPr="002E6B69" w14:paraId="0652A35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36C07A4" w14:textId="77777777" w:rsidR="00E91AE1" w:rsidRPr="002E6B69" w:rsidRDefault="00E91AE1" w:rsidP="001D2CEB">
            <w:r w:rsidRPr="002E6B69">
              <w:rPr>
                <w:kern w:val="0"/>
              </w:rPr>
              <w:t>aziridine (151-56-4)</w:t>
            </w:r>
          </w:p>
        </w:tc>
        <w:tc>
          <w:tcPr>
            <w:tcW w:w="1620" w:type="dxa"/>
            <w:tcBorders>
              <w:top w:val="single" w:sz="6" w:space="0" w:color="000000"/>
              <w:left w:val="single" w:sz="6" w:space="0" w:color="000000"/>
              <w:bottom w:val="single" w:sz="6" w:space="0" w:color="000000"/>
              <w:right w:val="single" w:sz="6" w:space="0" w:color="000000"/>
            </w:tcBorders>
            <w:vAlign w:val="center"/>
          </w:tcPr>
          <w:p w14:paraId="126E01F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14D0245" w14:textId="77777777" w:rsidR="00E91AE1" w:rsidRPr="002E6B69" w:rsidRDefault="00E91AE1" w:rsidP="001D2CEB">
            <w:r w:rsidRPr="002E6B69">
              <w:rPr>
                <w:kern w:val="0"/>
              </w:rPr>
              <w:t>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225CDFB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60004B39" w14:textId="77777777" w:rsidR="00E91AE1" w:rsidRPr="002E6B69" w:rsidRDefault="00E91AE1" w:rsidP="001D2CEB">
            <w:pPr>
              <w:pStyle w:val="Base"/>
            </w:pPr>
          </w:p>
        </w:tc>
      </w:tr>
      <w:tr w:rsidR="00E91AE1" w:rsidRPr="002E6B69" w14:paraId="0544807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B5063EC" w14:textId="77777777" w:rsidR="00E91AE1" w:rsidRPr="002E6B69" w:rsidRDefault="00E91AE1" w:rsidP="001D2CEB">
            <w:r w:rsidRPr="002E6B69">
              <w:rPr>
                <w:kern w:val="0"/>
              </w:rPr>
              <w:t>benzene (71-43-2)</w:t>
            </w:r>
          </w:p>
        </w:tc>
        <w:tc>
          <w:tcPr>
            <w:tcW w:w="1620" w:type="dxa"/>
            <w:tcBorders>
              <w:top w:val="single" w:sz="6" w:space="0" w:color="000000"/>
              <w:left w:val="single" w:sz="6" w:space="0" w:color="000000"/>
              <w:bottom w:val="single" w:sz="6" w:space="0" w:color="000000"/>
              <w:right w:val="single" w:sz="6" w:space="0" w:color="000000"/>
            </w:tcBorders>
            <w:vAlign w:val="center"/>
          </w:tcPr>
          <w:p w14:paraId="46161420" w14:textId="77777777" w:rsidR="00E91AE1" w:rsidRPr="002E6B69" w:rsidRDefault="00E91AE1" w:rsidP="001D2CEB">
            <w:r w:rsidRPr="002E6B69">
              <w:rPr>
                <w:kern w:val="0"/>
              </w:rPr>
              <w:t>1.2 x 10</w:t>
            </w:r>
            <w:r w:rsidRPr="002E6B69">
              <w:rPr>
                <w:kern w:val="0"/>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580EDCB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D36A1E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3ED64E5" w14:textId="77777777" w:rsidR="00E91AE1" w:rsidRPr="002E6B69" w:rsidRDefault="00E91AE1" w:rsidP="001D2CEB">
            <w:pPr>
              <w:pStyle w:val="Base"/>
            </w:pPr>
          </w:p>
        </w:tc>
      </w:tr>
      <w:tr w:rsidR="00E91AE1" w:rsidRPr="002E6B69" w14:paraId="586C32F6"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000C51F" w14:textId="77777777" w:rsidR="00E91AE1" w:rsidRPr="002E6B69" w:rsidRDefault="00E91AE1" w:rsidP="001D2CEB">
            <w:r w:rsidRPr="002E6B69">
              <w:rPr>
                <w:kern w:val="0"/>
              </w:rPr>
              <w:t>benzidine and salts (92-87-5)</w:t>
            </w:r>
          </w:p>
        </w:tc>
        <w:tc>
          <w:tcPr>
            <w:tcW w:w="1620" w:type="dxa"/>
            <w:tcBorders>
              <w:top w:val="single" w:sz="6" w:space="0" w:color="000000"/>
              <w:left w:val="single" w:sz="6" w:space="0" w:color="000000"/>
              <w:bottom w:val="single" w:sz="6" w:space="0" w:color="000000"/>
              <w:right w:val="single" w:sz="6" w:space="0" w:color="000000"/>
            </w:tcBorders>
            <w:vAlign w:val="center"/>
          </w:tcPr>
          <w:p w14:paraId="28970E14" w14:textId="77777777" w:rsidR="00E91AE1" w:rsidRPr="002E6B69" w:rsidRDefault="00E91AE1" w:rsidP="001D2CEB">
            <w:r w:rsidRPr="002E6B69">
              <w:rPr>
                <w:kern w:val="0"/>
              </w:rPr>
              <w:t>1.5 x 10</w:t>
            </w:r>
            <w:r w:rsidRPr="002E6B69">
              <w:rPr>
                <w:kern w:val="0"/>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4603EA9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F4C383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A1666A2" w14:textId="77777777" w:rsidR="00E91AE1" w:rsidRPr="002E6B69" w:rsidRDefault="00E91AE1" w:rsidP="001D2CEB">
            <w:pPr>
              <w:pStyle w:val="Base"/>
            </w:pPr>
          </w:p>
        </w:tc>
      </w:tr>
      <w:tr w:rsidR="00E91AE1" w:rsidRPr="002E6B69" w14:paraId="582D9A39"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9EBE69A" w14:textId="77777777" w:rsidR="00E91AE1" w:rsidRPr="002E6B69" w:rsidRDefault="00E91AE1" w:rsidP="001D2CEB">
            <w:r w:rsidRPr="002E6B69">
              <w:rPr>
                <w:kern w:val="0"/>
              </w:rPr>
              <w:t>benzo(a)pyrene (50-32-8)</w:t>
            </w:r>
          </w:p>
        </w:tc>
        <w:tc>
          <w:tcPr>
            <w:tcW w:w="1620" w:type="dxa"/>
            <w:tcBorders>
              <w:top w:val="single" w:sz="6" w:space="0" w:color="000000"/>
              <w:left w:val="single" w:sz="6" w:space="0" w:color="000000"/>
              <w:bottom w:val="single" w:sz="6" w:space="0" w:color="000000"/>
              <w:right w:val="single" w:sz="6" w:space="0" w:color="000000"/>
            </w:tcBorders>
            <w:vAlign w:val="center"/>
          </w:tcPr>
          <w:p w14:paraId="79FA769C" w14:textId="77777777" w:rsidR="00E91AE1" w:rsidRPr="002E6B69" w:rsidRDefault="00E91AE1" w:rsidP="001D2CEB">
            <w:r w:rsidRPr="002E6B69">
              <w:rPr>
                <w:kern w:val="0"/>
              </w:rPr>
              <w:t>3.3 x 10</w:t>
            </w:r>
            <w:r w:rsidRPr="002E6B69">
              <w:rPr>
                <w:kern w:val="0"/>
                <w:vertAlign w:val="superscript"/>
              </w:rPr>
              <w:t>-5</w:t>
            </w:r>
          </w:p>
        </w:tc>
        <w:tc>
          <w:tcPr>
            <w:tcW w:w="1305" w:type="dxa"/>
            <w:tcBorders>
              <w:top w:val="single" w:sz="6" w:space="0" w:color="000000"/>
              <w:left w:val="single" w:sz="6" w:space="0" w:color="000000"/>
              <w:bottom w:val="single" w:sz="6" w:space="0" w:color="000000"/>
              <w:right w:val="single" w:sz="6" w:space="0" w:color="000000"/>
            </w:tcBorders>
            <w:vAlign w:val="center"/>
          </w:tcPr>
          <w:p w14:paraId="18A5489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7DF985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7E2F067" w14:textId="77777777" w:rsidR="00E91AE1" w:rsidRPr="002E6B69" w:rsidRDefault="00E91AE1" w:rsidP="001D2CEB">
            <w:pPr>
              <w:pStyle w:val="Base"/>
            </w:pPr>
          </w:p>
        </w:tc>
      </w:tr>
      <w:tr w:rsidR="00E91AE1" w:rsidRPr="002E6B69" w14:paraId="146A707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88271D1" w14:textId="77777777" w:rsidR="00E91AE1" w:rsidRPr="002E6B69" w:rsidRDefault="00E91AE1" w:rsidP="001D2CEB">
            <w:r w:rsidRPr="002E6B69">
              <w:rPr>
                <w:kern w:val="0"/>
              </w:rPr>
              <w:t>benzyl chloride (100-44-7)</w:t>
            </w:r>
          </w:p>
        </w:tc>
        <w:tc>
          <w:tcPr>
            <w:tcW w:w="1620" w:type="dxa"/>
            <w:tcBorders>
              <w:top w:val="single" w:sz="6" w:space="0" w:color="000000"/>
              <w:left w:val="single" w:sz="6" w:space="0" w:color="000000"/>
              <w:bottom w:val="single" w:sz="6" w:space="0" w:color="000000"/>
              <w:right w:val="single" w:sz="6" w:space="0" w:color="000000"/>
            </w:tcBorders>
            <w:vAlign w:val="center"/>
          </w:tcPr>
          <w:p w14:paraId="6F555B7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8A26CFF"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A3C5637" w14:textId="77777777" w:rsidR="00E91AE1" w:rsidRPr="002E6B69" w:rsidRDefault="00E91AE1" w:rsidP="001D2CEB">
            <w:r w:rsidRPr="002E6B69">
              <w:rPr>
                <w:kern w:val="0"/>
              </w:rPr>
              <w:t>0.5</w:t>
            </w:r>
          </w:p>
        </w:tc>
        <w:tc>
          <w:tcPr>
            <w:tcW w:w="1170" w:type="dxa"/>
            <w:tcBorders>
              <w:top w:val="single" w:sz="6" w:space="0" w:color="000000"/>
              <w:left w:val="single" w:sz="6" w:space="0" w:color="000000"/>
              <w:bottom w:val="single" w:sz="6" w:space="0" w:color="000000"/>
              <w:right w:val="single" w:sz="6" w:space="0" w:color="000000"/>
            </w:tcBorders>
            <w:vAlign w:val="center"/>
          </w:tcPr>
          <w:p w14:paraId="07C4652F" w14:textId="77777777" w:rsidR="00E91AE1" w:rsidRPr="002E6B69" w:rsidRDefault="00E91AE1" w:rsidP="001D2CEB">
            <w:pPr>
              <w:pStyle w:val="Base"/>
            </w:pPr>
          </w:p>
        </w:tc>
      </w:tr>
      <w:tr w:rsidR="00E91AE1" w:rsidRPr="002E6B69" w14:paraId="3A147ED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268C457" w14:textId="77777777" w:rsidR="00E91AE1" w:rsidRPr="002E6B69" w:rsidRDefault="00E91AE1" w:rsidP="001D2CEB">
            <w:r w:rsidRPr="002E6B69">
              <w:rPr>
                <w:kern w:val="0"/>
              </w:rPr>
              <w:t>beryllium (7440-41-7)</w:t>
            </w:r>
          </w:p>
        </w:tc>
        <w:tc>
          <w:tcPr>
            <w:tcW w:w="1620" w:type="dxa"/>
            <w:tcBorders>
              <w:top w:val="single" w:sz="6" w:space="0" w:color="000000"/>
              <w:left w:val="single" w:sz="6" w:space="0" w:color="000000"/>
              <w:bottom w:val="single" w:sz="6" w:space="0" w:color="000000"/>
              <w:right w:val="single" w:sz="6" w:space="0" w:color="000000"/>
            </w:tcBorders>
            <w:vAlign w:val="center"/>
          </w:tcPr>
          <w:p w14:paraId="18413246" w14:textId="77777777" w:rsidR="00E91AE1" w:rsidRPr="002E6B69" w:rsidRDefault="00E91AE1" w:rsidP="001D2CEB">
            <w:r w:rsidRPr="002E6B69">
              <w:rPr>
                <w:kern w:val="0"/>
              </w:rPr>
              <w:t>4.1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183253C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DC5343D"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171E96A" w14:textId="77777777" w:rsidR="00E91AE1" w:rsidRPr="002E6B69" w:rsidRDefault="00E91AE1" w:rsidP="001D2CEB">
            <w:pPr>
              <w:pStyle w:val="Base"/>
            </w:pPr>
          </w:p>
        </w:tc>
      </w:tr>
      <w:tr w:rsidR="00E91AE1" w:rsidRPr="002E6B69" w14:paraId="1C7BD9B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F53F220" w14:textId="77777777" w:rsidR="00E91AE1" w:rsidRPr="002E6B69" w:rsidRDefault="00E91AE1" w:rsidP="001D2CEB">
            <w:r w:rsidRPr="002E6B69">
              <w:rPr>
                <w:kern w:val="0"/>
              </w:rPr>
              <w:t>beryllium chloride</w:t>
            </w:r>
            <w:r>
              <w:rPr>
                <w:kern w:val="0"/>
              </w:rPr>
              <w:t xml:space="preserve"> </w:t>
            </w:r>
            <w:r w:rsidRPr="002E6B69">
              <w:rPr>
                <w:kern w:val="0"/>
              </w:rPr>
              <w:t>(7787-47-5)</w:t>
            </w:r>
          </w:p>
        </w:tc>
        <w:tc>
          <w:tcPr>
            <w:tcW w:w="1620" w:type="dxa"/>
            <w:tcBorders>
              <w:top w:val="single" w:sz="6" w:space="0" w:color="000000"/>
              <w:left w:val="single" w:sz="6" w:space="0" w:color="000000"/>
              <w:bottom w:val="single" w:sz="6" w:space="0" w:color="000000"/>
              <w:right w:val="single" w:sz="6" w:space="0" w:color="000000"/>
            </w:tcBorders>
            <w:vAlign w:val="center"/>
          </w:tcPr>
          <w:p w14:paraId="127C898C" w14:textId="77777777" w:rsidR="00E91AE1" w:rsidRPr="002E6B69" w:rsidRDefault="00E91AE1" w:rsidP="001D2CEB">
            <w:r w:rsidRPr="002E6B69">
              <w:rPr>
                <w:kern w:val="0"/>
              </w:rPr>
              <w:t>4.1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4EB5841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49A5EF2"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13940E8" w14:textId="77777777" w:rsidR="00E91AE1" w:rsidRPr="002E6B69" w:rsidRDefault="00E91AE1" w:rsidP="001D2CEB">
            <w:pPr>
              <w:pStyle w:val="Base"/>
            </w:pPr>
          </w:p>
        </w:tc>
      </w:tr>
      <w:tr w:rsidR="00E91AE1" w:rsidRPr="002E6B69" w14:paraId="54B7A03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65B8490" w14:textId="77777777" w:rsidR="00E91AE1" w:rsidRPr="002E6B69" w:rsidRDefault="00E91AE1" w:rsidP="001D2CEB">
            <w:r w:rsidRPr="002E6B69">
              <w:rPr>
                <w:kern w:val="0"/>
              </w:rPr>
              <w:t>beryllium fluoride</w:t>
            </w:r>
            <w:r>
              <w:rPr>
                <w:kern w:val="0"/>
              </w:rPr>
              <w:t xml:space="preserve"> </w:t>
            </w:r>
            <w:r w:rsidRPr="002E6B69">
              <w:rPr>
                <w:kern w:val="0"/>
              </w:rPr>
              <w:t>(7787-49-7)</w:t>
            </w:r>
          </w:p>
        </w:tc>
        <w:tc>
          <w:tcPr>
            <w:tcW w:w="1620" w:type="dxa"/>
            <w:tcBorders>
              <w:top w:val="single" w:sz="6" w:space="0" w:color="000000"/>
              <w:left w:val="single" w:sz="6" w:space="0" w:color="000000"/>
              <w:bottom w:val="single" w:sz="6" w:space="0" w:color="000000"/>
              <w:right w:val="single" w:sz="6" w:space="0" w:color="000000"/>
            </w:tcBorders>
            <w:vAlign w:val="center"/>
          </w:tcPr>
          <w:p w14:paraId="0FF96EAB" w14:textId="77777777" w:rsidR="00E91AE1" w:rsidRPr="002E6B69" w:rsidRDefault="00E91AE1" w:rsidP="001D2CEB">
            <w:r w:rsidRPr="002E6B69">
              <w:rPr>
                <w:kern w:val="0"/>
              </w:rPr>
              <w:t>4.1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6F174E3D"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C217C3C"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BA7F039" w14:textId="77777777" w:rsidR="00E91AE1" w:rsidRPr="002E6B69" w:rsidRDefault="00E91AE1" w:rsidP="001D2CEB">
            <w:pPr>
              <w:pStyle w:val="Base"/>
            </w:pPr>
          </w:p>
        </w:tc>
      </w:tr>
      <w:tr w:rsidR="00E91AE1" w:rsidRPr="002E6B69" w14:paraId="57D641E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38AFC5C" w14:textId="77777777" w:rsidR="00E91AE1" w:rsidRPr="002E6B69" w:rsidRDefault="00E91AE1" w:rsidP="001D2CEB">
            <w:r w:rsidRPr="002E6B69">
              <w:rPr>
                <w:kern w:val="0"/>
              </w:rPr>
              <w:t>beryllium nitrate</w:t>
            </w:r>
            <w:r>
              <w:rPr>
                <w:kern w:val="0"/>
              </w:rPr>
              <w:t xml:space="preserve"> </w:t>
            </w:r>
            <w:r w:rsidRPr="002E6B69">
              <w:rPr>
                <w:kern w:val="0"/>
              </w:rPr>
              <w:t>(13597-99-4)</w:t>
            </w:r>
          </w:p>
        </w:tc>
        <w:tc>
          <w:tcPr>
            <w:tcW w:w="1620" w:type="dxa"/>
            <w:tcBorders>
              <w:top w:val="single" w:sz="6" w:space="0" w:color="000000"/>
              <w:left w:val="single" w:sz="6" w:space="0" w:color="000000"/>
              <w:bottom w:val="single" w:sz="6" w:space="0" w:color="000000"/>
              <w:right w:val="single" w:sz="6" w:space="0" w:color="000000"/>
            </w:tcBorders>
            <w:vAlign w:val="center"/>
          </w:tcPr>
          <w:p w14:paraId="260011BE" w14:textId="77777777" w:rsidR="00E91AE1" w:rsidRPr="002E6B69" w:rsidRDefault="00E91AE1" w:rsidP="001D2CEB">
            <w:r w:rsidRPr="002E6B69">
              <w:rPr>
                <w:kern w:val="0"/>
              </w:rPr>
              <w:t>4.1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6BB561F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87C268F"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DE01018" w14:textId="77777777" w:rsidR="00E91AE1" w:rsidRPr="002E6B69" w:rsidRDefault="00E91AE1" w:rsidP="001D2CEB">
            <w:pPr>
              <w:pStyle w:val="Base"/>
            </w:pPr>
          </w:p>
        </w:tc>
      </w:tr>
      <w:tr w:rsidR="00E91AE1" w:rsidRPr="002E6B69" w14:paraId="0A63F6D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1AA5AC9" w14:textId="77777777" w:rsidR="00E91AE1" w:rsidRPr="002E6B69" w:rsidRDefault="00E91AE1" w:rsidP="001D2CEB">
            <w:r w:rsidRPr="002E6B69">
              <w:rPr>
                <w:kern w:val="0"/>
              </w:rPr>
              <w:t>bioavailable chromate pigments, as chromium (VI) equivalent</w:t>
            </w:r>
          </w:p>
        </w:tc>
        <w:tc>
          <w:tcPr>
            <w:tcW w:w="1620" w:type="dxa"/>
            <w:tcBorders>
              <w:top w:val="single" w:sz="6" w:space="0" w:color="000000"/>
              <w:left w:val="single" w:sz="6" w:space="0" w:color="000000"/>
              <w:bottom w:val="single" w:sz="6" w:space="0" w:color="000000"/>
              <w:right w:val="single" w:sz="6" w:space="0" w:color="000000"/>
            </w:tcBorders>
            <w:vAlign w:val="center"/>
          </w:tcPr>
          <w:p w14:paraId="0F69A923" w14:textId="77777777" w:rsidR="00E91AE1" w:rsidRPr="002E6B69" w:rsidRDefault="00E91AE1" w:rsidP="001D2CEB">
            <w:r w:rsidRPr="002E6B69">
              <w:rPr>
                <w:kern w:val="0"/>
              </w:rPr>
              <w:t>8.3 x 10</w:t>
            </w:r>
            <w:r w:rsidRPr="002E6B69">
              <w:rPr>
                <w:kern w:val="0"/>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638A6E91"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0C09C1F"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8323D3D" w14:textId="77777777" w:rsidR="00E91AE1" w:rsidRPr="002E6B69" w:rsidRDefault="00E91AE1" w:rsidP="001D2CEB">
            <w:pPr>
              <w:pStyle w:val="Base"/>
            </w:pPr>
          </w:p>
        </w:tc>
      </w:tr>
      <w:tr w:rsidR="00E91AE1" w:rsidRPr="002E6B69" w14:paraId="2D2C33EE"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800AFD4" w14:textId="77777777" w:rsidR="00E91AE1" w:rsidRPr="002E6B69" w:rsidRDefault="00E91AE1" w:rsidP="001D2CEB">
            <w:r w:rsidRPr="002E6B69">
              <w:rPr>
                <w:kern w:val="0"/>
              </w:rPr>
              <w:t>bis-chloromethyl ether (542-88-1)</w:t>
            </w:r>
          </w:p>
        </w:tc>
        <w:tc>
          <w:tcPr>
            <w:tcW w:w="1620" w:type="dxa"/>
            <w:tcBorders>
              <w:top w:val="single" w:sz="6" w:space="0" w:color="000000"/>
              <w:left w:val="single" w:sz="6" w:space="0" w:color="000000"/>
              <w:bottom w:val="single" w:sz="6" w:space="0" w:color="000000"/>
              <w:right w:val="single" w:sz="6" w:space="0" w:color="000000"/>
            </w:tcBorders>
            <w:vAlign w:val="center"/>
          </w:tcPr>
          <w:p w14:paraId="0D66342E" w14:textId="77777777" w:rsidR="00E91AE1" w:rsidRPr="002E6B69" w:rsidRDefault="00E91AE1" w:rsidP="001D2CEB">
            <w:r w:rsidRPr="002E6B69">
              <w:rPr>
                <w:kern w:val="0"/>
              </w:rPr>
              <w:t>3.7 x 10</w:t>
            </w:r>
            <w:r w:rsidRPr="002E6B69">
              <w:rPr>
                <w:kern w:val="0"/>
                <w:vertAlign w:val="superscript"/>
              </w:rPr>
              <w:t>-7</w:t>
            </w:r>
          </w:p>
        </w:tc>
        <w:tc>
          <w:tcPr>
            <w:tcW w:w="1305" w:type="dxa"/>
            <w:tcBorders>
              <w:top w:val="single" w:sz="6" w:space="0" w:color="000000"/>
              <w:left w:val="single" w:sz="6" w:space="0" w:color="000000"/>
              <w:bottom w:val="single" w:sz="6" w:space="0" w:color="000000"/>
              <w:right w:val="single" w:sz="6" w:space="0" w:color="000000"/>
            </w:tcBorders>
            <w:vAlign w:val="center"/>
          </w:tcPr>
          <w:p w14:paraId="24EC8C3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1CC337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1DE032A" w14:textId="77777777" w:rsidR="00E91AE1" w:rsidRPr="002E6B69" w:rsidRDefault="00E91AE1" w:rsidP="001D2CEB">
            <w:pPr>
              <w:pStyle w:val="Base"/>
            </w:pPr>
          </w:p>
        </w:tc>
      </w:tr>
      <w:tr w:rsidR="00E91AE1" w:rsidRPr="002E6B69" w14:paraId="432065D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3D10ADA" w14:textId="77777777" w:rsidR="00E91AE1" w:rsidRPr="002E6B69" w:rsidRDefault="00E91AE1" w:rsidP="001D2CEB">
            <w:r w:rsidRPr="002E6B69">
              <w:rPr>
                <w:kern w:val="0"/>
              </w:rPr>
              <w:t>bromine (7726-95-6)</w:t>
            </w:r>
          </w:p>
        </w:tc>
        <w:tc>
          <w:tcPr>
            <w:tcW w:w="1620" w:type="dxa"/>
            <w:tcBorders>
              <w:top w:val="single" w:sz="6" w:space="0" w:color="000000"/>
              <w:left w:val="single" w:sz="6" w:space="0" w:color="000000"/>
              <w:bottom w:val="single" w:sz="6" w:space="0" w:color="000000"/>
              <w:right w:val="single" w:sz="6" w:space="0" w:color="000000"/>
            </w:tcBorders>
            <w:vAlign w:val="center"/>
          </w:tcPr>
          <w:p w14:paraId="559A1B6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41AC9FD"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2C3BAE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9E5775A" w14:textId="77777777" w:rsidR="00E91AE1" w:rsidRPr="002E6B69" w:rsidRDefault="00E91AE1" w:rsidP="001D2CEB">
            <w:r w:rsidRPr="002E6B69">
              <w:rPr>
                <w:kern w:val="0"/>
              </w:rPr>
              <w:t>0.2</w:t>
            </w:r>
          </w:p>
        </w:tc>
      </w:tr>
      <w:tr w:rsidR="00E91AE1" w:rsidRPr="002E6B69" w14:paraId="2C2BF49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CF031D6" w14:textId="77777777" w:rsidR="00E91AE1" w:rsidRPr="002E6B69" w:rsidRDefault="00E91AE1" w:rsidP="001D2CEB">
            <w:r w:rsidRPr="002E6B69">
              <w:rPr>
                <w:kern w:val="0"/>
              </w:rPr>
              <w:t>1,3-butadiene (106-99-0)</w:t>
            </w:r>
          </w:p>
        </w:tc>
        <w:tc>
          <w:tcPr>
            <w:tcW w:w="1620" w:type="dxa"/>
            <w:tcBorders>
              <w:top w:val="single" w:sz="6" w:space="0" w:color="000000"/>
              <w:left w:val="single" w:sz="6" w:space="0" w:color="000000"/>
              <w:bottom w:val="single" w:sz="6" w:space="0" w:color="000000"/>
              <w:right w:val="single" w:sz="6" w:space="0" w:color="000000"/>
            </w:tcBorders>
            <w:vAlign w:val="center"/>
          </w:tcPr>
          <w:p w14:paraId="35B4D02F" w14:textId="77777777" w:rsidR="00E91AE1" w:rsidRPr="002E6B69" w:rsidRDefault="00E91AE1" w:rsidP="001D2CEB">
            <w:r w:rsidRPr="002E6B69">
              <w:rPr>
                <w:kern w:val="0"/>
              </w:rPr>
              <w:t>4.4 x 10</w:t>
            </w:r>
            <w:r w:rsidRPr="002E6B69">
              <w:rPr>
                <w:kern w:val="0"/>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74A3750F"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DCEC66C"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09EEE62" w14:textId="77777777" w:rsidR="00E91AE1" w:rsidRPr="002E6B69" w:rsidRDefault="00E91AE1" w:rsidP="001D2CEB">
            <w:pPr>
              <w:pStyle w:val="Base"/>
            </w:pPr>
          </w:p>
        </w:tc>
      </w:tr>
      <w:tr w:rsidR="00E91AE1" w:rsidRPr="002E6B69" w14:paraId="469EF3E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D52967A" w14:textId="77777777" w:rsidR="00E91AE1" w:rsidRPr="002E6B69" w:rsidRDefault="00E91AE1" w:rsidP="001D2CEB">
            <w:r w:rsidRPr="002E6B69">
              <w:rPr>
                <w:kern w:val="0"/>
              </w:rPr>
              <w:t>cadmium (7440-43-9)</w:t>
            </w:r>
          </w:p>
        </w:tc>
        <w:tc>
          <w:tcPr>
            <w:tcW w:w="1620" w:type="dxa"/>
            <w:tcBorders>
              <w:top w:val="single" w:sz="6" w:space="0" w:color="000000"/>
              <w:left w:val="single" w:sz="6" w:space="0" w:color="000000"/>
              <w:bottom w:val="single" w:sz="6" w:space="0" w:color="000000"/>
              <w:right w:val="single" w:sz="6" w:space="0" w:color="000000"/>
            </w:tcBorders>
            <w:vAlign w:val="center"/>
          </w:tcPr>
          <w:p w14:paraId="54638F73" w14:textId="77777777" w:rsidR="00E91AE1" w:rsidRPr="002E6B69" w:rsidRDefault="00E91AE1" w:rsidP="001D2CEB">
            <w:r w:rsidRPr="002E6B69">
              <w:rPr>
                <w:kern w:val="0"/>
              </w:rPr>
              <w:t>5.5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0A83136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18C5472"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F90872F" w14:textId="77777777" w:rsidR="00E91AE1" w:rsidRPr="002E6B69" w:rsidRDefault="00E91AE1" w:rsidP="001D2CEB">
            <w:pPr>
              <w:pStyle w:val="Base"/>
            </w:pPr>
          </w:p>
        </w:tc>
      </w:tr>
      <w:tr w:rsidR="00E91AE1" w:rsidRPr="002E6B69" w14:paraId="4C245E5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AFF0ED3" w14:textId="77777777" w:rsidR="00E91AE1" w:rsidRPr="002E6B69" w:rsidRDefault="00E91AE1" w:rsidP="001D2CEB">
            <w:r w:rsidRPr="002E6B69">
              <w:rPr>
                <w:kern w:val="0"/>
              </w:rPr>
              <w:t>cadmium acetate</w:t>
            </w:r>
            <w:r>
              <w:rPr>
                <w:kern w:val="0"/>
              </w:rPr>
              <w:t xml:space="preserve"> </w:t>
            </w:r>
            <w:r w:rsidRPr="002E6B69">
              <w:rPr>
                <w:kern w:val="0"/>
              </w:rPr>
              <w:t>(543-90-8)</w:t>
            </w:r>
          </w:p>
        </w:tc>
        <w:tc>
          <w:tcPr>
            <w:tcW w:w="1620" w:type="dxa"/>
            <w:tcBorders>
              <w:top w:val="single" w:sz="6" w:space="0" w:color="000000"/>
              <w:left w:val="single" w:sz="6" w:space="0" w:color="000000"/>
              <w:bottom w:val="single" w:sz="6" w:space="0" w:color="000000"/>
              <w:right w:val="single" w:sz="6" w:space="0" w:color="000000"/>
            </w:tcBorders>
            <w:vAlign w:val="center"/>
          </w:tcPr>
          <w:p w14:paraId="05E899CF" w14:textId="77777777" w:rsidR="00E91AE1" w:rsidRPr="002E6B69" w:rsidRDefault="00E91AE1" w:rsidP="001D2CEB">
            <w:r w:rsidRPr="002E6B69">
              <w:rPr>
                <w:kern w:val="0"/>
              </w:rPr>
              <w:t>5.5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476155E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C29E94A"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6EE7C2AD" w14:textId="77777777" w:rsidR="00E91AE1" w:rsidRPr="002E6B69" w:rsidRDefault="00E91AE1" w:rsidP="001D2CEB">
            <w:pPr>
              <w:pStyle w:val="Base"/>
            </w:pPr>
          </w:p>
        </w:tc>
      </w:tr>
      <w:tr w:rsidR="00E91AE1" w:rsidRPr="002E6B69" w14:paraId="17DBD98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A44BE79" w14:textId="77777777" w:rsidR="00E91AE1" w:rsidRPr="002E6B69" w:rsidRDefault="00E91AE1" w:rsidP="001D2CEB">
            <w:r w:rsidRPr="002E6B69">
              <w:rPr>
                <w:kern w:val="0"/>
              </w:rPr>
              <w:t>cadmium bromide</w:t>
            </w:r>
            <w:r>
              <w:rPr>
                <w:kern w:val="0"/>
              </w:rPr>
              <w:t xml:space="preserve"> </w:t>
            </w:r>
            <w:r w:rsidRPr="002E6B69">
              <w:rPr>
                <w:kern w:val="0"/>
              </w:rPr>
              <w:t>(7789-42-6)</w:t>
            </w:r>
          </w:p>
        </w:tc>
        <w:tc>
          <w:tcPr>
            <w:tcW w:w="1620" w:type="dxa"/>
            <w:tcBorders>
              <w:top w:val="single" w:sz="6" w:space="0" w:color="000000"/>
              <w:left w:val="single" w:sz="6" w:space="0" w:color="000000"/>
              <w:bottom w:val="single" w:sz="6" w:space="0" w:color="000000"/>
              <w:right w:val="single" w:sz="6" w:space="0" w:color="000000"/>
            </w:tcBorders>
            <w:vAlign w:val="center"/>
          </w:tcPr>
          <w:p w14:paraId="2A4BF3A3" w14:textId="77777777" w:rsidR="00E91AE1" w:rsidRPr="002E6B69" w:rsidRDefault="00E91AE1" w:rsidP="001D2CEB">
            <w:r w:rsidRPr="002E6B69">
              <w:rPr>
                <w:kern w:val="0"/>
              </w:rPr>
              <w:t>5.5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3ECE793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20D64B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26DD6E43" w14:textId="77777777" w:rsidR="00E91AE1" w:rsidRPr="002E6B69" w:rsidRDefault="00E91AE1" w:rsidP="001D2CEB">
            <w:pPr>
              <w:pStyle w:val="Base"/>
            </w:pPr>
          </w:p>
        </w:tc>
      </w:tr>
      <w:tr w:rsidR="00E91AE1" w:rsidRPr="002E6B69" w14:paraId="4FC1B517"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834098B" w14:textId="77777777" w:rsidR="00E91AE1" w:rsidRPr="002E6B69" w:rsidRDefault="00E91AE1" w:rsidP="001D2CEB">
            <w:r w:rsidRPr="002E6B69">
              <w:rPr>
                <w:kern w:val="0"/>
              </w:rPr>
              <w:t>carbon disulfide (75-15-0)</w:t>
            </w:r>
          </w:p>
        </w:tc>
        <w:tc>
          <w:tcPr>
            <w:tcW w:w="1620" w:type="dxa"/>
            <w:tcBorders>
              <w:top w:val="single" w:sz="6" w:space="0" w:color="000000"/>
              <w:left w:val="single" w:sz="6" w:space="0" w:color="000000"/>
              <w:bottom w:val="single" w:sz="6" w:space="0" w:color="000000"/>
              <w:right w:val="single" w:sz="6" w:space="0" w:color="000000"/>
            </w:tcBorders>
            <w:vAlign w:val="center"/>
          </w:tcPr>
          <w:p w14:paraId="2F5F17F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E279CAC" w14:textId="77777777" w:rsidR="00E91AE1" w:rsidRPr="002E6B69" w:rsidRDefault="00E91AE1" w:rsidP="001D2CEB">
            <w:r w:rsidRPr="002E6B69">
              <w:rPr>
                <w:kern w:val="0"/>
              </w:rPr>
              <w:t>0.186</w:t>
            </w:r>
          </w:p>
        </w:tc>
        <w:tc>
          <w:tcPr>
            <w:tcW w:w="1305" w:type="dxa"/>
            <w:tcBorders>
              <w:top w:val="single" w:sz="6" w:space="0" w:color="000000"/>
              <w:left w:val="single" w:sz="6" w:space="0" w:color="000000"/>
              <w:bottom w:val="single" w:sz="6" w:space="0" w:color="000000"/>
              <w:right w:val="single" w:sz="6" w:space="0" w:color="000000"/>
            </w:tcBorders>
            <w:vAlign w:val="center"/>
          </w:tcPr>
          <w:p w14:paraId="00B25DF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5CA5F95" w14:textId="77777777" w:rsidR="00E91AE1" w:rsidRPr="002E6B69" w:rsidRDefault="00E91AE1" w:rsidP="001D2CEB">
            <w:pPr>
              <w:pStyle w:val="Base"/>
            </w:pPr>
          </w:p>
        </w:tc>
      </w:tr>
      <w:tr w:rsidR="00E91AE1" w:rsidRPr="002E6B69" w14:paraId="1CF215C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54D101E" w14:textId="77777777" w:rsidR="00E91AE1" w:rsidRPr="002E6B69" w:rsidRDefault="00E91AE1" w:rsidP="001D2CEB">
            <w:r w:rsidRPr="002E6B69">
              <w:rPr>
                <w:kern w:val="0"/>
              </w:rPr>
              <w:t>carbon tetrachloride (56-23-5)</w:t>
            </w:r>
          </w:p>
        </w:tc>
        <w:tc>
          <w:tcPr>
            <w:tcW w:w="1620" w:type="dxa"/>
            <w:tcBorders>
              <w:top w:val="single" w:sz="6" w:space="0" w:color="000000"/>
              <w:left w:val="single" w:sz="6" w:space="0" w:color="000000"/>
              <w:bottom w:val="single" w:sz="6" w:space="0" w:color="000000"/>
              <w:right w:val="single" w:sz="6" w:space="0" w:color="000000"/>
            </w:tcBorders>
            <w:vAlign w:val="center"/>
          </w:tcPr>
          <w:p w14:paraId="087023CC" w14:textId="77777777" w:rsidR="00E91AE1" w:rsidRPr="002E6B69" w:rsidRDefault="00E91AE1" w:rsidP="001D2CEB">
            <w:r w:rsidRPr="002E6B69">
              <w:rPr>
                <w:kern w:val="0"/>
              </w:rPr>
              <w:t>6.7 x 10</w:t>
            </w:r>
            <w:r w:rsidRPr="002E6B69">
              <w:rPr>
                <w:kern w:val="0"/>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5119F4D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BD3C57B"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64C01E9" w14:textId="77777777" w:rsidR="00E91AE1" w:rsidRPr="002E6B69" w:rsidRDefault="00E91AE1" w:rsidP="001D2CEB">
            <w:pPr>
              <w:pStyle w:val="Base"/>
            </w:pPr>
          </w:p>
        </w:tc>
      </w:tr>
      <w:tr w:rsidR="00E91AE1" w:rsidRPr="002E6B69" w14:paraId="6F76D52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E3AF7E6" w14:textId="77777777" w:rsidR="00E91AE1" w:rsidRPr="002E6B69" w:rsidRDefault="00E91AE1" w:rsidP="001D2CEB">
            <w:r w:rsidRPr="002E6B69">
              <w:rPr>
                <w:kern w:val="0"/>
              </w:rPr>
              <w:t>chlorine (7782-50-5)</w:t>
            </w:r>
          </w:p>
        </w:tc>
        <w:tc>
          <w:tcPr>
            <w:tcW w:w="1620" w:type="dxa"/>
            <w:tcBorders>
              <w:top w:val="single" w:sz="6" w:space="0" w:color="000000"/>
              <w:left w:val="single" w:sz="6" w:space="0" w:color="000000"/>
              <w:bottom w:val="single" w:sz="6" w:space="0" w:color="000000"/>
              <w:right w:val="single" w:sz="6" w:space="0" w:color="000000"/>
            </w:tcBorders>
            <w:vAlign w:val="center"/>
          </w:tcPr>
          <w:p w14:paraId="0744DC4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7C3E363" w14:textId="77777777" w:rsidR="00E91AE1" w:rsidRPr="002E6B69" w:rsidRDefault="00E91AE1" w:rsidP="001D2CEB">
            <w:r w:rsidRPr="002E6B69">
              <w:rPr>
                <w:kern w:val="0"/>
              </w:rPr>
              <w:t>0.0375</w:t>
            </w:r>
          </w:p>
        </w:tc>
        <w:tc>
          <w:tcPr>
            <w:tcW w:w="1305" w:type="dxa"/>
            <w:tcBorders>
              <w:top w:val="single" w:sz="6" w:space="0" w:color="000000"/>
              <w:left w:val="single" w:sz="6" w:space="0" w:color="000000"/>
              <w:bottom w:val="single" w:sz="6" w:space="0" w:color="000000"/>
              <w:right w:val="single" w:sz="6" w:space="0" w:color="000000"/>
            </w:tcBorders>
            <w:vAlign w:val="center"/>
          </w:tcPr>
          <w:p w14:paraId="30F74B5F"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A133F79" w14:textId="77777777" w:rsidR="00E91AE1" w:rsidRPr="002E6B69" w:rsidRDefault="00E91AE1" w:rsidP="001D2CEB">
            <w:r w:rsidRPr="002E6B69">
              <w:rPr>
                <w:kern w:val="0"/>
              </w:rPr>
              <w:t>0.9</w:t>
            </w:r>
          </w:p>
        </w:tc>
      </w:tr>
      <w:tr w:rsidR="00E91AE1" w:rsidRPr="002E6B69" w14:paraId="749C8D9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CDB3A77" w14:textId="77777777" w:rsidR="00E91AE1" w:rsidRPr="002E6B69" w:rsidRDefault="00E91AE1" w:rsidP="001D2CEB">
            <w:r w:rsidRPr="002E6B69">
              <w:rPr>
                <w:kern w:val="0"/>
              </w:rPr>
              <w:t>chlorobenzene (108-90-7)</w:t>
            </w:r>
          </w:p>
        </w:tc>
        <w:tc>
          <w:tcPr>
            <w:tcW w:w="1620" w:type="dxa"/>
            <w:tcBorders>
              <w:top w:val="single" w:sz="6" w:space="0" w:color="000000"/>
              <w:left w:val="single" w:sz="6" w:space="0" w:color="000000"/>
              <w:bottom w:val="single" w:sz="6" w:space="0" w:color="000000"/>
              <w:right w:val="single" w:sz="6" w:space="0" w:color="000000"/>
            </w:tcBorders>
            <w:vAlign w:val="center"/>
          </w:tcPr>
          <w:p w14:paraId="415EBB3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A416B4C" w14:textId="77777777" w:rsidR="00E91AE1" w:rsidRPr="002E6B69" w:rsidRDefault="00E91AE1" w:rsidP="001D2CEB">
            <w:r w:rsidRPr="002E6B69">
              <w:rPr>
                <w:kern w:val="0"/>
              </w:rPr>
              <w:t>2.2</w:t>
            </w:r>
          </w:p>
        </w:tc>
        <w:tc>
          <w:tcPr>
            <w:tcW w:w="1305" w:type="dxa"/>
            <w:tcBorders>
              <w:top w:val="single" w:sz="6" w:space="0" w:color="000000"/>
              <w:left w:val="single" w:sz="6" w:space="0" w:color="000000"/>
              <w:bottom w:val="single" w:sz="6" w:space="0" w:color="000000"/>
              <w:right w:val="single" w:sz="6" w:space="0" w:color="000000"/>
            </w:tcBorders>
            <w:vAlign w:val="center"/>
          </w:tcPr>
          <w:p w14:paraId="6ABE2A88"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C72A123" w14:textId="77777777" w:rsidR="00E91AE1" w:rsidRPr="002E6B69" w:rsidRDefault="00E91AE1" w:rsidP="001D2CEB">
            <w:pPr>
              <w:pStyle w:val="Base"/>
            </w:pPr>
          </w:p>
        </w:tc>
      </w:tr>
      <w:tr w:rsidR="00E91AE1" w:rsidRPr="002E6B69" w14:paraId="2CCF7E3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4F187F8" w14:textId="77777777" w:rsidR="00E91AE1" w:rsidRPr="002E6B69" w:rsidRDefault="00E91AE1" w:rsidP="001D2CEB">
            <w:r w:rsidRPr="002E6B69">
              <w:rPr>
                <w:kern w:val="0"/>
              </w:rPr>
              <w:t>chloroform (67-66-3)</w:t>
            </w:r>
          </w:p>
        </w:tc>
        <w:tc>
          <w:tcPr>
            <w:tcW w:w="1620" w:type="dxa"/>
            <w:tcBorders>
              <w:top w:val="single" w:sz="6" w:space="0" w:color="000000"/>
              <w:left w:val="single" w:sz="6" w:space="0" w:color="000000"/>
              <w:bottom w:val="single" w:sz="6" w:space="0" w:color="000000"/>
              <w:right w:val="single" w:sz="6" w:space="0" w:color="000000"/>
            </w:tcBorders>
            <w:vAlign w:val="center"/>
          </w:tcPr>
          <w:p w14:paraId="30F9F6F5" w14:textId="77777777" w:rsidR="00E91AE1" w:rsidRPr="002E6B69" w:rsidRDefault="00E91AE1" w:rsidP="001D2CEB">
            <w:r w:rsidRPr="002E6B69">
              <w:rPr>
                <w:kern w:val="0"/>
              </w:rPr>
              <w:t>4.3 x 10</w:t>
            </w:r>
            <w:r w:rsidRPr="002E6B69">
              <w:rPr>
                <w:kern w:val="0"/>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0083E1E2"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E7D5C8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A52FD63" w14:textId="77777777" w:rsidR="00E91AE1" w:rsidRPr="002E6B69" w:rsidRDefault="00E91AE1" w:rsidP="001D2CEB">
            <w:pPr>
              <w:pStyle w:val="Base"/>
            </w:pPr>
          </w:p>
        </w:tc>
      </w:tr>
      <w:tr w:rsidR="00E91AE1" w:rsidRPr="002E6B69" w14:paraId="157FDD89"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F29766B" w14:textId="77777777" w:rsidR="00E91AE1" w:rsidRPr="002E6B69" w:rsidRDefault="00E91AE1" w:rsidP="001D2CEB">
            <w:r w:rsidRPr="002E6B69">
              <w:rPr>
                <w:kern w:val="0"/>
              </w:rPr>
              <w:t>chloroprene (126-99-8)</w:t>
            </w:r>
          </w:p>
        </w:tc>
        <w:tc>
          <w:tcPr>
            <w:tcW w:w="1620" w:type="dxa"/>
            <w:tcBorders>
              <w:top w:val="single" w:sz="6" w:space="0" w:color="000000"/>
              <w:left w:val="single" w:sz="6" w:space="0" w:color="000000"/>
              <w:bottom w:val="single" w:sz="6" w:space="0" w:color="000000"/>
              <w:right w:val="single" w:sz="6" w:space="0" w:color="000000"/>
            </w:tcBorders>
            <w:vAlign w:val="center"/>
          </w:tcPr>
          <w:p w14:paraId="64B0C56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C92EFA4" w14:textId="77777777" w:rsidR="00E91AE1" w:rsidRPr="002E6B69" w:rsidRDefault="00E91AE1" w:rsidP="001D2CEB">
            <w:r w:rsidRPr="002E6B69">
              <w:rPr>
                <w:kern w:val="0"/>
              </w:rPr>
              <w:t>0.44</w:t>
            </w:r>
          </w:p>
        </w:tc>
        <w:tc>
          <w:tcPr>
            <w:tcW w:w="1305" w:type="dxa"/>
            <w:tcBorders>
              <w:top w:val="single" w:sz="6" w:space="0" w:color="000000"/>
              <w:left w:val="single" w:sz="6" w:space="0" w:color="000000"/>
              <w:bottom w:val="single" w:sz="6" w:space="0" w:color="000000"/>
              <w:right w:val="single" w:sz="6" w:space="0" w:color="000000"/>
            </w:tcBorders>
            <w:vAlign w:val="center"/>
          </w:tcPr>
          <w:p w14:paraId="5C0048E2" w14:textId="77777777" w:rsidR="00E91AE1" w:rsidRPr="002E6B69" w:rsidRDefault="00E91AE1" w:rsidP="001D2CEB">
            <w:r w:rsidRPr="002E6B69">
              <w:rPr>
                <w:kern w:val="0"/>
              </w:rPr>
              <w:t>3.5</w:t>
            </w:r>
          </w:p>
        </w:tc>
        <w:tc>
          <w:tcPr>
            <w:tcW w:w="1170" w:type="dxa"/>
            <w:tcBorders>
              <w:top w:val="single" w:sz="6" w:space="0" w:color="000000"/>
              <w:left w:val="single" w:sz="6" w:space="0" w:color="000000"/>
              <w:bottom w:val="single" w:sz="6" w:space="0" w:color="000000"/>
              <w:right w:val="single" w:sz="6" w:space="0" w:color="000000"/>
            </w:tcBorders>
            <w:vAlign w:val="center"/>
          </w:tcPr>
          <w:p w14:paraId="11F8EBEF" w14:textId="77777777" w:rsidR="00E91AE1" w:rsidRPr="002E6B69" w:rsidRDefault="00E91AE1" w:rsidP="001D2CEB">
            <w:pPr>
              <w:pStyle w:val="Base"/>
            </w:pPr>
          </w:p>
        </w:tc>
      </w:tr>
      <w:tr w:rsidR="00E91AE1" w:rsidRPr="002E6B69" w14:paraId="1BC1FEF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5627C9A" w14:textId="77777777" w:rsidR="00E91AE1" w:rsidRPr="002E6B69" w:rsidRDefault="00E91AE1" w:rsidP="001D2CEB">
            <w:r w:rsidRPr="002E6B69">
              <w:rPr>
                <w:kern w:val="0"/>
              </w:rPr>
              <w:t>cresol (1319-77-3)</w:t>
            </w:r>
          </w:p>
        </w:tc>
        <w:tc>
          <w:tcPr>
            <w:tcW w:w="1620" w:type="dxa"/>
            <w:tcBorders>
              <w:top w:val="single" w:sz="6" w:space="0" w:color="000000"/>
              <w:left w:val="single" w:sz="6" w:space="0" w:color="000000"/>
              <w:bottom w:val="single" w:sz="6" w:space="0" w:color="000000"/>
              <w:right w:val="single" w:sz="6" w:space="0" w:color="000000"/>
            </w:tcBorders>
            <w:vAlign w:val="center"/>
          </w:tcPr>
          <w:p w14:paraId="0E5303C1"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1C3B47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BF01425" w14:textId="77777777" w:rsidR="00E91AE1" w:rsidRPr="002E6B69" w:rsidRDefault="00E91AE1" w:rsidP="001D2CEB">
            <w:r w:rsidRPr="002E6B69">
              <w:rPr>
                <w:kern w:val="0"/>
              </w:rPr>
              <w:t>2.2</w:t>
            </w:r>
          </w:p>
        </w:tc>
        <w:tc>
          <w:tcPr>
            <w:tcW w:w="1170" w:type="dxa"/>
            <w:tcBorders>
              <w:top w:val="single" w:sz="6" w:space="0" w:color="000000"/>
              <w:left w:val="single" w:sz="6" w:space="0" w:color="000000"/>
              <w:bottom w:val="single" w:sz="6" w:space="0" w:color="000000"/>
              <w:right w:val="single" w:sz="6" w:space="0" w:color="000000"/>
            </w:tcBorders>
            <w:vAlign w:val="center"/>
          </w:tcPr>
          <w:p w14:paraId="7441CF7E" w14:textId="77777777" w:rsidR="00E91AE1" w:rsidRPr="002E6B69" w:rsidRDefault="00E91AE1" w:rsidP="001D2CEB">
            <w:pPr>
              <w:pStyle w:val="Base"/>
            </w:pPr>
          </w:p>
        </w:tc>
      </w:tr>
      <w:tr w:rsidR="00E91AE1" w:rsidRPr="002E6B69" w14:paraId="1F45CA2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C5E7296" w14:textId="77777777" w:rsidR="00E91AE1" w:rsidRPr="002E6B69" w:rsidRDefault="00E91AE1" w:rsidP="001D2CEB">
            <w:r w:rsidRPr="002E6B69">
              <w:rPr>
                <w:kern w:val="0"/>
              </w:rPr>
              <w:t>p-dichlorobenzene</w:t>
            </w:r>
            <w:r>
              <w:rPr>
                <w:kern w:val="0"/>
              </w:rPr>
              <w:t xml:space="preserve"> </w:t>
            </w:r>
            <w:r w:rsidRPr="002E6B69">
              <w:rPr>
                <w:kern w:val="0"/>
              </w:rPr>
              <w:t>(106-46-7)</w:t>
            </w:r>
          </w:p>
        </w:tc>
        <w:tc>
          <w:tcPr>
            <w:tcW w:w="1620" w:type="dxa"/>
            <w:tcBorders>
              <w:top w:val="single" w:sz="6" w:space="0" w:color="000000"/>
              <w:left w:val="single" w:sz="6" w:space="0" w:color="000000"/>
              <w:bottom w:val="single" w:sz="6" w:space="0" w:color="000000"/>
              <w:right w:val="single" w:sz="6" w:space="0" w:color="000000"/>
            </w:tcBorders>
            <w:vAlign w:val="center"/>
          </w:tcPr>
          <w:p w14:paraId="4E5EDB2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80B42C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30CFE84"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48CF954" w14:textId="77777777" w:rsidR="00E91AE1" w:rsidRPr="002E6B69" w:rsidRDefault="00E91AE1" w:rsidP="001D2CEB">
            <w:r w:rsidRPr="002E6B69">
              <w:rPr>
                <w:kern w:val="0"/>
              </w:rPr>
              <w:t>66</w:t>
            </w:r>
          </w:p>
        </w:tc>
      </w:tr>
      <w:tr w:rsidR="00E91AE1" w:rsidRPr="002E6B69" w14:paraId="29DAE61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36934AD" w14:textId="77777777" w:rsidR="00E91AE1" w:rsidRPr="002E6B69" w:rsidRDefault="00E91AE1" w:rsidP="001D2CEB">
            <w:r w:rsidRPr="002E6B69">
              <w:rPr>
                <w:kern w:val="0"/>
              </w:rPr>
              <w:t>di(2-</w:t>
            </w:r>
            <w:proofErr w:type="gramStart"/>
            <w:r w:rsidRPr="002E6B69">
              <w:rPr>
                <w:kern w:val="0"/>
              </w:rPr>
              <w:t>ethylhexyl)phthalate</w:t>
            </w:r>
            <w:proofErr w:type="gramEnd"/>
            <w:r>
              <w:rPr>
                <w:kern w:val="0"/>
              </w:rPr>
              <w:t xml:space="preserve"> </w:t>
            </w:r>
            <w:r w:rsidRPr="002E6B69">
              <w:rPr>
                <w:kern w:val="0"/>
              </w:rPr>
              <w:t>(117-81-7)</w:t>
            </w:r>
          </w:p>
        </w:tc>
        <w:tc>
          <w:tcPr>
            <w:tcW w:w="1620" w:type="dxa"/>
            <w:tcBorders>
              <w:top w:val="single" w:sz="6" w:space="0" w:color="000000"/>
              <w:left w:val="single" w:sz="6" w:space="0" w:color="000000"/>
              <w:bottom w:val="single" w:sz="6" w:space="0" w:color="000000"/>
              <w:right w:val="single" w:sz="6" w:space="0" w:color="000000"/>
            </w:tcBorders>
            <w:vAlign w:val="center"/>
          </w:tcPr>
          <w:p w14:paraId="0616AA0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E8514C6" w14:textId="77777777" w:rsidR="00E91AE1" w:rsidRPr="002E6B69" w:rsidRDefault="00E91AE1" w:rsidP="001D2CEB">
            <w:r w:rsidRPr="002E6B69">
              <w:rPr>
                <w:kern w:val="0"/>
              </w:rPr>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427AC80C"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B593F36" w14:textId="77777777" w:rsidR="00E91AE1" w:rsidRPr="002E6B69" w:rsidRDefault="00E91AE1" w:rsidP="001D2CEB">
            <w:pPr>
              <w:pStyle w:val="Base"/>
            </w:pPr>
          </w:p>
        </w:tc>
      </w:tr>
      <w:tr w:rsidR="00E91AE1" w:rsidRPr="002E6B69" w14:paraId="3872C1C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DB8DFEF" w14:textId="77777777" w:rsidR="00E91AE1" w:rsidRPr="002E6B69" w:rsidRDefault="00E91AE1" w:rsidP="001D2CEB">
            <w:r w:rsidRPr="002E6B69">
              <w:rPr>
                <w:kern w:val="0"/>
              </w:rPr>
              <w:t>dimethyl sulfate (77-78-1)</w:t>
            </w:r>
          </w:p>
        </w:tc>
        <w:tc>
          <w:tcPr>
            <w:tcW w:w="1620" w:type="dxa"/>
            <w:tcBorders>
              <w:top w:val="single" w:sz="6" w:space="0" w:color="000000"/>
              <w:left w:val="single" w:sz="6" w:space="0" w:color="000000"/>
              <w:bottom w:val="single" w:sz="6" w:space="0" w:color="000000"/>
              <w:right w:val="single" w:sz="6" w:space="0" w:color="000000"/>
            </w:tcBorders>
            <w:vAlign w:val="center"/>
          </w:tcPr>
          <w:p w14:paraId="4873B1C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9783D52" w14:textId="77777777" w:rsidR="00E91AE1" w:rsidRPr="002E6B69" w:rsidRDefault="00E91AE1" w:rsidP="001D2CEB">
            <w:r w:rsidRPr="002E6B69">
              <w:rPr>
                <w:kern w:val="0"/>
              </w:rPr>
              <w:t>0.003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34D5295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09FAB12" w14:textId="77777777" w:rsidR="00E91AE1" w:rsidRPr="002E6B69" w:rsidRDefault="00E91AE1" w:rsidP="001D2CEB">
            <w:pPr>
              <w:pStyle w:val="Base"/>
            </w:pPr>
          </w:p>
        </w:tc>
      </w:tr>
      <w:tr w:rsidR="00E91AE1" w:rsidRPr="002E6B69" w14:paraId="01B288B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580F365" w14:textId="77777777" w:rsidR="00E91AE1" w:rsidRPr="002E6B69" w:rsidRDefault="00E91AE1" w:rsidP="001D2CEB">
            <w:r w:rsidRPr="002E6B69">
              <w:rPr>
                <w:kern w:val="0"/>
              </w:rPr>
              <w:t>1,4-dioxane (123-91-1)</w:t>
            </w:r>
          </w:p>
        </w:tc>
        <w:tc>
          <w:tcPr>
            <w:tcW w:w="1620" w:type="dxa"/>
            <w:tcBorders>
              <w:top w:val="single" w:sz="6" w:space="0" w:color="000000"/>
              <w:left w:val="single" w:sz="6" w:space="0" w:color="000000"/>
              <w:bottom w:val="single" w:sz="6" w:space="0" w:color="000000"/>
              <w:right w:val="single" w:sz="6" w:space="0" w:color="000000"/>
            </w:tcBorders>
            <w:vAlign w:val="center"/>
          </w:tcPr>
          <w:p w14:paraId="5F062615"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9EFDCE8" w14:textId="77777777" w:rsidR="00E91AE1" w:rsidRPr="002E6B69" w:rsidRDefault="00E91AE1" w:rsidP="001D2CEB">
            <w:r w:rsidRPr="002E6B69">
              <w:rPr>
                <w:kern w:val="0"/>
              </w:rPr>
              <w:t>0.56</w:t>
            </w:r>
          </w:p>
        </w:tc>
        <w:tc>
          <w:tcPr>
            <w:tcW w:w="1305" w:type="dxa"/>
            <w:tcBorders>
              <w:top w:val="single" w:sz="6" w:space="0" w:color="000000"/>
              <w:left w:val="single" w:sz="6" w:space="0" w:color="000000"/>
              <w:bottom w:val="single" w:sz="6" w:space="0" w:color="000000"/>
              <w:right w:val="single" w:sz="6" w:space="0" w:color="000000"/>
            </w:tcBorders>
            <w:vAlign w:val="center"/>
          </w:tcPr>
          <w:p w14:paraId="51FA6BA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EFFAD93" w14:textId="77777777" w:rsidR="00E91AE1" w:rsidRPr="002E6B69" w:rsidRDefault="00E91AE1" w:rsidP="001D2CEB">
            <w:pPr>
              <w:pStyle w:val="Base"/>
            </w:pPr>
          </w:p>
        </w:tc>
      </w:tr>
      <w:tr w:rsidR="00E91AE1" w:rsidRPr="002E6B69" w14:paraId="5FBFA07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933A3AE" w14:textId="77777777" w:rsidR="00E91AE1" w:rsidRPr="002E6B69" w:rsidRDefault="00E91AE1" w:rsidP="001D2CEB">
            <w:r w:rsidRPr="002E6B69">
              <w:rPr>
                <w:kern w:val="0"/>
              </w:rPr>
              <w:t>epichlorohydrin (106-89-8)</w:t>
            </w:r>
          </w:p>
        </w:tc>
        <w:tc>
          <w:tcPr>
            <w:tcW w:w="1620" w:type="dxa"/>
            <w:tcBorders>
              <w:top w:val="single" w:sz="6" w:space="0" w:color="000000"/>
              <w:left w:val="single" w:sz="6" w:space="0" w:color="000000"/>
              <w:bottom w:val="single" w:sz="6" w:space="0" w:color="000000"/>
              <w:right w:val="single" w:sz="6" w:space="0" w:color="000000"/>
            </w:tcBorders>
            <w:vAlign w:val="center"/>
          </w:tcPr>
          <w:p w14:paraId="0D1B23D5" w14:textId="77777777" w:rsidR="00E91AE1" w:rsidRPr="002E6B69" w:rsidRDefault="00E91AE1" w:rsidP="001D2CEB">
            <w:r w:rsidRPr="002E6B69">
              <w:rPr>
                <w:kern w:val="0"/>
              </w:rPr>
              <w:t>8.3 x 10</w:t>
            </w:r>
            <w:r w:rsidRPr="002E6B69">
              <w:rPr>
                <w:kern w:val="0"/>
                <w:vertAlign w:val="superscript"/>
              </w:rPr>
              <w:t>-2</w:t>
            </w:r>
          </w:p>
        </w:tc>
        <w:tc>
          <w:tcPr>
            <w:tcW w:w="1305" w:type="dxa"/>
            <w:tcBorders>
              <w:top w:val="single" w:sz="6" w:space="0" w:color="000000"/>
              <w:left w:val="single" w:sz="6" w:space="0" w:color="000000"/>
              <w:bottom w:val="single" w:sz="6" w:space="0" w:color="000000"/>
              <w:right w:val="single" w:sz="6" w:space="0" w:color="000000"/>
            </w:tcBorders>
            <w:vAlign w:val="center"/>
          </w:tcPr>
          <w:p w14:paraId="653A4FC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913AEB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32223AE" w14:textId="77777777" w:rsidR="00E91AE1" w:rsidRPr="002E6B69" w:rsidRDefault="00E91AE1" w:rsidP="001D2CEB">
            <w:pPr>
              <w:pStyle w:val="Base"/>
            </w:pPr>
          </w:p>
        </w:tc>
      </w:tr>
      <w:tr w:rsidR="00E91AE1" w:rsidRPr="002E6B69" w14:paraId="3DB1961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57B5E9A" w14:textId="77777777" w:rsidR="00E91AE1" w:rsidRPr="002E6B69" w:rsidRDefault="00E91AE1" w:rsidP="001D2CEB">
            <w:r w:rsidRPr="002E6B69">
              <w:rPr>
                <w:kern w:val="0"/>
              </w:rPr>
              <w:t>ethyl acetate (141-78-6)</w:t>
            </w:r>
          </w:p>
        </w:tc>
        <w:tc>
          <w:tcPr>
            <w:tcW w:w="1620" w:type="dxa"/>
            <w:tcBorders>
              <w:top w:val="single" w:sz="6" w:space="0" w:color="000000"/>
              <w:left w:val="single" w:sz="6" w:space="0" w:color="000000"/>
              <w:bottom w:val="single" w:sz="6" w:space="0" w:color="000000"/>
              <w:right w:val="single" w:sz="6" w:space="0" w:color="000000"/>
            </w:tcBorders>
            <w:vAlign w:val="center"/>
          </w:tcPr>
          <w:p w14:paraId="78E9195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17D8E2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8C21699" w14:textId="77777777" w:rsidR="00E91AE1" w:rsidRPr="002E6B69" w:rsidRDefault="00E91AE1" w:rsidP="001D2CEB">
            <w:r w:rsidRPr="002E6B69">
              <w:rPr>
                <w:kern w:val="0"/>
              </w:rPr>
              <w:t>140</w:t>
            </w:r>
          </w:p>
        </w:tc>
        <w:tc>
          <w:tcPr>
            <w:tcW w:w="1170" w:type="dxa"/>
            <w:tcBorders>
              <w:top w:val="single" w:sz="6" w:space="0" w:color="000000"/>
              <w:left w:val="single" w:sz="6" w:space="0" w:color="000000"/>
              <w:bottom w:val="single" w:sz="6" w:space="0" w:color="000000"/>
              <w:right w:val="single" w:sz="6" w:space="0" w:color="000000"/>
            </w:tcBorders>
            <w:vAlign w:val="center"/>
          </w:tcPr>
          <w:p w14:paraId="78E9D587" w14:textId="77777777" w:rsidR="00E91AE1" w:rsidRPr="002E6B69" w:rsidRDefault="00E91AE1" w:rsidP="001D2CEB">
            <w:pPr>
              <w:pStyle w:val="Base"/>
            </w:pPr>
          </w:p>
        </w:tc>
      </w:tr>
      <w:tr w:rsidR="00E91AE1" w:rsidRPr="002E6B69" w14:paraId="3D9A30A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0D8393D" w14:textId="77777777" w:rsidR="00E91AE1" w:rsidRPr="002E6B69" w:rsidRDefault="00E91AE1" w:rsidP="001D2CEB">
            <w:r w:rsidRPr="002E6B69">
              <w:rPr>
                <w:kern w:val="0"/>
              </w:rPr>
              <w:t>ethylenediamine (107-15-3)</w:t>
            </w:r>
          </w:p>
        </w:tc>
        <w:tc>
          <w:tcPr>
            <w:tcW w:w="1620" w:type="dxa"/>
            <w:tcBorders>
              <w:top w:val="single" w:sz="6" w:space="0" w:color="000000"/>
              <w:left w:val="single" w:sz="6" w:space="0" w:color="000000"/>
              <w:bottom w:val="single" w:sz="6" w:space="0" w:color="000000"/>
              <w:right w:val="single" w:sz="6" w:space="0" w:color="000000"/>
            </w:tcBorders>
            <w:vAlign w:val="center"/>
          </w:tcPr>
          <w:p w14:paraId="6218B22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8783A18" w14:textId="77777777" w:rsidR="00E91AE1" w:rsidRPr="002E6B69" w:rsidRDefault="00E91AE1" w:rsidP="001D2CEB">
            <w:r w:rsidRPr="002E6B69">
              <w:rPr>
                <w:kern w:val="0"/>
              </w:rPr>
              <w:t>0.3</w:t>
            </w:r>
          </w:p>
        </w:tc>
        <w:tc>
          <w:tcPr>
            <w:tcW w:w="1305" w:type="dxa"/>
            <w:tcBorders>
              <w:top w:val="single" w:sz="6" w:space="0" w:color="000000"/>
              <w:left w:val="single" w:sz="6" w:space="0" w:color="000000"/>
              <w:bottom w:val="single" w:sz="6" w:space="0" w:color="000000"/>
              <w:right w:val="single" w:sz="6" w:space="0" w:color="000000"/>
            </w:tcBorders>
            <w:vAlign w:val="center"/>
          </w:tcPr>
          <w:p w14:paraId="67598B13" w14:textId="77777777" w:rsidR="00E91AE1" w:rsidRPr="002E6B69" w:rsidRDefault="00E91AE1" w:rsidP="001D2CEB">
            <w:r w:rsidRPr="002E6B69">
              <w:rPr>
                <w:kern w:val="0"/>
              </w:rPr>
              <w:t>2.5</w:t>
            </w:r>
          </w:p>
        </w:tc>
        <w:tc>
          <w:tcPr>
            <w:tcW w:w="1170" w:type="dxa"/>
            <w:tcBorders>
              <w:top w:val="single" w:sz="6" w:space="0" w:color="000000"/>
              <w:left w:val="single" w:sz="6" w:space="0" w:color="000000"/>
              <w:bottom w:val="single" w:sz="6" w:space="0" w:color="000000"/>
              <w:right w:val="single" w:sz="6" w:space="0" w:color="000000"/>
            </w:tcBorders>
            <w:vAlign w:val="center"/>
          </w:tcPr>
          <w:p w14:paraId="7139485E" w14:textId="77777777" w:rsidR="00E91AE1" w:rsidRPr="002E6B69" w:rsidRDefault="00E91AE1" w:rsidP="001D2CEB">
            <w:pPr>
              <w:pStyle w:val="Base"/>
            </w:pPr>
          </w:p>
        </w:tc>
      </w:tr>
      <w:tr w:rsidR="00E91AE1" w:rsidRPr="002E6B69" w14:paraId="2378E2C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F48CC08" w14:textId="77777777" w:rsidR="00E91AE1" w:rsidRPr="002E6B69" w:rsidRDefault="00E91AE1" w:rsidP="001D2CEB">
            <w:r w:rsidRPr="002E6B69">
              <w:rPr>
                <w:kern w:val="0"/>
              </w:rPr>
              <w:t>ethylene dibromide</w:t>
            </w:r>
            <w:r>
              <w:rPr>
                <w:kern w:val="0"/>
              </w:rPr>
              <w:t xml:space="preserve"> </w:t>
            </w:r>
            <w:r w:rsidRPr="002E6B69">
              <w:rPr>
                <w:kern w:val="0"/>
              </w:rPr>
              <w:t>(106-93-4)</w:t>
            </w:r>
          </w:p>
        </w:tc>
        <w:tc>
          <w:tcPr>
            <w:tcW w:w="1620" w:type="dxa"/>
            <w:tcBorders>
              <w:top w:val="single" w:sz="6" w:space="0" w:color="000000"/>
              <w:left w:val="single" w:sz="6" w:space="0" w:color="000000"/>
              <w:bottom w:val="single" w:sz="6" w:space="0" w:color="000000"/>
              <w:right w:val="single" w:sz="6" w:space="0" w:color="000000"/>
            </w:tcBorders>
            <w:vAlign w:val="center"/>
          </w:tcPr>
          <w:p w14:paraId="06C8418D" w14:textId="77777777" w:rsidR="00E91AE1" w:rsidRPr="002E6B69" w:rsidRDefault="00E91AE1" w:rsidP="001D2CEB">
            <w:r w:rsidRPr="002E6B69">
              <w:rPr>
                <w:kern w:val="0"/>
              </w:rPr>
              <w:t>4.0 x 10</w:t>
            </w:r>
            <w:r w:rsidRPr="002E6B69">
              <w:rPr>
                <w:kern w:val="0"/>
                <w:vertAlign w:val="superscript"/>
              </w:rPr>
              <w:t>-4</w:t>
            </w:r>
          </w:p>
        </w:tc>
        <w:tc>
          <w:tcPr>
            <w:tcW w:w="1305" w:type="dxa"/>
            <w:tcBorders>
              <w:top w:val="single" w:sz="6" w:space="0" w:color="000000"/>
              <w:left w:val="single" w:sz="6" w:space="0" w:color="000000"/>
              <w:bottom w:val="single" w:sz="6" w:space="0" w:color="000000"/>
              <w:right w:val="single" w:sz="6" w:space="0" w:color="000000"/>
            </w:tcBorders>
            <w:vAlign w:val="center"/>
          </w:tcPr>
          <w:p w14:paraId="4B876E4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59D77A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2503F273" w14:textId="77777777" w:rsidR="00E91AE1" w:rsidRPr="002E6B69" w:rsidRDefault="00E91AE1" w:rsidP="001D2CEB">
            <w:pPr>
              <w:pStyle w:val="Base"/>
            </w:pPr>
          </w:p>
        </w:tc>
      </w:tr>
      <w:tr w:rsidR="00E91AE1" w:rsidRPr="002E6B69" w14:paraId="7B7BCD19"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FA073DC" w14:textId="77777777" w:rsidR="00E91AE1" w:rsidRPr="002E6B69" w:rsidRDefault="00E91AE1" w:rsidP="001D2CEB">
            <w:r w:rsidRPr="002E6B69">
              <w:rPr>
                <w:kern w:val="0"/>
              </w:rPr>
              <w:t>ethylene dichloride</w:t>
            </w:r>
            <w:r>
              <w:rPr>
                <w:kern w:val="0"/>
              </w:rPr>
              <w:t xml:space="preserve"> </w:t>
            </w:r>
            <w:r w:rsidRPr="002E6B69">
              <w:rPr>
                <w:kern w:val="0"/>
              </w:rPr>
              <w:t>(107-06-2)</w:t>
            </w:r>
          </w:p>
        </w:tc>
        <w:tc>
          <w:tcPr>
            <w:tcW w:w="1620" w:type="dxa"/>
            <w:tcBorders>
              <w:top w:val="single" w:sz="6" w:space="0" w:color="000000"/>
              <w:left w:val="single" w:sz="6" w:space="0" w:color="000000"/>
              <w:bottom w:val="single" w:sz="6" w:space="0" w:color="000000"/>
              <w:right w:val="single" w:sz="6" w:space="0" w:color="000000"/>
            </w:tcBorders>
            <w:vAlign w:val="center"/>
          </w:tcPr>
          <w:p w14:paraId="7989A605" w14:textId="77777777" w:rsidR="00E91AE1" w:rsidRPr="002E6B69" w:rsidRDefault="00E91AE1" w:rsidP="001D2CEB">
            <w:r w:rsidRPr="002E6B69">
              <w:rPr>
                <w:kern w:val="0"/>
              </w:rPr>
              <w:t>3.8 x 10</w:t>
            </w:r>
            <w:r w:rsidRPr="002E6B69">
              <w:rPr>
                <w:kern w:val="0"/>
                <w:vertAlign w:val="superscript"/>
              </w:rPr>
              <w:t>-3</w:t>
            </w:r>
          </w:p>
        </w:tc>
        <w:tc>
          <w:tcPr>
            <w:tcW w:w="1305" w:type="dxa"/>
            <w:tcBorders>
              <w:top w:val="single" w:sz="6" w:space="0" w:color="000000"/>
              <w:left w:val="single" w:sz="6" w:space="0" w:color="000000"/>
              <w:bottom w:val="single" w:sz="6" w:space="0" w:color="000000"/>
              <w:right w:val="single" w:sz="6" w:space="0" w:color="000000"/>
            </w:tcBorders>
            <w:vAlign w:val="center"/>
          </w:tcPr>
          <w:p w14:paraId="30B30B9F"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FD1ABB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9B4E32C" w14:textId="77777777" w:rsidR="00E91AE1" w:rsidRPr="002E6B69" w:rsidRDefault="00E91AE1" w:rsidP="001D2CEB">
            <w:pPr>
              <w:pStyle w:val="Base"/>
            </w:pPr>
          </w:p>
        </w:tc>
      </w:tr>
      <w:tr w:rsidR="00E91AE1" w:rsidRPr="002E6B69" w14:paraId="6FCB8D2B"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778282C" w14:textId="77777777" w:rsidR="00E91AE1" w:rsidRPr="002E6B69" w:rsidRDefault="00E91AE1" w:rsidP="001D2CEB">
            <w:pPr>
              <w:pStyle w:val="Base"/>
            </w:pPr>
            <w:r w:rsidRPr="002E6B69">
              <w:t>ethylene glycol monoethyl ether</w:t>
            </w:r>
          </w:p>
          <w:p w14:paraId="37AA15FF" w14:textId="77777777" w:rsidR="00E91AE1" w:rsidRPr="002E6B69" w:rsidRDefault="00E91AE1" w:rsidP="001D2CEB">
            <w:r w:rsidRPr="002E6B69">
              <w:rPr>
                <w:kern w:val="0"/>
              </w:rPr>
              <w:t>(110-80-5)</w:t>
            </w:r>
          </w:p>
        </w:tc>
        <w:tc>
          <w:tcPr>
            <w:tcW w:w="1620" w:type="dxa"/>
            <w:tcBorders>
              <w:top w:val="single" w:sz="6" w:space="0" w:color="000000"/>
              <w:left w:val="single" w:sz="6" w:space="0" w:color="000000"/>
              <w:bottom w:val="single" w:sz="6" w:space="0" w:color="000000"/>
              <w:right w:val="single" w:sz="6" w:space="0" w:color="000000"/>
            </w:tcBorders>
            <w:vAlign w:val="center"/>
          </w:tcPr>
          <w:p w14:paraId="131AB4B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293016F" w14:textId="77777777" w:rsidR="00E91AE1" w:rsidRPr="002E6B69" w:rsidRDefault="00E91AE1" w:rsidP="001D2CEB">
            <w:r w:rsidRPr="002E6B69">
              <w:rPr>
                <w:kern w:val="0"/>
              </w:rPr>
              <w:t>0.12</w:t>
            </w:r>
          </w:p>
        </w:tc>
        <w:tc>
          <w:tcPr>
            <w:tcW w:w="1305" w:type="dxa"/>
            <w:tcBorders>
              <w:top w:val="single" w:sz="6" w:space="0" w:color="000000"/>
              <w:left w:val="single" w:sz="6" w:space="0" w:color="000000"/>
              <w:bottom w:val="single" w:sz="6" w:space="0" w:color="000000"/>
              <w:right w:val="single" w:sz="6" w:space="0" w:color="000000"/>
            </w:tcBorders>
            <w:vAlign w:val="center"/>
          </w:tcPr>
          <w:p w14:paraId="5CAAC0F6" w14:textId="77777777" w:rsidR="00E91AE1" w:rsidRPr="002E6B69" w:rsidRDefault="00E91AE1" w:rsidP="001D2CEB">
            <w:r w:rsidRPr="002E6B69">
              <w:rPr>
                <w:kern w:val="0"/>
              </w:rPr>
              <w:t>1.9</w:t>
            </w:r>
          </w:p>
        </w:tc>
        <w:tc>
          <w:tcPr>
            <w:tcW w:w="1170" w:type="dxa"/>
            <w:tcBorders>
              <w:top w:val="single" w:sz="6" w:space="0" w:color="000000"/>
              <w:left w:val="single" w:sz="6" w:space="0" w:color="000000"/>
              <w:bottom w:val="single" w:sz="6" w:space="0" w:color="000000"/>
              <w:right w:val="single" w:sz="6" w:space="0" w:color="000000"/>
            </w:tcBorders>
            <w:vAlign w:val="center"/>
          </w:tcPr>
          <w:p w14:paraId="1DB97BB5" w14:textId="77777777" w:rsidR="00E91AE1" w:rsidRPr="002E6B69" w:rsidRDefault="00E91AE1" w:rsidP="001D2CEB">
            <w:pPr>
              <w:pStyle w:val="Base"/>
            </w:pPr>
          </w:p>
        </w:tc>
      </w:tr>
      <w:tr w:rsidR="00E91AE1" w:rsidRPr="002E6B69" w14:paraId="5251569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EF39039" w14:textId="77777777" w:rsidR="00E91AE1" w:rsidRPr="002E6B69" w:rsidRDefault="00E91AE1" w:rsidP="001D2CEB">
            <w:r w:rsidRPr="002E6B69">
              <w:rPr>
                <w:kern w:val="0"/>
              </w:rPr>
              <w:t>ethylene oxide (75-21-8)</w:t>
            </w:r>
          </w:p>
        </w:tc>
        <w:tc>
          <w:tcPr>
            <w:tcW w:w="1620" w:type="dxa"/>
            <w:tcBorders>
              <w:top w:val="single" w:sz="6" w:space="0" w:color="000000"/>
              <w:left w:val="single" w:sz="6" w:space="0" w:color="000000"/>
              <w:bottom w:val="single" w:sz="6" w:space="0" w:color="000000"/>
              <w:right w:val="single" w:sz="6" w:space="0" w:color="000000"/>
            </w:tcBorders>
            <w:vAlign w:val="center"/>
          </w:tcPr>
          <w:p w14:paraId="10F0C03D" w14:textId="77777777" w:rsidR="00E91AE1" w:rsidRPr="002E6B69" w:rsidRDefault="00E91AE1" w:rsidP="001D2CEB">
            <w:r w:rsidRPr="002E6B69">
              <w:rPr>
                <w:kern w:val="0"/>
              </w:rPr>
              <w:t>2.7 x 10</w:t>
            </w:r>
            <w:r w:rsidRPr="002E6B69">
              <w:rPr>
                <w:kern w:val="0"/>
                <w:vertAlign w:val="superscript"/>
              </w:rPr>
              <w:t>-5</w:t>
            </w:r>
          </w:p>
        </w:tc>
        <w:tc>
          <w:tcPr>
            <w:tcW w:w="1305" w:type="dxa"/>
            <w:tcBorders>
              <w:top w:val="single" w:sz="6" w:space="0" w:color="000000"/>
              <w:left w:val="single" w:sz="6" w:space="0" w:color="000000"/>
              <w:bottom w:val="single" w:sz="6" w:space="0" w:color="000000"/>
              <w:right w:val="single" w:sz="6" w:space="0" w:color="000000"/>
            </w:tcBorders>
            <w:vAlign w:val="center"/>
          </w:tcPr>
          <w:p w14:paraId="7F0B9C6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B7D119B"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8196C03" w14:textId="77777777" w:rsidR="00E91AE1" w:rsidRPr="002E6B69" w:rsidRDefault="00E91AE1" w:rsidP="001D2CEB">
            <w:pPr>
              <w:pStyle w:val="Base"/>
            </w:pPr>
          </w:p>
        </w:tc>
      </w:tr>
      <w:tr w:rsidR="00E91AE1" w:rsidRPr="002E6B69" w14:paraId="2BF184D7"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5733B0B" w14:textId="77777777" w:rsidR="00E91AE1" w:rsidRPr="002E6B69" w:rsidRDefault="00E91AE1" w:rsidP="001D2CEB">
            <w:r w:rsidRPr="002E6B69">
              <w:rPr>
                <w:kern w:val="0"/>
              </w:rPr>
              <w:t>ethyl mercaptan (75-08-1)</w:t>
            </w:r>
          </w:p>
        </w:tc>
        <w:tc>
          <w:tcPr>
            <w:tcW w:w="1620" w:type="dxa"/>
            <w:tcBorders>
              <w:top w:val="single" w:sz="6" w:space="0" w:color="000000"/>
              <w:left w:val="single" w:sz="6" w:space="0" w:color="000000"/>
              <w:bottom w:val="single" w:sz="6" w:space="0" w:color="000000"/>
              <w:right w:val="single" w:sz="6" w:space="0" w:color="000000"/>
            </w:tcBorders>
            <w:vAlign w:val="center"/>
          </w:tcPr>
          <w:p w14:paraId="00ACCF38"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0964FF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187830A" w14:textId="77777777" w:rsidR="00E91AE1" w:rsidRPr="002E6B69" w:rsidRDefault="00E91AE1" w:rsidP="001D2CEB">
            <w:r w:rsidRPr="002E6B69">
              <w:rPr>
                <w:kern w:val="0"/>
              </w:rPr>
              <w:t>0.1</w:t>
            </w:r>
          </w:p>
        </w:tc>
        <w:tc>
          <w:tcPr>
            <w:tcW w:w="1170" w:type="dxa"/>
            <w:tcBorders>
              <w:top w:val="single" w:sz="6" w:space="0" w:color="000000"/>
              <w:left w:val="single" w:sz="6" w:space="0" w:color="000000"/>
              <w:bottom w:val="single" w:sz="6" w:space="0" w:color="000000"/>
              <w:right w:val="single" w:sz="6" w:space="0" w:color="000000"/>
            </w:tcBorders>
            <w:vAlign w:val="center"/>
          </w:tcPr>
          <w:p w14:paraId="66BAEBB6" w14:textId="77777777" w:rsidR="00E91AE1" w:rsidRPr="002E6B69" w:rsidRDefault="00E91AE1" w:rsidP="001D2CEB">
            <w:pPr>
              <w:pStyle w:val="Base"/>
            </w:pPr>
          </w:p>
        </w:tc>
      </w:tr>
      <w:tr w:rsidR="00E91AE1" w:rsidRPr="002E6B69" w14:paraId="6A1502E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B81F47C" w14:textId="77777777" w:rsidR="00E91AE1" w:rsidRPr="002E6B69" w:rsidRDefault="00E91AE1" w:rsidP="001D2CEB">
            <w:r w:rsidRPr="002E6B69">
              <w:rPr>
                <w:kern w:val="0"/>
              </w:rPr>
              <w:t xml:space="preserve">fluorides </w:t>
            </w:r>
          </w:p>
        </w:tc>
        <w:tc>
          <w:tcPr>
            <w:tcW w:w="1620" w:type="dxa"/>
            <w:tcBorders>
              <w:top w:val="single" w:sz="6" w:space="0" w:color="000000"/>
              <w:left w:val="single" w:sz="6" w:space="0" w:color="000000"/>
              <w:bottom w:val="single" w:sz="6" w:space="0" w:color="000000"/>
              <w:right w:val="single" w:sz="6" w:space="0" w:color="000000"/>
            </w:tcBorders>
            <w:vAlign w:val="center"/>
          </w:tcPr>
          <w:p w14:paraId="738D24B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8C68170" w14:textId="77777777" w:rsidR="00E91AE1" w:rsidRPr="002E6B69" w:rsidRDefault="00E91AE1" w:rsidP="001D2CEB">
            <w:r w:rsidRPr="002E6B69">
              <w:rPr>
                <w:kern w:val="0"/>
              </w:rPr>
              <w:t>0.016</w:t>
            </w:r>
          </w:p>
        </w:tc>
        <w:tc>
          <w:tcPr>
            <w:tcW w:w="1305" w:type="dxa"/>
            <w:tcBorders>
              <w:top w:val="single" w:sz="6" w:space="0" w:color="000000"/>
              <w:left w:val="single" w:sz="6" w:space="0" w:color="000000"/>
              <w:bottom w:val="single" w:sz="6" w:space="0" w:color="000000"/>
              <w:right w:val="single" w:sz="6" w:space="0" w:color="000000"/>
            </w:tcBorders>
            <w:vAlign w:val="center"/>
          </w:tcPr>
          <w:p w14:paraId="42604A07" w14:textId="77777777" w:rsidR="00E91AE1" w:rsidRPr="002E6B69" w:rsidRDefault="00E91AE1" w:rsidP="001D2CEB">
            <w:r w:rsidRPr="002E6B69">
              <w:rPr>
                <w:kern w:val="0"/>
              </w:rPr>
              <w:t>0.25</w:t>
            </w:r>
          </w:p>
        </w:tc>
        <w:tc>
          <w:tcPr>
            <w:tcW w:w="1170" w:type="dxa"/>
            <w:tcBorders>
              <w:top w:val="single" w:sz="6" w:space="0" w:color="000000"/>
              <w:left w:val="single" w:sz="6" w:space="0" w:color="000000"/>
              <w:bottom w:val="single" w:sz="6" w:space="0" w:color="000000"/>
              <w:right w:val="single" w:sz="6" w:space="0" w:color="000000"/>
            </w:tcBorders>
            <w:vAlign w:val="center"/>
          </w:tcPr>
          <w:p w14:paraId="0304CC0F" w14:textId="77777777" w:rsidR="00E91AE1" w:rsidRPr="002E6B69" w:rsidRDefault="00E91AE1" w:rsidP="001D2CEB">
            <w:pPr>
              <w:pStyle w:val="Base"/>
            </w:pPr>
          </w:p>
        </w:tc>
      </w:tr>
      <w:tr w:rsidR="00E91AE1" w:rsidRPr="002E6B69" w14:paraId="470D3AF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31E8077" w14:textId="77777777" w:rsidR="00E91AE1" w:rsidRPr="002E6B69" w:rsidRDefault="00E91AE1" w:rsidP="001D2CEB">
            <w:r w:rsidRPr="002E6B69">
              <w:rPr>
                <w:kern w:val="0"/>
              </w:rPr>
              <w:t>formaldehyde (50-00-0)</w:t>
            </w:r>
          </w:p>
        </w:tc>
        <w:tc>
          <w:tcPr>
            <w:tcW w:w="1620" w:type="dxa"/>
            <w:tcBorders>
              <w:top w:val="single" w:sz="6" w:space="0" w:color="000000"/>
              <w:left w:val="single" w:sz="6" w:space="0" w:color="000000"/>
              <w:bottom w:val="single" w:sz="6" w:space="0" w:color="000000"/>
              <w:right w:val="single" w:sz="6" w:space="0" w:color="000000"/>
            </w:tcBorders>
            <w:vAlign w:val="center"/>
          </w:tcPr>
          <w:p w14:paraId="04332675"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957061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A913A94"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0812FA3" w14:textId="77777777" w:rsidR="00E91AE1" w:rsidRPr="002E6B69" w:rsidRDefault="00E91AE1" w:rsidP="001D2CEB">
            <w:r w:rsidRPr="002E6B69">
              <w:rPr>
                <w:kern w:val="0"/>
              </w:rPr>
              <w:t>0.15</w:t>
            </w:r>
          </w:p>
        </w:tc>
      </w:tr>
      <w:tr w:rsidR="00E91AE1" w:rsidRPr="002E6B69" w14:paraId="5FEEB38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19BB26D" w14:textId="77777777" w:rsidR="00E91AE1" w:rsidRPr="002E6B69" w:rsidRDefault="00E91AE1" w:rsidP="001D2CEB">
            <w:r w:rsidRPr="002E6B69">
              <w:rPr>
                <w:kern w:val="0"/>
              </w:rPr>
              <w:t>hexachlorocyclopentadiene (77-47-4)</w:t>
            </w:r>
          </w:p>
        </w:tc>
        <w:tc>
          <w:tcPr>
            <w:tcW w:w="1620" w:type="dxa"/>
            <w:tcBorders>
              <w:top w:val="single" w:sz="6" w:space="0" w:color="000000"/>
              <w:left w:val="single" w:sz="6" w:space="0" w:color="000000"/>
              <w:bottom w:val="single" w:sz="6" w:space="0" w:color="000000"/>
              <w:right w:val="single" w:sz="6" w:space="0" w:color="000000"/>
            </w:tcBorders>
            <w:vAlign w:val="center"/>
          </w:tcPr>
          <w:p w14:paraId="2D18EF3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309EE9BA"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5B7953FE" w14:textId="77777777" w:rsidR="00E91AE1" w:rsidRPr="002E6B69" w:rsidRDefault="00E91AE1" w:rsidP="001D2CEB">
            <w:r w:rsidRPr="002E6B69">
              <w:rPr>
                <w:kern w:val="0"/>
              </w:rPr>
              <w:t>0.01</w:t>
            </w:r>
          </w:p>
        </w:tc>
        <w:tc>
          <w:tcPr>
            <w:tcW w:w="1170" w:type="dxa"/>
            <w:tcBorders>
              <w:top w:val="single" w:sz="6" w:space="0" w:color="000000"/>
              <w:left w:val="single" w:sz="6" w:space="0" w:color="000000"/>
              <w:bottom w:val="single" w:sz="6" w:space="0" w:color="000000"/>
              <w:right w:val="single" w:sz="6" w:space="0" w:color="000000"/>
            </w:tcBorders>
            <w:vAlign w:val="center"/>
          </w:tcPr>
          <w:p w14:paraId="589825CB" w14:textId="77777777" w:rsidR="00E91AE1" w:rsidRPr="002E6B69" w:rsidRDefault="00E91AE1" w:rsidP="001D2CEB">
            <w:pPr>
              <w:pStyle w:val="Base"/>
            </w:pPr>
          </w:p>
        </w:tc>
      </w:tr>
      <w:tr w:rsidR="00E91AE1" w:rsidRPr="002E6B69" w14:paraId="2E5ABFDD"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3698F77" w14:textId="77777777" w:rsidR="00E91AE1" w:rsidRPr="002E6B69" w:rsidRDefault="00E91AE1" w:rsidP="001D2CEB">
            <w:pPr>
              <w:pStyle w:val="Base"/>
            </w:pPr>
            <w:r w:rsidRPr="002E6B69">
              <w:lastRenderedPageBreak/>
              <w:t>hexachlorodibenzo-p-dioxin</w:t>
            </w:r>
          </w:p>
          <w:p w14:paraId="63B1B121" w14:textId="77777777" w:rsidR="00E91AE1" w:rsidRPr="002E6B69" w:rsidRDefault="00E91AE1" w:rsidP="001D2CEB">
            <w:r w:rsidRPr="002E6B69">
              <w:rPr>
                <w:kern w:val="0"/>
              </w:rPr>
              <w:t>(57653-85-7)</w:t>
            </w:r>
          </w:p>
        </w:tc>
        <w:tc>
          <w:tcPr>
            <w:tcW w:w="1620" w:type="dxa"/>
            <w:tcBorders>
              <w:top w:val="single" w:sz="6" w:space="0" w:color="000000"/>
              <w:left w:val="single" w:sz="6" w:space="0" w:color="000000"/>
              <w:bottom w:val="single" w:sz="6" w:space="0" w:color="000000"/>
              <w:right w:val="single" w:sz="6" w:space="0" w:color="000000"/>
            </w:tcBorders>
            <w:vAlign w:val="center"/>
          </w:tcPr>
          <w:p w14:paraId="32E52438" w14:textId="77777777" w:rsidR="00E91AE1" w:rsidRPr="002E6B69" w:rsidRDefault="00E91AE1" w:rsidP="001D2CEB">
            <w:r w:rsidRPr="002E6B69">
              <w:rPr>
                <w:kern w:val="0"/>
              </w:rPr>
              <w:t>7.6 x 10</w:t>
            </w:r>
            <w:r w:rsidRPr="002E6B69">
              <w:rPr>
                <w:kern w:val="0"/>
                <w:vertAlign w:val="superscript"/>
              </w:rPr>
              <w:t>-8</w:t>
            </w:r>
          </w:p>
        </w:tc>
        <w:tc>
          <w:tcPr>
            <w:tcW w:w="1305" w:type="dxa"/>
            <w:tcBorders>
              <w:top w:val="single" w:sz="6" w:space="0" w:color="000000"/>
              <w:left w:val="single" w:sz="6" w:space="0" w:color="000000"/>
              <w:bottom w:val="single" w:sz="6" w:space="0" w:color="000000"/>
              <w:right w:val="single" w:sz="6" w:space="0" w:color="000000"/>
            </w:tcBorders>
            <w:vAlign w:val="center"/>
          </w:tcPr>
          <w:p w14:paraId="1BAB3B08"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3046EB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2C17F690" w14:textId="77777777" w:rsidR="00E91AE1" w:rsidRPr="002E6B69" w:rsidRDefault="00E91AE1" w:rsidP="001D2CEB">
            <w:pPr>
              <w:pStyle w:val="Base"/>
            </w:pPr>
          </w:p>
        </w:tc>
      </w:tr>
      <w:tr w:rsidR="00E91AE1" w:rsidRPr="002E6B69" w14:paraId="43888EB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A7F5B0C" w14:textId="77777777" w:rsidR="00E91AE1" w:rsidRPr="002E6B69" w:rsidRDefault="00E91AE1" w:rsidP="001D2CEB">
            <w:r w:rsidRPr="002E6B69">
              <w:rPr>
                <w:kern w:val="0"/>
              </w:rPr>
              <w:t>n-hexane (110-54-3)</w:t>
            </w:r>
          </w:p>
        </w:tc>
        <w:tc>
          <w:tcPr>
            <w:tcW w:w="1620" w:type="dxa"/>
            <w:tcBorders>
              <w:top w:val="single" w:sz="6" w:space="0" w:color="000000"/>
              <w:left w:val="single" w:sz="6" w:space="0" w:color="000000"/>
              <w:bottom w:val="single" w:sz="6" w:space="0" w:color="000000"/>
              <w:right w:val="single" w:sz="6" w:space="0" w:color="000000"/>
            </w:tcBorders>
            <w:vAlign w:val="center"/>
          </w:tcPr>
          <w:p w14:paraId="32D4CC6D"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8B34F1C" w14:textId="77777777" w:rsidR="00E91AE1" w:rsidRPr="002E6B69" w:rsidRDefault="00E91AE1" w:rsidP="001D2CEB">
            <w:r w:rsidRPr="002E6B69">
              <w:rPr>
                <w:kern w:val="0"/>
              </w:rPr>
              <w:t>1.1</w:t>
            </w:r>
          </w:p>
        </w:tc>
        <w:tc>
          <w:tcPr>
            <w:tcW w:w="1305" w:type="dxa"/>
            <w:tcBorders>
              <w:top w:val="single" w:sz="6" w:space="0" w:color="000000"/>
              <w:left w:val="single" w:sz="6" w:space="0" w:color="000000"/>
              <w:bottom w:val="single" w:sz="6" w:space="0" w:color="000000"/>
              <w:right w:val="single" w:sz="6" w:space="0" w:color="000000"/>
            </w:tcBorders>
            <w:vAlign w:val="center"/>
          </w:tcPr>
          <w:p w14:paraId="01EEB30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D56BC74" w14:textId="77777777" w:rsidR="00E91AE1" w:rsidRPr="002E6B69" w:rsidRDefault="00E91AE1" w:rsidP="001D2CEB">
            <w:pPr>
              <w:pStyle w:val="Base"/>
            </w:pPr>
          </w:p>
        </w:tc>
      </w:tr>
      <w:tr w:rsidR="00E91AE1" w:rsidRPr="002E6B69" w14:paraId="73F90A0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8D84538" w14:textId="77777777" w:rsidR="00E91AE1" w:rsidRPr="002E6B69" w:rsidRDefault="00E91AE1" w:rsidP="001D2CEB">
            <w:r w:rsidRPr="002E6B69">
              <w:rPr>
                <w:kern w:val="0"/>
              </w:rPr>
              <w:t>hexane isomers except n-hexane</w:t>
            </w:r>
          </w:p>
        </w:tc>
        <w:tc>
          <w:tcPr>
            <w:tcW w:w="1620" w:type="dxa"/>
            <w:tcBorders>
              <w:top w:val="single" w:sz="6" w:space="0" w:color="000000"/>
              <w:left w:val="single" w:sz="6" w:space="0" w:color="000000"/>
              <w:bottom w:val="single" w:sz="6" w:space="0" w:color="000000"/>
              <w:right w:val="single" w:sz="6" w:space="0" w:color="000000"/>
            </w:tcBorders>
            <w:vAlign w:val="center"/>
          </w:tcPr>
          <w:p w14:paraId="4BE4526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13A2A3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F713512"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50DF83D" w14:textId="77777777" w:rsidR="00E91AE1" w:rsidRPr="002E6B69" w:rsidRDefault="00E91AE1" w:rsidP="001D2CEB">
            <w:r w:rsidRPr="002E6B69">
              <w:rPr>
                <w:kern w:val="0"/>
              </w:rPr>
              <w:t>360</w:t>
            </w:r>
          </w:p>
        </w:tc>
      </w:tr>
      <w:tr w:rsidR="00E91AE1" w:rsidRPr="002E6B69" w14:paraId="6F4FC44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401E45D" w14:textId="77777777" w:rsidR="00E91AE1" w:rsidRPr="002E6B69" w:rsidRDefault="00E91AE1" w:rsidP="001D2CEB">
            <w:r w:rsidRPr="002E6B69">
              <w:rPr>
                <w:kern w:val="0"/>
              </w:rPr>
              <w:t>hydrazine (302-01-2)</w:t>
            </w:r>
          </w:p>
        </w:tc>
        <w:tc>
          <w:tcPr>
            <w:tcW w:w="1620" w:type="dxa"/>
            <w:tcBorders>
              <w:top w:val="single" w:sz="6" w:space="0" w:color="000000"/>
              <w:left w:val="single" w:sz="6" w:space="0" w:color="000000"/>
              <w:bottom w:val="single" w:sz="6" w:space="0" w:color="000000"/>
              <w:right w:val="single" w:sz="6" w:space="0" w:color="000000"/>
            </w:tcBorders>
            <w:vAlign w:val="center"/>
          </w:tcPr>
          <w:p w14:paraId="47A2A48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58E48E6"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7E8F7D7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61CC2261" w14:textId="77777777" w:rsidR="00E91AE1" w:rsidRPr="002E6B69" w:rsidRDefault="00E91AE1" w:rsidP="001D2CEB">
            <w:pPr>
              <w:pStyle w:val="Base"/>
            </w:pPr>
          </w:p>
        </w:tc>
      </w:tr>
      <w:tr w:rsidR="00E91AE1" w:rsidRPr="002E6B69" w14:paraId="34AA7CC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2296D85" w14:textId="77777777" w:rsidR="00E91AE1" w:rsidRPr="002E6B69" w:rsidRDefault="00E91AE1" w:rsidP="001D2CEB">
            <w:r w:rsidRPr="002E6B69">
              <w:rPr>
                <w:kern w:val="0"/>
              </w:rPr>
              <w:t>hydrogen chloride</w:t>
            </w:r>
            <w:r>
              <w:rPr>
                <w:kern w:val="0"/>
              </w:rPr>
              <w:t xml:space="preserve"> </w:t>
            </w:r>
            <w:r w:rsidRPr="002E6B69">
              <w:rPr>
                <w:kern w:val="0"/>
              </w:rPr>
              <w:t>(7647-01-0)</w:t>
            </w:r>
          </w:p>
        </w:tc>
        <w:tc>
          <w:tcPr>
            <w:tcW w:w="1620" w:type="dxa"/>
            <w:tcBorders>
              <w:top w:val="single" w:sz="6" w:space="0" w:color="000000"/>
              <w:left w:val="single" w:sz="6" w:space="0" w:color="000000"/>
              <w:bottom w:val="single" w:sz="6" w:space="0" w:color="000000"/>
              <w:right w:val="single" w:sz="6" w:space="0" w:color="000000"/>
            </w:tcBorders>
            <w:vAlign w:val="center"/>
          </w:tcPr>
          <w:p w14:paraId="6A5B7B3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52936032"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ADE4F3A"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D9267F2" w14:textId="77777777" w:rsidR="00E91AE1" w:rsidRPr="002E6B69" w:rsidRDefault="00E91AE1" w:rsidP="001D2CEB">
            <w:r w:rsidRPr="002E6B69">
              <w:rPr>
                <w:kern w:val="0"/>
              </w:rPr>
              <w:t>0.7</w:t>
            </w:r>
          </w:p>
        </w:tc>
      </w:tr>
      <w:tr w:rsidR="00E91AE1" w:rsidRPr="002E6B69" w14:paraId="4AE41A6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B813A7B" w14:textId="77777777" w:rsidR="00E91AE1" w:rsidRPr="002E6B69" w:rsidRDefault="00E91AE1" w:rsidP="001D2CEB">
            <w:r w:rsidRPr="002E6B69">
              <w:rPr>
                <w:kern w:val="0"/>
              </w:rPr>
              <w:t>hydrogen cyanide (74-90-8)</w:t>
            </w:r>
          </w:p>
        </w:tc>
        <w:tc>
          <w:tcPr>
            <w:tcW w:w="1620" w:type="dxa"/>
            <w:tcBorders>
              <w:top w:val="single" w:sz="6" w:space="0" w:color="000000"/>
              <w:left w:val="single" w:sz="6" w:space="0" w:color="000000"/>
              <w:bottom w:val="single" w:sz="6" w:space="0" w:color="000000"/>
              <w:right w:val="single" w:sz="6" w:space="0" w:color="000000"/>
            </w:tcBorders>
            <w:vAlign w:val="center"/>
          </w:tcPr>
          <w:p w14:paraId="77AD3AE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BB98EED" w14:textId="77777777" w:rsidR="00E91AE1" w:rsidRPr="002E6B69" w:rsidRDefault="00E91AE1" w:rsidP="001D2CEB">
            <w:r w:rsidRPr="002E6B69">
              <w:rPr>
                <w:kern w:val="0"/>
              </w:rPr>
              <w:t>0.14</w:t>
            </w:r>
          </w:p>
        </w:tc>
        <w:tc>
          <w:tcPr>
            <w:tcW w:w="1305" w:type="dxa"/>
            <w:tcBorders>
              <w:top w:val="single" w:sz="6" w:space="0" w:color="000000"/>
              <w:left w:val="single" w:sz="6" w:space="0" w:color="000000"/>
              <w:bottom w:val="single" w:sz="6" w:space="0" w:color="000000"/>
              <w:right w:val="single" w:sz="6" w:space="0" w:color="000000"/>
            </w:tcBorders>
            <w:vAlign w:val="center"/>
          </w:tcPr>
          <w:p w14:paraId="28AD003A" w14:textId="77777777" w:rsidR="00E91AE1" w:rsidRPr="002E6B69" w:rsidRDefault="00E91AE1" w:rsidP="001D2CEB">
            <w:r w:rsidRPr="002E6B69">
              <w:rPr>
                <w:kern w:val="0"/>
              </w:rPr>
              <w:t>1.1</w:t>
            </w:r>
          </w:p>
        </w:tc>
        <w:tc>
          <w:tcPr>
            <w:tcW w:w="1170" w:type="dxa"/>
            <w:tcBorders>
              <w:top w:val="single" w:sz="6" w:space="0" w:color="000000"/>
              <w:left w:val="single" w:sz="6" w:space="0" w:color="000000"/>
              <w:bottom w:val="single" w:sz="6" w:space="0" w:color="000000"/>
              <w:right w:val="single" w:sz="6" w:space="0" w:color="000000"/>
            </w:tcBorders>
            <w:vAlign w:val="center"/>
          </w:tcPr>
          <w:p w14:paraId="0FEE7AA7" w14:textId="77777777" w:rsidR="00E91AE1" w:rsidRPr="002E6B69" w:rsidRDefault="00E91AE1" w:rsidP="001D2CEB">
            <w:pPr>
              <w:pStyle w:val="Base"/>
            </w:pPr>
          </w:p>
        </w:tc>
      </w:tr>
      <w:tr w:rsidR="00E91AE1" w:rsidRPr="002E6B69" w14:paraId="6A95E53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BD4E08B" w14:textId="77777777" w:rsidR="00E91AE1" w:rsidRPr="002E6B69" w:rsidRDefault="00E91AE1" w:rsidP="001D2CEB">
            <w:r w:rsidRPr="002E6B69">
              <w:rPr>
                <w:kern w:val="0"/>
              </w:rPr>
              <w:t>hydrogen fluoride</w:t>
            </w:r>
            <w:r>
              <w:rPr>
                <w:kern w:val="0"/>
              </w:rPr>
              <w:t xml:space="preserve"> </w:t>
            </w:r>
            <w:r w:rsidRPr="002E6B69">
              <w:rPr>
                <w:kern w:val="0"/>
              </w:rPr>
              <w:t>(7664-39-3)</w:t>
            </w:r>
          </w:p>
        </w:tc>
        <w:tc>
          <w:tcPr>
            <w:tcW w:w="1620" w:type="dxa"/>
            <w:tcBorders>
              <w:top w:val="single" w:sz="6" w:space="0" w:color="000000"/>
              <w:left w:val="single" w:sz="6" w:space="0" w:color="000000"/>
              <w:bottom w:val="single" w:sz="6" w:space="0" w:color="000000"/>
              <w:right w:val="single" w:sz="6" w:space="0" w:color="000000"/>
            </w:tcBorders>
            <w:vAlign w:val="center"/>
          </w:tcPr>
          <w:p w14:paraId="20B6FE2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740E6DA" w14:textId="77777777" w:rsidR="00E91AE1" w:rsidRPr="002E6B69" w:rsidRDefault="00E91AE1" w:rsidP="001D2CEB">
            <w:r w:rsidRPr="002E6B69">
              <w:rPr>
                <w:kern w:val="0"/>
              </w:rPr>
              <w:t>0.03</w:t>
            </w:r>
          </w:p>
        </w:tc>
        <w:tc>
          <w:tcPr>
            <w:tcW w:w="1305" w:type="dxa"/>
            <w:tcBorders>
              <w:top w:val="single" w:sz="6" w:space="0" w:color="000000"/>
              <w:left w:val="single" w:sz="6" w:space="0" w:color="000000"/>
              <w:bottom w:val="single" w:sz="6" w:space="0" w:color="000000"/>
              <w:right w:val="single" w:sz="6" w:space="0" w:color="000000"/>
            </w:tcBorders>
            <w:vAlign w:val="center"/>
          </w:tcPr>
          <w:p w14:paraId="7FE4F40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0D72077C" w14:textId="77777777" w:rsidR="00E91AE1" w:rsidRPr="002E6B69" w:rsidRDefault="00E91AE1" w:rsidP="001D2CEB">
            <w:r w:rsidRPr="002E6B69">
              <w:rPr>
                <w:kern w:val="0"/>
              </w:rPr>
              <w:t>0.25</w:t>
            </w:r>
          </w:p>
        </w:tc>
      </w:tr>
      <w:tr w:rsidR="00E91AE1" w:rsidRPr="002E6B69" w14:paraId="7410B4C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386EED5" w14:textId="77777777" w:rsidR="00E91AE1" w:rsidRPr="002E6B69" w:rsidRDefault="00E91AE1" w:rsidP="001D2CEB">
            <w:r w:rsidRPr="002E6B69">
              <w:rPr>
                <w:kern w:val="0"/>
              </w:rPr>
              <w:t>hydrogen sulfide</w:t>
            </w:r>
            <w:r>
              <w:rPr>
                <w:kern w:val="0"/>
              </w:rPr>
              <w:t xml:space="preserve"> </w:t>
            </w:r>
            <w:r w:rsidRPr="002E6B69">
              <w:rPr>
                <w:kern w:val="0"/>
              </w:rPr>
              <w:t>(7783-06-4)</w:t>
            </w:r>
          </w:p>
        </w:tc>
        <w:tc>
          <w:tcPr>
            <w:tcW w:w="1620" w:type="dxa"/>
            <w:tcBorders>
              <w:top w:val="single" w:sz="6" w:space="0" w:color="000000"/>
              <w:left w:val="single" w:sz="6" w:space="0" w:color="000000"/>
              <w:bottom w:val="single" w:sz="6" w:space="0" w:color="000000"/>
              <w:right w:val="single" w:sz="6" w:space="0" w:color="000000"/>
            </w:tcBorders>
            <w:vAlign w:val="center"/>
          </w:tcPr>
          <w:p w14:paraId="3A852D48" w14:textId="77777777" w:rsidR="00E91AE1" w:rsidRPr="002E6B69" w:rsidRDefault="00E91AE1" w:rsidP="001D2CEB">
            <w:pPr>
              <w:pStyle w:val="Base"/>
            </w:pPr>
          </w:p>
        </w:tc>
        <w:tc>
          <w:tcPr>
            <w:tcW w:w="1305" w:type="dxa"/>
            <w:tcBorders>
              <w:top w:val="single" w:sz="6" w:space="0" w:color="000000"/>
              <w:left w:val="single" w:sz="6" w:space="0" w:color="000000"/>
              <w:bottom w:val="single" w:sz="8" w:space="0" w:color="000000"/>
              <w:right w:val="single" w:sz="6" w:space="0" w:color="000000"/>
            </w:tcBorders>
            <w:vAlign w:val="center"/>
          </w:tcPr>
          <w:p w14:paraId="2226FD13" w14:textId="77777777" w:rsidR="00E91AE1" w:rsidRPr="002E6B69" w:rsidRDefault="00E91AE1" w:rsidP="001D2CEB">
            <w:r w:rsidRPr="002E6B69">
              <w:rPr>
                <w:kern w:val="0"/>
              </w:rPr>
              <w:t>0.12</w:t>
            </w:r>
          </w:p>
        </w:tc>
        <w:tc>
          <w:tcPr>
            <w:tcW w:w="1305" w:type="dxa"/>
            <w:tcBorders>
              <w:top w:val="single" w:sz="6" w:space="0" w:color="000000"/>
              <w:left w:val="single" w:sz="6" w:space="0" w:color="000000"/>
              <w:bottom w:val="single" w:sz="6" w:space="0" w:color="000000"/>
              <w:right w:val="single" w:sz="6" w:space="0" w:color="000000"/>
            </w:tcBorders>
            <w:vAlign w:val="center"/>
          </w:tcPr>
          <w:p w14:paraId="4CC7742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AC0DDFB" w14:textId="77777777" w:rsidR="00E91AE1" w:rsidRPr="002E6B69" w:rsidRDefault="00E91AE1" w:rsidP="001D2CEB">
            <w:pPr>
              <w:pStyle w:val="Base"/>
            </w:pPr>
          </w:p>
        </w:tc>
      </w:tr>
      <w:tr w:rsidR="00E91AE1" w:rsidRPr="002E6B69" w14:paraId="0A7011AB" w14:textId="77777777" w:rsidTr="001D2CEB">
        <w:tc>
          <w:tcPr>
            <w:tcW w:w="3420" w:type="dxa"/>
            <w:tcBorders>
              <w:top w:val="single" w:sz="8" w:space="0" w:color="000000"/>
              <w:left w:val="single" w:sz="6" w:space="0" w:color="000000"/>
              <w:bottom w:val="single" w:sz="6" w:space="0" w:color="000000"/>
              <w:right w:val="single" w:sz="6" w:space="0" w:color="000000"/>
            </w:tcBorders>
          </w:tcPr>
          <w:p w14:paraId="3FF44B40" w14:textId="77777777" w:rsidR="00E91AE1" w:rsidRPr="002E6B69" w:rsidRDefault="00E91AE1" w:rsidP="001D2CEB">
            <w:r w:rsidRPr="002E6B69">
              <w:rPr>
                <w:kern w:val="0"/>
              </w:rPr>
              <w:t>maleic anhydride</w:t>
            </w:r>
            <w:r>
              <w:rPr>
                <w:kern w:val="0"/>
              </w:rPr>
              <w:t xml:space="preserve"> </w:t>
            </w:r>
            <w:r w:rsidRPr="002E6B69">
              <w:rPr>
                <w:kern w:val="0"/>
              </w:rPr>
              <w:t>(108-31-6)</w:t>
            </w:r>
          </w:p>
        </w:tc>
        <w:tc>
          <w:tcPr>
            <w:tcW w:w="1620" w:type="dxa"/>
            <w:tcBorders>
              <w:top w:val="single" w:sz="6" w:space="0" w:color="000000"/>
              <w:left w:val="single" w:sz="6" w:space="0" w:color="000000"/>
              <w:bottom w:val="single" w:sz="6" w:space="0" w:color="000000"/>
              <w:right w:val="single" w:sz="6" w:space="0" w:color="000000"/>
            </w:tcBorders>
            <w:vAlign w:val="center"/>
          </w:tcPr>
          <w:p w14:paraId="19F7B3FD" w14:textId="77777777" w:rsidR="00E91AE1" w:rsidRPr="002E6B69" w:rsidRDefault="00E91AE1" w:rsidP="001D2CEB">
            <w:pPr>
              <w:pStyle w:val="Base"/>
            </w:pPr>
          </w:p>
        </w:tc>
        <w:tc>
          <w:tcPr>
            <w:tcW w:w="1305" w:type="dxa"/>
            <w:tcBorders>
              <w:top w:val="single" w:sz="8" w:space="0" w:color="000000"/>
              <w:left w:val="single" w:sz="6" w:space="0" w:color="000000"/>
              <w:bottom w:val="single" w:sz="6" w:space="0" w:color="000000"/>
              <w:right w:val="single" w:sz="6" w:space="0" w:color="000000"/>
            </w:tcBorders>
            <w:vAlign w:val="center"/>
          </w:tcPr>
          <w:p w14:paraId="4EC0AD4D" w14:textId="77777777" w:rsidR="00E91AE1" w:rsidRPr="002E6B69" w:rsidRDefault="00E91AE1" w:rsidP="001D2CEB">
            <w:r w:rsidRPr="002E6B69">
              <w:rPr>
                <w:kern w:val="0"/>
              </w:rPr>
              <w:t>0.012</w:t>
            </w:r>
          </w:p>
        </w:tc>
        <w:tc>
          <w:tcPr>
            <w:tcW w:w="1305" w:type="dxa"/>
            <w:tcBorders>
              <w:top w:val="single" w:sz="8" w:space="0" w:color="000000"/>
              <w:left w:val="single" w:sz="6" w:space="0" w:color="000000"/>
              <w:bottom w:val="single" w:sz="6" w:space="0" w:color="000000"/>
              <w:right w:val="single" w:sz="6" w:space="0" w:color="000000"/>
            </w:tcBorders>
            <w:vAlign w:val="center"/>
          </w:tcPr>
          <w:p w14:paraId="50C54C3F" w14:textId="77777777" w:rsidR="00E91AE1" w:rsidRPr="002E6B69" w:rsidRDefault="00E91AE1" w:rsidP="001D2CEB">
            <w:r w:rsidRPr="002E6B69">
              <w:rPr>
                <w:kern w:val="0"/>
              </w:rPr>
              <w:t>0.1</w:t>
            </w:r>
          </w:p>
        </w:tc>
        <w:tc>
          <w:tcPr>
            <w:tcW w:w="1170" w:type="dxa"/>
            <w:tcBorders>
              <w:top w:val="single" w:sz="6" w:space="0" w:color="000000"/>
              <w:left w:val="single" w:sz="6" w:space="0" w:color="000000"/>
              <w:bottom w:val="single" w:sz="6" w:space="0" w:color="000000"/>
              <w:right w:val="single" w:sz="6" w:space="0" w:color="000000"/>
            </w:tcBorders>
            <w:vAlign w:val="center"/>
          </w:tcPr>
          <w:p w14:paraId="3C0AEE98" w14:textId="77777777" w:rsidR="00E91AE1" w:rsidRPr="002E6B69" w:rsidRDefault="00E91AE1" w:rsidP="001D2CEB">
            <w:pPr>
              <w:pStyle w:val="Base"/>
            </w:pPr>
          </w:p>
        </w:tc>
      </w:tr>
      <w:tr w:rsidR="00E91AE1" w:rsidRPr="002E6B69" w14:paraId="14766D9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8627570" w14:textId="77777777" w:rsidR="00E91AE1" w:rsidRPr="002E6B69" w:rsidRDefault="00E91AE1" w:rsidP="001D2CEB">
            <w:r w:rsidRPr="002E6B69">
              <w:rPr>
                <w:kern w:val="0"/>
              </w:rPr>
              <w:t>manganese and 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443FF28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447D84B" w14:textId="77777777" w:rsidR="00E91AE1" w:rsidRPr="002E6B69" w:rsidRDefault="00E91AE1" w:rsidP="001D2CEB">
            <w:r w:rsidRPr="002E6B69">
              <w:rPr>
                <w:kern w:val="0"/>
              </w:rPr>
              <w:t>0.031</w:t>
            </w:r>
          </w:p>
        </w:tc>
        <w:tc>
          <w:tcPr>
            <w:tcW w:w="1305" w:type="dxa"/>
            <w:tcBorders>
              <w:top w:val="single" w:sz="6" w:space="0" w:color="000000"/>
              <w:left w:val="single" w:sz="6" w:space="0" w:color="000000"/>
              <w:bottom w:val="single" w:sz="6" w:space="0" w:color="000000"/>
              <w:right w:val="single" w:sz="6" w:space="0" w:color="000000"/>
            </w:tcBorders>
            <w:vAlign w:val="center"/>
          </w:tcPr>
          <w:p w14:paraId="33419861"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67F80A0" w14:textId="77777777" w:rsidR="00E91AE1" w:rsidRPr="002E6B69" w:rsidRDefault="00E91AE1" w:rsidP="001D2CEB">
            <w:pPr>
              <w:pStyle w:val="Base"/>
            </w:pPr>
          </w:p>
        </w:tc>
      </w:tr>
      <w:tr w:rsidR="00E91AE1" w:rsidRPr="002E6B69" w14:paraId="790BE32B"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E571040" w14:textId="77777777" w:rsidR="00E91AE1" w:rsidRPr="002E6B69" w:rsidRDefault="00E91AE1" w:rsidP="001D2CEB">
            <w:r w:rsidRPr="002E6B69">
              <w:rPr>
                <w:kern w:val="0"/>
              </w:rPr>
              <w:t>manganese cyclopentadienyl tricarbonyl (12079-65-1)</w:t>
            </w:r>
          </w:p>
        </w:tc>
        <w:tc>
          <w:tcPr>
            <w:tcW w:w="1620" w:type="dxa"/>
            <w:tcBorders>
              <w:top w:val="single" w:sz="6" w:space="0" w:color="000000"/>
              <w:left w:val="single" w:sz="6" w:space="0" w:color="000000"/>
              <w:bottom w:val="single" w:sz="6" w:space="0" w:color="000000"/>
              <w:right w:val="single" w:sz="6" w:space="0" w:color="000000"/>
            </w:tcBorders>
            <w:vAlign w:val="center"/>
          </w:tcPr>
          <w:p w14:paraId="0D172B4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CE466A9"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714344BF"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CB14E0B" w14:textId="77777777" w:rsidR="00E91AE1" w:rsidRPr="002E6B69" w:rsidRDefault="00E91AE1" w:rsidP="001D2CEB">
            <w:pPr>
              <w:pStyle w:val="Base"/>
            </w:pPr>
          </w:p>
        </w:tc>
      </w:tr>
      <w:tr w:rsidR="00E91AE1" w:rsidRPr="002E6B69" w14:paraId="53C681F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816ED65" w14:textId="77777777" w:rsidR="00E91AE1" w:rsidRPr="002E6B69" w:rsidRDefault="00E91AE1" w:rsidP="001D2CEB">
            <w:r w:rsidRPr="002E6B69">
              <w:rPr>
                <w:kern w:val="0"/>
              </w:rPr>
              <w:t>manganese tetroxide (1317-35-7)</w:t>
            </w:r>
          </w:p>
        </w:tc>
        <w:tc>
          <w:tcPr>
            <w:tcW w:w="1620" w:type="dxa"/>
            <w:tcBorders>
              <w:top w:val="single" w:sz="6" w:space="0" w:color="000000"/>
              <w:left w:val="single" w:sz="6" w:space="0" w:color="000000"/>
              <w:bottom w:val="single" w:sz="6" w:space="0" w:color="000000"/>
              <w:right w:val="single" w:sz="6" w:space="0" w:color="000000"/>
            </w:tcBorders>
            <w:vAlign w:val="center"/>
          </w:tcPr>
          <w:p w14:paraId="029E107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4E95CE0" w14:textId="77777777" w:rsidR="00E91AE1" w:rsidRPr="002E6B69" w:rsidRDefault="00E91AE1" w:rsidP="001D2CEB">
            <w:r w:rsidRPr="002E6B69">
              <w:rPr>
                <w:kern w:val="0"/>
              </w:rPr>
              <w:t>0.0062</w:t>
            </w:r>
          </w:p>
        </w:tc>
        <w:tc>
          <w:tcPr>
            <w:tcW w:w="1305" w:type="dxa"/>
            <w:tcBorders>
              <w:top w:val="single" w:sz="6" w:space="0" w:color="000000"/>
              <w:left w:val="single" w:sz="6" w:space="0" w:color="000000"/>
              <w:bottom w:val="single" w:sz="6" w:space="0" w:color="000000"/>
              <w:right w:val="single" w:sz="6" w:space="0" w:color="000000"/>
            </w:tcBorders>
            <w:vAlign w:val="center"/>
          </w:tcPr>
          <w:p w14:paraId="079CBC19"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22E8B077" w14:textId="77777777" w:rsidR="00E91AE1" w:rsidRPr="002E6B69" w:rsidRDefault="00E91AE1" w:rsidP="001D2CEB">
            <w:pPr>
              <w:pStyle w:val="Base"/>
            </w:pPr>
          </w:p>
        </w:tc>
      </w:tr>
      <w:tr w:rsidR="00E91AE1" w:rsidRPr="002E6B69" w14:paraId="30930EB0"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1742D7C" w14:textId="77777777" w:rsidR="00E91AE1" w:rsidRPr="002E6B69" w:rsidRDefault="00E91AE1" w:rsidP="001D2CEB">
            <w:r w:rsidRPr="002E6B69">
              <w:rPr>
                <w:kern w:val="0"/>
              </w:rPr>
              <w:t xml:space="preserve">mercury, alkyl </w:t>
            </w:r>
          </w:p>
        </w:tc>
        <w:tc>
          <w:tcPr>
            <w:tcW w:w="1620" w:type="dxa"/>
            <w:tcBorders>
              <w:top w:val="single" w:sz="6" w:space="0" w:color="000000"/>
              <w:left w:val="single" w:sz="6" w:space="0" w:color="000000"/>
              <w:bottom w:val="single" w:sz="6" w:space="0" w:color="000000"/>
              <w:right w:val="single" w:sz="6" w:space="0" w:color="000000"/>
            </w:tcBorders>
            <w:vAlign w:val="center"/>
          </w:tcPr>
          <w:p w14:paraId="6101983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539F364" w14:textId="77777777" w:rsidR="00E91AE1" w:rsidRPr="002E6B69" w:rsidRDefault="00E91AE1" w:rsidP="001D2CEB">
            <w:r w:rsidRPr="002E6B69">
              <w:rPr>
                <w:kern w:val="0"/>
              </w:rPr>
              <w:t>0.00006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6B3B0E1B"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3990649" w14:textId="77777777" w:rsidR="00E91AE1" w:rsidRPr="002E6B69" w:rsidRDefault="00E91AE1" w:rsidP="001D2CEB">
            <w:pPr>
              <w:pStyle w:val="Base"/>
            </w:pPr>
          </w:p>
        </w:tc>
      </w:tr>
      <w:tr w:rsidR="00E91AE1" w:rsidRPr="002E6B69" w14:paraId="4E7B6AF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4A74C8F" w14:textId="77777777" w:rsidR="00E91AE1" w:rsidRPr="002E6B69" w:rsidRDefault="00E91AE1" w:rsidP="001D2CEB">
            <w:r w:rsidRPr="002E6B69">
              <w:rPr>
                <w:kern w:val="0"/>
              </w:rPr>
              <w:t>mercury, aryl and inorganic compounds</w:t>
            </w:r>
          </w:p>
        </w:tc>
        <w:tc>
          <w:tcPr>
            <w:tcW w:w="1620" w:type="dxa"/>
            <w:tcBorders>
              <w:top w:val="single" w:sz="6" w:space="0" w:color="000000"/>
              <w:left w:val="single" w:sz="6" w:space="0" w:color="000000"/>
              <w:bottom w:val="single" w:sz="6" w:space="0" w:color="000000"/>
              <w:right w:val="single" w:sz="6" w:space="0" w:color="000000"/>
            </w:tcBorders>
            <w:vAlign w:val="center"/>
          </w:tcPr>
          <w:p w14:paraId="7130BC8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75BD51D2"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7AF8C9EA"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567141D" w14:textId="77777777" w:rsidR="00E91AE1" w:rsidRPr="002E6B69" w:rsidRDefault="00E91AE1" w:rsidP="001D2CEB">
            <w:pPr>
              <w:pStyle w:val="Base"/>
            </w:pPr>
          </w:p>
        </w:tc>
      </w:tr>
      <w:tr w:rsidR="00E91AE1" w:rsidRPr="002E6B69" w14:paraId="14E9D06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FC42634" w14:textId="77777777" w:rsidR="00E91AE1" w:rsidRPr="002E6B69" w:rsidRDefault="00E91AE1" w:rsidP="001D2CEB">
            <w:r w:rsidRPr="002E6B69">
              <w:rPr>
                <w:kern w:val="0"/>
              </w:rPr>
              <w:t>mercury, vapor (7439-97-6)</w:t>
            </w:r>
          </w:p>
        </w:tc>
        <w:tc>
          <w:tcPr>
            <w:tcW w:w="1620" w:type="dxa"/>
            <w:tcBorders>
              <w:top w:val="single" w:sz="6" w:space="0" w:color="000000"/>
              <w:left w:val="single" w:sz="6" w:space="0" w:color="000000"/>
              <w:bottom w:val="single" w:sz="6" w:space="0" w:color="000000"/>
              <w:right w:val="single" w:sz="6" w:space="0" w:color="000000"/>
            </w:tcBorders>
            <w:vAlign w:val="center"/>
          </w:tcPr>
          <w:p w14:paraId="52FA7ED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EE1ECBA"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6C4392DB"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765BBFD" w14:textId="77777777" w:rsidR="00E91AE1" w:rsidRPr="002E6B69" w:rsidRDefault="00E91AE1" w:rsidP="001D2CEB">
            <w:pPr>
              <w:pStyle w:val="Base"/>
            </w:pPr>
          </w:p>
        </w:tc>
      </w:tr>
      <w:tr w:rsidR="00E91AE1" w:rsidRPr="002E6B69" w14:paraId="432C3DF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8ED8E48" w14:textId="77777777" w:rsidR="00E91AE1" w:rsidRPr="002E6B69" w:rsidRDefault="00E91AE1" w:rsidP="001D2CEB">
            <w:pPr>
              <w:pStyle w:val="Base"/>
            </w:pPr>
            <w:r w:rsidRPr="002E6B69">
              <w:rPr>
                <w:u w:val="single"/>
              </w:rPr>
              <w:t>methyl bromide (74-83-9)</w:t>
            </w:r>
          </w:p>
          <w:p w14:paraId="7C785232" w14:textId="77777777" w:rsidR="00E91AE1" w:rsidRPr="002E6B69" w:rsidRDefault="00E91AE1" w:rsidP="001D2CEB">
            <w:pPr>
              <w:pStyle w:val="Base"/>
            </w:pPr>
            <w:r w:rsidRPr="002E6B69">
              <w:rPr>
                <w:u w:val="single"/>
              </w:rPr>
              <w:t>Option 1</w:t>
            </w:r>
          </w:p>
          <w:p w14:paraId="2EF6338A" w14:textId="77777777" w:rsidR="00E91AE1" w:rsidRPr="002E6B69" w:rsidRDefault="00E91AE1" w:rsidP="001D2CEB">
            <w:pPr>
              <w:pStyle w:val="Base"/>
            </w:pPr>
            <w:r w:rsidRPr="002E6B69">
              <w:rPr>
                <w:u w:val="single"/>
              </w:rPr>
              <w:t>Option 2</w:t>
            </w:r>
          </w:p>
          <w:p w14:paraId="3623F3D9" w14:textId="77777777" w:rsidR="00E91AE1" w:rsidRPr="002E6B69" w:rsidRDefault="00E91AE1" w:rsidP="001D2CEB">
            <w:r w:rsidRPr="002E6B69">
              <w:rPr>
                <w:kern w:val="0"/>
                <w:u w:val="single"/>
              </w:rPr>
              <w:t>Option 3</w:t>
            </w:r>
          </w:p>
        </w:tc>
        <w:tc>
          <w:tcPr>
            <w:tcW w:w="1620" w:type="dxa"/>
            <w:tcBorders>
              <w:top w:val="single" w:sz="6" w:space="0" w:color="000000"/>
              <w:left w:val="single" w:sz="6" w:space="0" w:color="000000"/>
              <w:bottom w:val="single" w:sz="6" w:space="0" w:color="000000"/>
              <w:right w:val="single" w:sz="6" w:space="0" w:color="000000"/>
            </w:tcBorders>
            <w:vAlign w:val="center"/>
          </w:tcPr>
          <w:p w14:paraId="1C4EA6F3" w14:textId="77777777" w:rsidR="00E91AE1" w:rsidRDefault="00E91AE1" w:rsidP="001D2CEB">
            <w:pPr>
              <w:pStyle w:val="Base"/>
            </w:pPr>
          </w:p>
          <w:p w14:paraId="106766F6" w14:textId="77777777" w:rsidR="00E91AE1" w:rsidRDefault="00E91AE1" w:rsidP="001D2CEB">
            <w:pPr>
              <w:pStyle w:val="Base"/>
            </w:pPr>
          </w:p>
          <w:p w14:paraId="69E5A50F" w14:textId="77777777" w:rsidR="00E91AE1" w:rsidRPr="002E6B69" w:rsidRDefault="00E91AE1" w:rsidP="001D2CEB">
            <w:r w:rsidRPr="002E6B69">
              <w:rPr>
                <w:kern w:val="0"/>
                <w:u w:val="single"/>
              </w:rPr>
              <w:t>0.005</w:t>
            </w:r>
            <w:r w:rsidRPr="002E6B69">
              <w:rPr>
                <w:kern w:val="0"/>
                <w:u w:val="single"/>
                <w:vertAlign w:val="superscript"/>
              </w:rPr>
              <w:t>a</w:t>
            </w:r>
          </w:p>
        </w:tc>
        <w:tc>
          <w:tcPr>
            <w:tcW w:w="1305" w:type="dxa"/>
            <w:tcBorders>
              <w:top w:val="single" w:sz="6" w:space="0" w:color="000000"/>
              <w:left w:val="single" w:sz="6" w:space="0" w:color="000000"/>
              <w:bottom w:val="single" w:sz="6" w:space="0" w:color="000000"/>
              <w:right w:val="single" w:sz="6" w:space="0" w:color="000000"/>
            </w:tcBorders>
            <w:vAlign w:val="center"/>
          </w:tcPr>
          <w:p w14:paraId="29FA2B69" w14:textId="77777777" w:rsidR="00E91AE1" w:rsidRPr="002E6B69" w:rsidRDefault="00E91AE1" w:rsidP="001D2CEB">
            <w:pPr>
              <w:pStyle w:val="Base"/>
            </w:pPr>
          </w:p>
          <w:p w14:paraId="7D601164" w14:textId="77777777" w:rsidR="00E91AE1" w:rsidRPr="002E6B69" w:rsidRDefault="00E91AE1" w:rsidP="001D2CEB">
            <w:pPr>
              <w:pStyle w:val="Base"/>
            </w:pPr>
            <w:r w:rsidRPr="002E6B69">
              <w:rPr>
                <w:u w:val="single"/>
              </w:rPr>
              <w:t>0.005</w:t>
            </w:r>
          </w:p>
          <w:p w14:paraId="698816A5" w14:textId="77777777" w:rsidR="00E91AE1" w:rsidRPr="002E6B69" w:rsidRDefault="00E91AE1" w:rsidP="001D2CEB">
            <w:pPr>
              <w:pStyle w:val="Base"/>
            </w:pPr>
            <w:r w:rsidRPr="002E6B69">
              <w:rPr>
                <w:u w:val="single"/>
              </w:rPr>
              <w:t>0.078</w:t>
            </w:r>
          </w:p>
          <w:p w14:paraId="24D9B8BF" w14:textId="77777777" w:rsidR="00E91AE1" w:rsidRPr="002E6B69" w:rsidRDefault="00E91AE1" w:rsidP="001D2CEB">
            <w:r w:rsidRPr="002E6B69">
              <w:rPr>
                <w:kern w:val="0"/>
                <w:u w:val="single"/>
              </w:rPr>
              <w:t>0.078</w:t>
            </w:r>
          </w:p>
        </w:tc>
        <w:tc>
          <w:tcPr>
            <w:tcW w:w="1305" w:type="dxa"/>
            <w:tcBorders>
              <w:top w:val="single" w:sz="6" w:space="0" w:color="000000"/>
              <w:left w:val="single" w:sz="6" w:space="0" w:color="000000"/>
              <w:bottom w:val="single" w:sz="6" w:space="0" w:color="000000"/>
              <w:right w:val="single" w:sz="6" w:space="0" w:color="000000"/>
            </w:tcBorders>
            <w:vAlign w:val="center"/>
          </w:tcPr>
          <w:p w14:paraId="4F913414"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087C20E" w14:textId="77777777" w:rsidR="00E91AE1" w:rsidRPr="002E6B69" w:rsidRDefault="00E91AE1" w:rsidP="001D2CEB">
            <w:pPr>
              <w:pStyle w:val="Base"/>
            </w:pPr>
          </w:p>
        </w:tc>
      </w:tr>
      <w:tr w:rsidR="00E91AE1" w:rsidRPr="002E6B69" w14:paraId="52F89A8B"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135142DC" w14:textId="77777777" w:rsidR="00E91AE1" w:rsidRPr="002E6B69" w:rsidRDefault="00E91AE1" w:rsidP="001D2CEB">
            <w:r w:rsidRPr="002E6B69">
              <w:rPr>
                <w:kern w:val="0"/>
              </w:rPr>
              <w:t>methyl chloroform (71-55-6)</w:t>
            </w:r>
          </w:p>
        </w:tc>
        <w:tc>
          <w:tcPr>
            <w:tcW w:w="1620" w:type="dxa"/>
            <w:tcBorders>
              <w:top w:val="single" w:sz="6" w:space="0" w:color="000000"/>
              <w:left w:val="single" w:sz="6" w:space="0" w:color="000000"/>
              <w:bottom w:val="single" w:sz="6" w:space="0" w:color="000000"/>
              <w:right w:val="single" w:sz="6" w:space="0" w:color="000000"/>
            </w:tcBorders>
            <w:vAlign w:val="center"/>
          </w:tcPr>
          <w:p w14:paraId="2F7EB28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A931519" w14:textId="77777777" w:rsidR="00E91AE1" w:rsidRPr="002E6B69" w:rsidRDefault="00E91AE1" w:rsidP="001D2CEB">
            <w:r w:rsidRPr="002E6B69">
              <w:rPr>
                <w:kern w:val="0"/>
              </w:rPr>
              <w:t>12</w:t>
            </w:r>
          </w:p>
        </w:tc>
        <w:tc>
          <w:tcPr>
            <w:tcW w:w="1305" w:type="dxa"/>
            <w:tcBorders>
              <w:top w:val="single" w:sz="6" w:space="0" w:color="000000"/>
              <w:left w:val="single" w:sz="6" w:space="0" w:color="000000"/>
              <w:bottom w:val="single" w:sz="6" w:space="0" w:color="000000"/>
              <w:right w:val="single" w:sz="6" w:space="0" w:color="000000"/>
            </w:tcBorders>
            <w:vAlign w:val="center"/>
          </w:tcPr>
          <w:p w14:paraId="679D1AD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111AFA14" w14:textId="77777777" w:rsidR="00E91AE1" w:rsidRPr="002E6B69" w:rsidRDefault="00E91AE1" w:rsidP="001D2CEB">
            <w:r w:rsidRPr="002E6B69">
              <w:rPr>
                <w:kern w:val="0"/>
              </w:rPr>
              <w:t>245</w:t>
            </w:r>
          </w:p>
        </w:tc>
      </w:tr>
      <w:tr w:rsidR="00E91AE1" w:rsidRPr="002E6B69" w14:paraId="793ECBBE"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64DB910" w14:textId="77777777" w:rsidR="00E91AE1" w:rsidRPr="002E6B69" w:rsidRDefault="00E91AE1" w:rsidP="001D2CEB">
            <w:r w:rsidRPr="002E6B69">
              <w:rPr>
                <w:kern w:val="0"/>
              </w:rPr>
              <w:t>methylene chloride (75-09-2)</w:t>
            </w:r>
          </w:p>
        </w:tc>
        <w:tc>
          <w:tcPr>
            <w:tcW w:w="1620" w:type="dxa"/>
            <w:tcBorders>
              <w:top w:val="single" w:sz="6" w:space="0" w:color="000000"/>
              <w:left w:val="single" w:sz="6" w:space="0" w:color="000000"/>
              <w:bottom w:val="single" w:sz="6" w:space="0" w:color="000000"/>
              <w:right w:val="single" w:sz="6" w:space="0" w:color="000000"/>
            </w:tcBorders>
            <w:vAlign w:val="center"/>
          </w:tcPr>
          <w:p w14:paraId="0EC16A3D" w14:textId="77777777" w:rsidR="00E91AE1" w:rsidRPr="002E6B69" w:rsidRDefault="00E91AE1" w:rsidP="001D2CEB">
            <w:r w:rsidRPr="002E6B69">
              <w:rPr>
                <w:kern w:val="0"/>
              </w:rPr>
              <w:t>2.4 x 10</w:t>
            </w:r>
            <w:r w:rsidRPr="002E6B69">
              <w:rPr>
                <w:kern w:val="0"/>
                <w:vertAlign w:val="superscript"/>
              </w:rPr>
              <w:t>-2</w:t>
            </w:r>
          </w:p>
        </w:tc>
        <w:tc>
          <w:tcPr>
            <w:tcW w:w="1305" w:type="dxa"/>
            <w:tcBorders>
              <w:top w:val="single" w:sz="6" w:space="0" w:color="000000"/>
              <w:left w:val="single" w:sz="6" w:space="0" w:color="000000"/>
              <w:bottom w:val="single" w:sz="6" w:space="0" w:color="000000"/>
              <w:right w:val="single" w:sz="6" w:space="0" w:color="000000"/>
            </w:tcBorders>
            <w:vAlign w:val="center"/>
          </w:tcPr>
          <w:p w14:paraId="2D156E51"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A35F032" w14:textId="77777777" w:rsidR="00E91AE1" w:rsidRPr="002E6B69" w:rsidRDefault="00E91AE1" w:rsidP="001D2CEB">
            <w:r w:rsidRPr="002E6B69">
              <w:rPr>
                <w:kern w:val="0"/>
              </w:rPr>
              <w:t>1.7</w:t>
            </w:r>
          </w:p>
        </w:tc>
        <w:tc>
          <w:tcPr>
            <w:tcW w:w="1170" w:type="dxa"/>
            <w:tcBorders>
              <w:top w:val="single" w:sz="6" w:space="0" w:color="000000"/>
              <w:left w:val="single" w:sz="6" w:space="0" w:color="000000"/>
              <w:bottom w:val="single" w:sz="6" w:space="0" w:color="000000"/>
              <w:right w:val="single" w:sz="6" w:space="0" w:color="000000"/>
            </w:tcBorders>
            <w:vAlign w:val="center"/>
          </w:tcPr>
          <w:p w14:paraId="724C6EAD" w14:textId="77777777" w:rsidR="00E91AE1" w:rsidRPr="002E6B69" w:rsidRDefault="00E91AE1" w:rsidP="001D2CEB">
            <w:pPr>
              <w:pStyle w:val="Base"/>
            </w:pPr>
          </w:p>
        </w:tc>
      </w:tr>
      <w:tr w:rsidR="00E91AE1" w:rsidRPr="002E6B69" w14:paraId="70EA7C1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91B439D" w14:textId="77777777" w:rsidR="00E91AE1" w:rsidRPr="002E6B69" w:rsidRDefault="00E91AE1" w:rsidP="001D2CEB">
            <w:r w:rsidRPr="002E6B69">
              <w:rPr>
                <w:kern w:val="0"/>
              </w:rPr>
              <w:t>methyl ethyl ketone</w:t>
            </w:r>
            <w:r>
              <w:rPr>
                <w:kern w:val="0"/>
              </w:rPr>
              <w:t xml:space="preserve"> </w:t>
            </w:r>
            <w:r w:rsidRPr="002E6B69">
              <w:rPr>
                <w:kern w:val="0"/>
              </w:rPr>
              <w:t>(78-93-3)</w:t>
            </w:r>
          </w:p>
        </w:tc>
        <w:tc>
          <w:tcPr>
            <w:tcW w:w="1620" w:type="dxa"/>
            <w:tcBorders>
              <w:top w:val="single" w:sz="6" w:space="0" w:color="000000"/>
              <w:left w:val="single" w:sz="6" w:space="0" w:color="000000"/>
              <w:bottom w:val="single" w:sz="6" w:space="0" w:color="000000"/>
              <w:right w:val="single" w:sz="6" w:space="0" w:color="000000"/>
            </w:tcBorders>
            <w:vAlign w:val="center"/>
          </w:tcPr>
          <w:p w14:paraId="25FDC72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13CE43BE" w14:textId="77777777" w:rsidR="00E91AE1" w:rsidRPr="002E6B69" w:rsidRDefault="00E91AE1" w:rsidP="001D2CEB">
            <w:r w:rsidRPr="002E6B69">
              <w:rPr>
                <w:kern w:val="0"/>
              </w:rPr>
              <w:t>3.7</w:t>
            </w:r>
          </w:p>
        </w:tc>
        <w:tc>
          <w:tcPr>
            <w:tcW w:w="1305" w:type="dxa"/>
            <w:tcBorders>
              <w:top w:val="single" w:sz="6" w:space="0" w:color="000000"/>
              <w:left w:val="single" w:sz="6" w:space="0" w:color="000000"/>
              <w:bottom w:val="single" w:sz="6" w:space="0" w:color="000000"/>
              <w:right w:val="single" w:sz="6" w:space="0" w:color="000000"/>
            </w:tcBorders>
            <w:vAlign w:val="center"/>
          </w:tcPr>
          <w:p w14:paraId="6B098D5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687F263A" w14:textId="77777777" w:rsidR="00E91AE1" w:rsidRPr="002E6B69" w:rsidRDefault="00E91AE1" w:rsidP="001D2CEB">
            <w:r w:rsidRPr="002E6B69">
              <w:rPr>
                <w:kern w:val="0"/>
              </w:rPr>
              <w:t>88.5</w:t>
            </w:r>
          </w:p>
        </w:tc>
      </w:tr>
      <w:tr w:rsidR="00E91AE1" w:rsidRPr="002E6B69" w14:paraId="73651FCB"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EA8B788" w14:textId="77777777" w:rsidR="00E91AE1" w:rsidRPr="002E6B69" w:rsidRDefault="00E91AE1" w:rsidP="001D2CEB">
            <w:r w:rsidRPr="002E6B69">
              <w:rPr>
                <w:kern w:val="0"/>
              </w:rPr>
              <w:t>methyl isobutyl ketone</w:t>
            </w:r>
            <w:r>
              <w:rPr>
                <w:kern w:val="0"/>
              </w:rPr>
              <w:t xml:space="preserve"> </w:t>
            </w:r>
            <w:r w:rsidRPr="002E6B69">
              <w:rPr>
                <w:kern w:val="0"/>
              </w:rPr>
              <w:t>(108-10-1)</w:t>
            </w:r>
          </w:p>
        </w:tc>
        <w:tc>
          <w:tcPr>
            <w:tcW w:w="1620" w:type="dxa"/>
            <w:tcBorders>
              <w:top w:val="single" w:sz="6" w:space="0" w:color="000000"/>
              <w:left w:val="single" w:sz="6" w:space="0" w:color="000000"/>
              <w:bottom w:val="single" w:sz="6" w:space="0" w:color="000000"/>
              <w:right w:val="single" w:sz="6" w:space="0" w:color="000000"/>
            </w:tcBorders>
            <w:vAlign w:val="center"/>
          </w:tcPr>
          <w:p w14:paraId="5995C96D"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625D3F86" w14:textId="77777777" w:rsidR="00E91AE1" w:rsidRPr="002E6B69" w:rsidRDefault="00E91AE1" w:rsidP="001D2CEB">
            <w:r w:rsidRPr="002E6B69">
              <w:rPr>
                <w:kern w:val="0"/>
              </w:rPr>
              <w:t>2.56</w:t>
            </w:r>
          </w:p>
        </w:tc>
        <w:tc>
          <w:tcPr>
            <w:tcW w:w="1305" w:type="dxa"/>
            <w:tcBorders>
              <w:top w:val="single" w:sz="6" w:space="0" w:color="000000"/>
              <w:left w:val="single" w:sz="6" w:space="0" w:color="000000"/>
              <w:bottom w:val="single" w:sz="6" w:space="0" w:color="000000"/>
              <w:right w:val="single" w:sz="6" w:space="0" w:color="000000"/>
            </w:tcBorders>
            <w:vAlign w:val="center"/>
          </w:tcPr>
          <w:p w14:paraId="2E5AEB38"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70FEA0A0" w14:textId="77777777" w:rsidR="00E91AE1" w:rsidRPr="002E6B69" w:rsidRDefault="00E91AE1" w:rsidP="001D2CEB">
            <w:r w:rsidRPr="002E6B69">
              <w:rPr>
                <w:kern w:val="0"/>
              </w:rPr>
              <w:t>30</w:t>
            </w:r>
          </w:p>
        </w:tc>
      </w:tr>
      <w:tr w:rsidR="00E91AE1" w:rsidRPr="002E6B69" w14:paraId="53467D1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981B0C0" w14:textId="77777777" w:rsidR="00E91AE1" w:rsidRPr="002E6B69" w:rsidRDefault="00E91AE1" w:rsidP="001D2CEB">
            <w:r w:rsidRPr="002E6B69">
              <w:rPr>
                <w:kern w:val="0"/>
              </w:rPr>
              <w:t>methyl mercaptan (74-93-1)</w:t>
            </w:r>
          </w:p>
        </w:tc>
        <w:tc>
          <w:tcPr>
            <w:tcW w:w="1620" w:type="dxa"/>
            <w:tcBorders>
              <w:top w:val="single" w:sz="6" w:space="0" w:color="000000"/>
              <w:left w:val="single" w:sz="6" w:space="0" w:color="000000"/>
              <w:bottom w:val="single" w:sz="6" w:space="0" w:color="000000"/>
              <w:right w:val="single" w:sz="6" w:space="0" w:color="000000"/>
            </w:tcBorders>
            <w:vAlign w:val="center"/>
          </w:tcPr>
          <w:p w14:paraId="4F666EE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7BA1DE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A1A6D1B" w14:textId="77777777" w:rsidR="00E91AE1" w:rsidRPr="002E6B69" w:rsidRDefault="00E91AE1" w:rsidP="001D2CEB">
            <w:r w:rsidRPr="002E6B69">
              <w:rPr>
                <w:kern w:val="0"/>
              </w:rPr>
              <w:t>0.05</w:t>
            </w:r>
          </w:p>
        </w:tc>
        <w:tc>
          <w:tcPr>
            <w:tcW w:w="1170" w:type="dxa"/>
            <w:tcBorders>
              <w:top w:val="single" w:sz="6" w:space="0" w:color="000000"/>
              <w:left w:val="single" w:sz="6" w:space="0" w:color="000000"/>
              <w:bottom w:val="single" w:sz="6" w:space="0" w:color="000000"/>
              <w:right w:val="single" w:sz="6" w:space="0" w:color="000000"/>
            </w:tcBorders>
            <w:vAlign w:val="center"/>
          </w:tcPr>
          <w:p w14:paraId="52D86924" w14:textId="77777777" w:rsidR="00E91AE1" w:rsidRPr="002E6B69" w:rsidRDefault="00E91AE1" w:rsidP="001D2CEB">
            <w:pPr>
              <w:pStyle w:val="Base"/>
            </w:pPr>
          </w:p>
        </w:tc>
      </w:tr>
      <w:tr w:rsidR="00E91AE1" w:rsidRPr="002E6B69" w14:paraId="3734EE1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5239D497" w14:textId="77777777" w:rsidR="00E91AE1" w:rsidRPr="002E6B69" w:rsidRDefault="00E91AE1" w:rsidP="001D2CEB">
            <w:r w:rsidRPr="002E6B69">
              <w:rPr>
                <w:kern w:val="0"/>
              </w:rPr>
              <w:t>nickel carbonyl</w:t>
            </w:r>
            <w:r>
              <w:rPr>
                <w:kern w:val="0"/>
              </w:rPr>
              <w:t xml:space="preserve"> </w:t>
            </w:r>
            <w:r w:rsidRPr="002E6B69">
              <w:rPr>
                <w:kern w:val="0"/>
              </w:rPr>
              <w:t>(13463-39-3)</w:t>
            </w:r>
          </w:p>
        </w:tc>
        <w:tc>
          <w:tcPr>
            <w:tcW w:w="1620" w:type="dxa"/>
            <w:tcBorders>
              <w:top w:val="single" w:sz="6" w:space="0" w:color="000000"/>
              <w:left w:val="single" w:sz="6" w:space="0" w:color="000000"/>
              <w:bottom w:val="single" w:sz="6" w:space="0" w:color="000000"/>
              <w:right w:val="single" w:sz="6" w:space="0" w:color="000000"/>
            </w:tcBorders>
            <w:vAlign w:val="center"/>
          </w:tcPr>
          <w:p w14:paraId="0F9D7AA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7770B52"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1CFA1A8A"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41D8DA21" w14:textId="77777777" w:rsidR="00E91AE1" w:rsidRPr="002E6B69" w:rsidRDefault="00E91AE1" w:rsidP="001D2CEB">
            <w:pPr>
              <w:pStyle w:val="Base"/>
            </w:pPr>
          </w:p>
        </w:tc>
      </w:tr>
      <w:tr w:rsidR="00E91AE1" w:rsidRPr="002E6B69" w14:paraId="765A718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49EDADA" w14:textId="77777777" w:rsidR="00E91AE1" w:rsidRPr="002E6B69" w:rsidRDefault="00E91AE1" w:rsidP="001D2CEB">
            <w:r w:rsidRPr="002E6B69">
              <w:rPr>
                <w:kern w:val="0"/>
              </w:rPr>
              <w:t>nickel metal (7440-02-0)</w:t>
            </w:r>
          </w:p>
        </w:tc>
        <w:tc>
          <w:tcPr>
            <w:tcW w:w="1620" w:type="dxa"/>
            <w:tcBorders>
              <w:top w:val="single" w:sz="6" w:space="0" w:color="000000"/>
              <w:left w:val="single" w:sz="6" w:space="0" w:color="000000"/>
              <w:bottom w:val="single" w:sz="6" w:space="0" w:color="000000"/>
              <w:right w:val="single" w:sz="6" w:space="0" w:color="000000"/>
            </w:tcBorders>
            <w:vAlign w:val="center"/>
          </w:tcPr>
          <w:p w14:paraId="5D3E7F4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41A60629" w14:textId="77777777" w:rsidR="00E91AE1" w:rsidRPr="002E6B69" w:rsidRDefault="00E91AE1" w:rsidP="001D2CEB">
            <w:r w:rsidRPr="002E6B69">
              <w:rPr>
                <w:kern w:val="0"/>
              </w:rPr>
              <w:t>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1947294A"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5A07BFEB" w14:textId="77777777" w:rsidR="00E91AE1" w:rsidRPr="002E6B69" w:rsidRDefault="00E91AE1" w:rsidP="001D2CEB">
            <w:pPr>
              <w:pStyle w:val="Base"/>
            </w:pPr>
          </w:p>
        </w:tc>
      </w:tr>
      <w:tr w:rsidR="00E91AE1" w:rsidRPr="002E6B69" w14:paraId="5F78EAB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6C191F3" w14:textId="77777777" w:rsidR="00E91AE1" w:rsidRPr="002E6B69" w:rsidRDefault="00E91AE1" w:rsidP="001D2CEB">
            <w:r w:rsidRPr="002E6B69">
              <w:rPr>
                <w:kern w:val="0"/>
              </w:rPr>
              <w:t>nickel, soluble compounds, as nickel</w:t>
            </w:r>
          </w:p>
        </w:tc>
        <w:tc>
          <w:tcPr>
            <w:tcW w:w="1620" w:type="dxa"/>
            <w:tcBorders>
              <w:top w:val="single" w:sz="6" w:space="0" w:color="000000"/>
              <w:left w:val="single" w:sz="6" w:space="0" w:color="000000"/>
              <w:bottom w:val="single" w:sz="6" w:space="0" w:color="000000"/>
              <w:right w:val="single" w:sz="6" w:space="0" w:color="000000"/>
            </w:tcBorders>
            <w:vAlign w:val="center"/>
          </w:tcPr>
          <w:p w14:paraId="4B08C55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2A882919" w14:textId="77777777" w:rsidR="00E91AE1" w:rsidRPr="002E6B69" w:rsidRDefault="00E91AE1" w:rsidP="001D2CEB">
            <w:r w:rsidRPr="002E6B69">
              <w:rPr>
                <w:kern w:val="0"/>
              </w:rPr>
              <w:t>0.0006</w:t>
            </w:r>
          </w:p>
        </w:tc>
        <w:tc>
          <w:tcPr>
            <w:tcW w:w="1305" w:type="dxa"/>
            <w:tcBorders>
              <w:top w:val="single" w:sz="6" w:space="0" w:color="000000"/>
              <w:left w:val="single" w:sz="6" w:space="0" w:color="000000"/>
              <w:bottom w:val="single" w:sz="6" w:space="0" w:color="000000"/>
              <w:right w:val="single" w:sz="6" w:space="0" w:color="000000"/>
            </w:tcBorders>
            <w:vAlign w:val="center"/>
          </w:tcPr>
          <w:p w14:paraId="449D7348"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675C6AC5" w14:textId="77777777" w:rsidR="00E91AE1" w:rsidRPr="002E6B69" w:rsidRDefault="00E91AE1" w:rsidP="001D2CEB">
            <w:pPr>
              <w:pStyle w:val="Base"/>
            </w:pPr>
          </w:p>
        </w:tc>
      </w:tr>
      <w:tr w:rsidR="00E91AE1" w:rsidRPr="002E6B69" w14:paraId="4EDA9E8E"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CD0946B" w14:textId="77777777" w:rsidR="00E91AE1" w:rsidRPr="002E6B69" w:rsidRDefault="00E91AE1" w:rsidP="001D2CEB">
            <w:r w:rsidRPr="002E6B69">
              <w:rPr>
                <w:kern w:val="0"/>
              </w:rPr>
              <w:t>nickel subsulfide</w:t>
            </w:r>
            <w:r>
              <w:rPr>
                <w:kern w:val="0"/>
              </w:rPr>
              <w:t xml:space="preserve"> </w:t>
            </w:r>
            <w:r w:rsidRPr="002E6B69">
              <w:rPr>
                <w:kern w:val="0"/>
              </w:rPr>
              <w:t>(12035-72-2)</w:t>
            </w:r>
          </w:p>
        </w:tc>
        <w:tc>
          <w:tcPr>
            <w:tcW w:w="1620" w:type="dxa"/>
            <w:tcBorders>
              <w:top w:val="single" w:sz="6" w:space="0" w:color="000000"/>
              <w:left w:val="single" w:sz="6" w:space="0" w:color="000000"/>
              <w:bottom w:val="single" w:sz="6" w:space="0" w:color="000000"/>
              <w:right w:val="single" w:sz="6" w:space="0" w:color="000000"/>
            </w:tcBorders>
            <w:vAlign w:val="center"/>
          </w:tcPr>
          <w:p w14:paraId="28DA99F9" w14:textId="77777777" w:rsidR="00E91AE1" w:rsidRPr="002E6B69" w:rsidRDefault="00E91AE1" w:rsidP="001D2CEB">
            <w:r w:rsidRPr="002E6B69">
              <w:rPr>
                <w:kern w:val="0"/>
              </w:rPr>
              <w:t>2.1 x 10</w:t>
            </w:r>
            <w:r w:rsidRPr="002E6B69">
              <w:rPr>
                <w:kern w:val="0"/>
                <w:vertAlign w:val="superscript"/>
              </w:rPr>
              <w:t>-6</w:t>
            </w:r>
          </w:p>
        </w:tc>
        <w:tc>
          <w:tcPr>
            <w:tcW w:w="1305" w:type="dxa"/>
            <w:tcBorders>
              <w:top w:val="single" w:sz="6" w:space="0" w:color="000000"/>
              <w:left w:val="single" w:sz="6" w:space="0" w:color="000000"/>
              <w:bottom w:val="single" w:sz="6" w:space="0" w:color="000000"/>
              <w:right w:val="single" w:sz="6" w:space="0" w:color="000000"/>
            </w:tcBorders>
            <w:vAlign w:val="center"/>
          </w:tcPr>
          <w:p w14:paraId="6551BBC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vAlign w:val="center"/>
          </w:tcPr>
          <w:p w14:paraId="0B9D7E5D"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vAlign w:val="center"/>
          </w:tcPr>
          <w:p w14:paraId="34056AB0" w14:textId="77777777" w:rsidR="00E91AE1" w:rsidRPr="002E6B69" w:rsidRDefault="00E91AE1" w:rsidP="001D2CEB">
            <w:pPr>
              <w:pStyle w:val="Base"/>
            </w:pPr>
          </w:p>
        </w:tc>
      </w:tr>
      <w:tr w:rsidR="00E91AE1" w:rsidRPr="002E6B69" w14:paraId="3887527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4018567" w14:textId="77777777" w:rsidR="00E91AE1" w:rsidRPr="002E6B69" w:rsidRDefault="00E91AE1" w:rsidP="001D2CEB">
            <w:r w:rsidRPr="002E6B69">
              <w:rPr>
                <w:kern w:val="0"/>
              </w:rPr>
              <w:t>nitric acid (7697-37-2)</w:t>
            </w:r>
          </w:p>
        </w:tc>
        <w:tc>
          <w:tcPr>
            <w:tcW w:w="1620" w:type="dxa"/>
            <w:tcBorders>
              <w:top w:val="single" w:sz="6" w:space="0" w:color="000000"/>
              <w:left w:val="single" w:sz="6" w:space="0" w:color="000000"/>
              <w:bottom w:val="single" w:sz="6" w:space="0" w:color="000000"/>
              <w:right w:val="single" w:sz="6" w:space="0" w:color="000000"/>
            </w:tcBorders>
          </w:tcPr>
          <w:p w14:paraId="396795C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55E92F68"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6DCC934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5C3A02B9" w14:textId="77777777" w:rsidR="00E91AE1" w:rsidRPr="002E6B69" w:rsidRDefault="00E91AE1" w:rsidP="001D2CEB">
            <w:pPr>
              <w:pStyle w:val="Base"/>
            </w:pPr>
            <w:r w:rsidRPr="002E6B69">
              <w:t>1</w:t>
            </w:r>
          </w:p>
        </w:tc>
      </w:tr>
      <w:tr w:rsidR="00E91AE1" w:rsidRPr="002E6B69" w14:paraId="54B5598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A728DB8" w14:textId="77777777" w:rsidR="00E91AE1" w:rsidRPr="002E6B69" w:rsidRDefault="00E91AE1" w:rsidP="001D2CEB">
            <w:r w:rsidRPr="002E6B69">
              <w:rPr>
                <w:kern w:val="0"/>
              </w:rPr>
              <w:t>nitrobenzene (98-95-3)</w:t>
            </w:r>
          </w:p>
        </w:tc>
        <w:tc>
          <w:tcPr>
            <w:tcW w:w="1620" w:type="dxa"/>
            <w:tcBorders>
              <w:top w:val="single" w:sz="6" w:space="0" w:color="000000"/>
              <w:left w:val="single" w:sz="6" w:space="0" w:color="000000"/>
              <w:bottom w:val="single" w:sz="6" w:space="0" w:color="000000"/>
              <w:right w:val="single" w:sz="6" w:space="0" w:color="000000"/>
            </w:tcBorders>
          </w:tcPr>
          <w:p w14:paraId="57B3AF6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35DAB70" w14:textId="77777777" w:rsidR="00E91AE1" w:rsidRPr="002E6B69" w:rsidRDefault="00E91AE1" w:rsidP="001D2CEB">
            <w:r w:rsidRPr="002E6B69">
              <w:rPr>
                <w:kern w:val="0"/>
              </w:rPr>
              <w:t>0.06</w:t>
            </w:r>
          </w:p>
        </w:tc>
        <w:tc>
          <w:tcPr>
            <w:tcW w:w="1305" w:type="dxa"/>
            <w:tcBorders>
              <w:top w:val="single" w:sz="6" w:space="0" w:color="000000"/>
              <w:left w:val="single" w:sz="6" w:space="0" w:color="000000"/>
              <w:bottom w:val="single" w:sz="6" w:space="0" w:color="000000"/>
              <w:right w:val="single" w:sz="6" w:space="0" w:color="000000"/>
            </w:tcBorders>
          </w:tcPr>
          <w:p w14:paraId="5B869C10" w14:textId="77777777" w:rsidR="00E91AE1" w:rsidRPr="002E6B69" w:rsidRDefault="00E91AE1" w:rsidP="001D2CEB">
            <w:r w:rsidRPr="002E6B69">
              <w:rPr>
                <w:kern w:val="0"/>
              </w:rPr>
              <w:t>0.5</w:t>
            </w:r>
          </w:p>
        </w:tc>
        <w:tc>
          <w:tcPr>
            <w:tcW w:w="1170" w:type="dxa"/>
            <w:tcBorders>
              <w:top w:val="single" w:sz="6" w:space="0" w:color="000000"/>
              <w:left w:val="single" w:sz="6" w:space="0" w:color="000000"/>
              <w:bottom w:val="single" w:sz="6" w:space="0" w:color="000000"/>
              <w:right w:val="single" w:sz="6" w:space="0" w:color="000000"/>
            </w:tcBorders>
          </w:tcPr>
          <w:p w14:paraId="561DEA60" w14:textId="77777777" w:rsidR="00E91AE1" w:rsidRPr="002E6B69" w:rsidRDefault="00E91AE1" w:rsidP="001D2CEB">
            <w:pPr>
              <w:pStyle w:val="Base"/>
            </w:pPr>
          </w:p>
        </w:tc>
      </w:tr>
      <w:tr w:rsidR="00E91AE1" w:rsidRPr="002E6B69" w14:paraId="3C956F49"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C38D5DA" w14:textId="77777777" w:rsidR="00E91AE1" w:rsidRPr="002E6B69" w:rsidRDefault="00E91AE1" w:rsidP="001D2CEB">
            <w:r w:rsidRPr="002E6B69">
              <w:rPr>
                <w:kern w:val="0"/>
              </w:rPr>
              <w:t>n-nitrosodimethylamine</w:t>
            </w:r>
            <w:r>
              <w:rPr>
                <w:kern w:val="0"/>
              </w:rPr>
              <w:t xml:space="preserve"> </w:t>
            </w:r>
            <w:r w:rsidRPr="002E6B69">
              <w:rPr>
                <w:kern w:val="0"/>
              </w:rPr>
              <w:t>(62-75-9)</w:t>
            </w:r>
          </w:p>
        </w:tc>
        <w:tc>
          <w:tcPr>
            <w:tcW w:w="1620" w:type="dxa"/>
            <w:tcBorders>
              <w:top w:val="single" w:sz="6" w:space="0" w:color="000000"/>
              <w:left w:val="single" w:sz="6" w:space="0" w:color="000000"/>
              <w:bottom w:val="single" w:sz="6" w:space="0" w:color="000000"/>
              <w:right w:val="single" w:sz="6" w:space="0" w:color="000000"/>
            </w:tcBorders>
          </w:tcPr>
          <w:p w14:paraId="3B70FA6A" w14:textId="77777777" w:rsidR="00E91AE1" w:rsidRPr="002E6B69" w:rsidRDefault="00E91AE1" w:rsidP="001D2CEB">
            <w:r w:rsidRPr="002E6B69">
              <w:rPr>
                <w:kern w:val="0"/>
              </w:rPr>
              <w:t>5.0 x 10</w:t>
            </w:r>
            <w:r w:rsidRPr="002E6B69">
              <w:rPr>
                <w:kern w:val="0"/>
                <w:vertAlign w:val="superscript"/>
              </w:rPr>
              <w:t>-5</w:t>
            </w:r>
          </w:p>
        </w:tc>
        <w:tc>
          <w:tcPr>
            <w:tcW w:w="1305" w:type="dxa"/>
            <w:tcBorders>
              <w:top w:val="single" w:sz="6" w:space="0" w:color="000000"/>
              <w:left w:val="single" w:sz="6" w:space="0" w:color="000000"/>
              <w:bottom w:val="single" w:sz="6" w:space="0" w:color="000000"/>
              <w:right w:val="single" w:sz="6" w:space="0" w:color="000000"/>
            </w:tcBorders>
          </w:tcPr>
          <w:p w14:paraId="784395C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53D55133"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3998F901" w14:textId="77777777" w:rsidR="00E91AE1" w:rsidRPr="002E6B69" w:rsidRDefault="00E91AE1" w:rsidP="001D2CEB">
            <w:pPr>
              <w:pStyle w:val="Base"/>
            </w:pPr>
          </w:p>
        </w:tc>
      </w:tr>
      <w:tr w:rsidR="00E91AE1" w:rsidRPr="002E6B69" w14:paraId="5E426E1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BDB07C7" w14:textId="77777777" w:rsidR="00E91AE1" w:rsidRPr="002E6B69" w:rsidRDefault="00E91AE1" w:rsidP="001D2CEB">
            <w:r w:rsidRPr="002E6B69">
              <w:rPr>
                <w:kern w:val="0"/>
              </w:rPr>
              <w:t>non-specific chromium (VI) compounds, as chromium (VI) equivalent</w:t>
            </w:r>
          </w:p>
        </w:tc>
        <w:tc>
          <w:tcPr>
            <w:tcW w:w="1620" w:type="dxa"/>
            <w:tcBorders>
              <w:top w:val="single" w:sz="6" w:space="0" w:color="000000"/>
              <w:left w:val="single" w:sz="6" w:space="0" w:color="000000"/>
              <w:bottom w:val="single" w:sz="6" w:space="0" w:color="000000"/>
              <w:right w:val="single" w:sz="6" w:space="0" w:color="000000"/>
            </w:tcBorders>
          </w:tcPr>
          <w:p w14:paraId="2CC64957" w14:textId="77777777" w:rsidR="00E91AE1" w:rsidRPr="002E6B69" w:rsidRDefault="00E91AE1" w:rsidP="001D2CEB">
            <w:r w:rsidRPr="002E6B69">
              <w:rPr>
                <w:kern w:val="0"/>
              </w:rPr>
              <w:t>8.3 x 10</w:t>
            </w:r>
            <w:r w:rsidRPr="002E6B69">
              <w:rPr>
                <w:kern w:val="0"/>
                <w:vertAlign w:val="superscript"/>
              </w:rPr>
              <w:t>-8</w:t>
            </w:r>
          </w:p>
        </w:tc>
        <w:tc>
          <w:tcPr>
            <w:tcW w:w="1305" w:type="dxa"/>
            <w:tcBorders>
              <w:top w:val="single" w:sz="6" w:space="0" w:color="000000"/>
              <w:left w:val="single" w:sz="6" w:space="0" w:color="000000"/>
              <w:bottom w:val="single" w:sz="6" w:space="0" w:color="000000"/>
              <w:right w:val="single" w:sz="6" w:space="0" w:color="000000"/>
            </w:tcBorders>
          </w:tcPr>
          <w:p w14:paraId="4DF86599"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4D5E740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3B950089" w14:textId="77777777" w:rsidR="00E91AE1" w:rsidRPr="002E6B69" w:rsidRDefault="00E91AE1" w:rsidP="001D2CEB">
            <w:pPr>
              <w:pStyle w:val="Base"/>
            </w:pPr>
          </w:p>
        </w:tc>
      </w:tr>
      <w:tr w:rsidR="00E91AE1" w:rsidRPr="002E6B69" w14:paraId="20386A0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58779BF" w14:textId="77777777" w:rsidR="00E91AE1" w:rsidRPr="002E6B69" w:rsidRDefault="00E91AE1" w:rsidP="001D2CEB">
            <w:r w:rsidRPr="002E6B69">
              <w:rPr>
                <w:kern w:val="0"/>
              </w:rPr>
              <w:t>pentachlorophenol</w:t>
            </w:r>
            <w:r>
              <w:rPr>
                <w:kern w:val="0"/>
              </w:rPr>
              <w:t xml:space="preserve"> </w:t>
            </w:r>
            <w:r w:rsidRPr="002E6B69">
              <w:rPr>
                <w:kern w:val="0"/>
              </w:rPr>
              <w:t>(87-86-5)</w:t>
            </w:r>
          </w:p>
        </w:tc>
        <w:tc>
          <w:tcPr>
            <w:tcW w:w="1620" w:type="dxa"/>
            <w:tcBorders>
              <w:top w:val="single" w:sz="6" w:space="0" w:color="000000"/>
              <w:left w:val="single" w:sz="6" w:space="0" w:color="000000"/>
              <w:bottom w:val="single" w:sz="6" w:space="0" w:color="000000"/>
              <w:right w:val="single" w:sz="6" w:space="0" w:color="000000"/>
            </w:tcBorders>
          </w:tcPr>
          <w:p w14:paraId="2956701A"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74175582" w14:textId="77777777" w:rsidR="00E91AE1" w:rsidRPr="002E6B69" w:rsidRDefault="00E91AE1" w:rsidP="001D2CEB">
            <w:r w:rsidRPr="002E6B69">
              <w:rPr>
                <w:kern w:val="0"/>
              </w:rPr>
              <w:t>0.003</w:t>
            </w:r>
          </w:p>
        </w:tc>
        <w:tc>
          <w:tcPr>
            <w:tcW w:w="1305" w:type="dxa"/>
            <w:tcBorders>
              <w:top w:val="single" w:sz="6" w:space="0" w:color="000000"/>
              <w:left w:val="single" w:sz="6" w:space="0" w:color="000000"/>
              <w:bottom w:val="single" w:sz="6" w:space="0" w:color="000000"/>
              <w:right w:val="single" w:sz="6" w:space="0" w:color="000000"/>
            </w:tcBorders>
          </w:tcPr>
          <w:p w14:paraId="3E3841AE" w14:textId="77777777" w:rsidR="00E91AE1" w:rsidRPr="002E6B69" w:rsidRDefault="00E91AE1" w:rsidP="001D2CEB">
            <w:r w:rsidRPr="002E6B69">
              <w:rPr>
                <w:kern w:val="0"/>
              </w:rPr>
              <w:t>0.025</w:t>
            </w:r>
          </w:p>
        </w:tc>
        <w:tc>
          <w:tcPr>
            <w:tcW w:w="1170" w:type="dxa"/>
            <w:tcBorders>
              <w:top w:val="single" w:sz="6" w:space="0" w:color="000000"/>
              <w:left w:val="single" w:sz="6" w:space="0" w:color="000000"/>
              <w:bottom w:val="single" w:sz="6" w:space="0" w:color="000000"/>
              <w:right w:val="single" w:sz="6" w:space="0" w:color="000000"/>
            </w:tcBorders>
          </w:tcPr>
          <w:p w14:paraId="0F3C87F5" w14:textId="77777777" w:rsidR="00E91AE1" w:rsidRPr="002E6B69" w:rsidRDefault="00E91AE1" w:rsidP="001D2CEB">
            <w:pPr>
              <w:pStyle w:val="Base"/>
            </w:pPr>
          </w:p>
        </w:tc>
      </w:tr>
      <w:tr w:rsidR="00E91AE1" w:rsidRPr="002E6B69" w14:paraId="1C910385"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F47F525" w14:textId="77777777" w:rsidR="00E91AE1" w:rsidRPr="002E6B69" w:rsidRDefault="00E91AE1" w:rsidP="001D2CEB">
            <w:r w:rsidRPr="002E6B69">
              <w:rPr>
                <w:kern w:val="0"/>
              </w:rPr>
              <w:t>perchloroethylene (127-18-4)</w:t>
            </w:r>
          </w:p>
        </w:tc>
        <w:tc>
          <w:tcPr>
            <w:tcW w:w="1620" w:type="dxa"/>
            <w:tcBorders>
              <w:top w:val="single" w:sz="6" w:space="0" w:color="000000"/>
              <w:left w:val="single" w:sz="6" w:space="0" w:color="000000"/>
              <w:bottom w:val="single" w:sz="6" w:space="0" w:color="000000"/>
              <w:right w:val="single" w:sz="6" w:space="0" w:color="000000"/>
            </w:tcBorders>
          </w:tcPr>
          <w:p w14:paraId="7694502C" w14:textId="77777777" w:rsidR="00E91AE1" w:rsidRPr="002E6B69" w:rsidRDefault="00E91AE1" w:rsidP="001D2CEB">
            <w:r w:rsidRPr="002E6B69">
              <w:rPr>
                <w:kern w:val="0"/>
              </w:rPr>
              <w:t>1.9 x 10</w:t>
            </w:r>
            <w:r w:rsidRPr="002E6B69">
              <w:rPr>
                <w:kern w:val="0"/>
                <w:vertAlign w:val="superscript"/>
              </w:rPr>
              <w:t>-1</w:t>
            </w:r>
          </w:p>
        </w:tc>
        <w:tc>
          <w:tcPr>
            <w:tcW w:w="1305" w:type="dxa"/>
            <w:tcBorders>
              <w:top w:val="single" w:sz="6" w:space="0" w:color="000000"/>
              <w:left w:val="single" w:sz="6" w:space="0" w:color="000000"/>
              <w:bottom w:val="single" w:sz="6" w:space="0" w:color="000000"/>
              <w:right w:val="single" w:sz="6" w:space="0" w:color="000000"/>
            </w:tcBorders>
          </w:tcPr>
          <w:p w14:paraId="32D4AFFB"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46FFDBD"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7765EF0F" w14:textId="77777777" w:rsidR="00E91AE1" w:rsidRPr="002E6B69" w:rsidRDefault="00E91AE1" w:rsidP="001D2CEB">
            <w:pPr>
              <w:pStyle w:val="Base"/>
            </w:pPr>
          </w:p>
        </w:tc>
      </w:tr>
      <w:tr w:rsidR="00E91AE1" w:rsidRPr="002E6B69" w14:paraId="74964981"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0240BC8B" w14:textId="77777777" w:rsidR="00E91AE1" w:rsidRPr="002E6B69" w:rsidRDefault="00E91AE1" w:rsidP="001D2CEB">
            <w:r w:rsidRPr="002E6B69">
              <w:rPr>
                <w:kern w:val="0"/>
              </w:rPr>
              <w:t>phenol (108-95-2)</w:t>
            </w:r>
          </w:p>
        </w:tc>
        <w:tc>
          <w:tcPr>
            <w:tcW w:w="1620" w:type="dxa"/>
            <w:tcBorders>
              <w:top w:val="single" w:sz="6" w:space="0" w:color="000000"/>
              <w:left w:val="single" w:sz="6" w:space="0" w:color="000000"/>
              <w:bottom w:val="single" w:sz="6" w:space="0" w:color="000000"/>
              <w:right w:val="single" w:sz="6" w:space="0" w:color="000000"/>
            </w:tcBorders>
          </w:tcPr>
          <w:p w14:paraId="088DCEF5"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434931C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6A0830B2" w14:textId="77777777" w:rsidR="00E91AE1" w:rsidRPr="002E6B69" w:rsidRDefault="00E91AE1" w:rsidP="001D2CEB">
            <w:r w:rsidRPr="002E6B69">
              <w:rPr>
                <w:kern w:val="0"/>
              </w:rPr>
              <w:t>0.95</w:t>
            </w:r>
          </w:p>
        </w:tc>
        <w:tc>
          <w:tcPr>
            <w:tcW w:w="1170" w:type="dxa"/>
            <w:tcBorders>
              <w:top w:val="single" w:sz="6" w:space="0" w:color="000000"/>
              <w:left w:val="single" w:sz="6" w:space="0" w:color="000000"/>
              <w:bottom w:val="single" w:sz="6" w:space="0" w:color="000000"/>
              <w:right w:val="single" w:sz="6" w:space="0" w:color="000000"/>
            </w:tcBorders>
          </w:tcPr>
          <w:p w14:paraId="57410629" w14:textId="77777777" w:rsidR="00E91AE1" w:rsidRPr="002E6B69" w:rsidRDefault="00E91AE1" w:rsidP="001D2CEB">
            <w:pPr>
              <w:pStyle w:val="Base"/>
            </w:pPr>
          </w:p>
        </w:tc>
      </w:tr>
      <w:tr w:rsidR="00E91AE1" w:rsidRPr="002E6B69" w14:paraId="4CE410A7"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48EC84F" w14:textId="77777777" w:rsidR="00E91AE1" w:rsidRPr="002E6B69" w:rsidRDefault="00E91AE1" w:rsidP="001D2CEB">
            <w:r w:rsidRPr="002E6B69">
              <w:rPr>
                <w:kern w:val="0"/>
              </w:rPr>
              <w:t>phosgene (75-44-5)</w:t>
            </w:r>
          </w:p>
        </w:tc>
        <w:tc>
          <w:tcPr>
            <w:tcW w:w="1620" w:type="dxa"/>
            <w:tcBorders>
              <w:top w:val="single" w:sz="6" w:space="0" w:color="000000"/>
              <w:left w:val="single" w:sz="6" w:space="0" w:color="000000"/>
              <w:bottom w:val="single" w:sz="6" w:space="0" w:color="000000"/>
              <w:right w:val="single" w:sz="6" w:space="0" w:color="000000"/>
            </w:tcBorders>
          </w:tcPr>
          <w:p w14:paraId="34A74EA6"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118108E1" w14:textId="77777777" w:rsidR="00E91AE1" w:rsidRPr="002E6B69" w:rsidRDefault="00E91AE1" w:rsidP="001D2CEB">
            <w:r w:rsidRPr="002E6B69">
              <w:rPr>
                <w:kern w:val="0"/>
              </w:rPr>
              <w:t>0.0025</w:t>
            </w:r>
          </w:p>
        </w:tc>
        <w:tc>
          <w:tcPr>
            <w:tcW w:w="1305" w:type="dxa"/>
            <w:tcBorders>
              <w:top w:val="single" w:sz="6" w:space="0" w:color="000000"/>
              <w:left w:val="single" w:sz="6" w:space="0" w:color="000000"/>
              <w:bottom w:val="single" w:sz="6" w:space="0" w:color="000000"/>
              <w:right w:val="single" w:sz="6" w:space="0" w:color="000000"/>
            </w:tcBorders>
          </w:tcPr>
          <w:p w14:paraId="1E3E59A9"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59026B87" w14:textId="77777777" w:rsidR="00E91AE1" w:rsidRPr="002E6B69" w:rsidRDefault="00E91AE1" w:rsidP="001D2CEB">
            <w:pPr>
              <w:pStyle w:val="Base"/>
            </w:pPr>
          </w:p>
        </w:tc>
      </w:tr>
      <w:tr w:rsidR="00E91AE1" w:rsidRPr="002E6B69" w14:paraId="4FCA947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645FC51C" w14:textId="77777777" w:rsidR="00E91AE1" w:rsidRPr="002E6B69" w:rsidRDefault="00E91AE1" w:rsidP="001D2CEB">
            <w:r>
              <w:rPr>
                <w:kern w:val="0"/>
              </w:rPr>
              <w:t xml:space="preserve"> </w:t>
            </w:r>
            <w:r w:rsidRPr="002E6B69">
              <w:rPr>
                <w:kern w:val="0"/>
              </w:rPr>
              <w:t>phosphine (7803-51-2)</w:t>
            </w:r>
          </w:p>
        </w:tc>
        <w:tc>
          <w:tcPr>
            <w:tcW w:w="1620" w:type="dxa"/>
            <w:tcBorders>
              <w:top w:val="single" w:sz="6" w:space="0" w:color="000000"/>
              <w:left w:val="single" w:sz="6" w:space="0" w:color="000000"/>
              <w:bottom w:val="single" w:sz="6" w:space="0" w:color="000000"/>
              <w:right w:val="single" w:sz="6" w:space="0" w:color="000000"/>
            </w:tcBorders>
          </w:tcPr>
          <w:p w14:paraId="4919B955"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7AE7DCE0"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C1165E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327F1161" w14:textId="77777777" w:rsidR="00E91AE1" w:rsidRPr="002E6B69" w:rsidRDefault="00E91AE1" w:rsidP="001D2CEB">
            <w:r w:rsidRPr="002E6B69">
              <w:rPr>
                <w:kern w:val="0"/>
              </w:rPr>
              <w:t>0.13</w:t>
            </w:r>
          </w:p>
        </w:tc>
      </w:tr>
      <w:tr w:rsidR="00E91AE1" w:rsidRPr="002E6B69" w14:paraId="72A1058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9AFB94F" w14:textId="77777777" w:rsidR="00E91AE1" w:rsidRPr="002E6B69" w:rsidRDefault="00E91AE1" w:rsidP="001D2CEB">
            <w:pPr>
              <w:pStyle w:val="Base"/>
            </w:pPr>
            <w:r w:rsidRPr="002E6B69">
              <w:t>polychlorinated biphenyls</w:t>
            </w:r>
          </w:p>
          <w:p w14:paraId="5564D820" w14:textId="77777777" w:rsidR="00E91AE1" w:rsidRPr="002E6B69" w:rsidRDefault="00E91AE1" w:rsidP="001D2CEB">
            <w:r w:rsidRPr="002E6B69">
              <w:rPr>
                <w:kern w:val="0"/>
              </w:rPr>
              <w:t>(1336-36-3)</w:t>
            </w:r>
          </w:p>
        </w:tc>
        <w:tc>
          <w:tcPr>
            <w:tcW w:w="1620" w:type="dxa"/>
            <w:tcBorders>
              <w:top w:val="single" w:sz="6" w:space="0" w:color="000000"/>
              <w:left w:val="single" w:sz="6" w:space="0" w:color="000000"/>
              <w:bottom w:val="single" w:sz="6" w:space="0" w:color="000000"/>
              <w:right w:val="single" w:sz="6" w:space="0" w:color="000000"/>
            </w:tcBorders>
          </w:tcPr>
          <w:p w14:paraId="18C427F5" w14:textId="77777777" w:rsidR="00E91AE1" w:rsidRPr="002E6B69" w:rsidRDefault="00E91AE1" w:rsidP="001D2CEB">
            <w:r w:rsidRPr="002E6B69">
              <w:rPr>
                <w:kern w:val="0"/>
              </w:rPr>
              <w:t>8.3 x 10</w:t>
            </w:r>
            <w:r w:rsidRPr="002E6B69">
              <w:rPr>
                <w:kern w:val="0"/>
                <w:vertAlign w:val="superscript"/>
              </w:rPr>
              <w:t>-5</w:t>
            </w:r>
          </w:p>
        </w:tc>
        <w:tc>
          <w:tcPr>
            <w:tcW w:w="1305" w:type="dxa"/>
            <w:tcBorders>
              <w:top w:val="single" w:sz="6" w:space="0" w:color="000000"/>
              <w:left w:val="single" w:sz="6" w:space="0" w:color="000000"/>
              <w:bottom w:val="single" w:sz="6" w:space="0" w:color="000000"/>
              <w:right w:val="single" w:sz="6" w:space="0" w:color="000000"/>
            </w:tcBorders>
          </w:tcPr>
          <w:p w14:paraId="383D9DC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EDB7300"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33D7A350" w14:textId="77777777" w:rsidR="00E91AE1" w:rsidRPr="002E6B69" w:rsidRDefault="00E91AE1" w:rsidP="001D2CEB">
            <w:pPr>
              <w:pStyle w:val="Base"/>
            </w:pPr>
          </w:p>
        </w:tc>
      </w:tr>
      <w:tr w:rsidR="00E91AE1" w:rsidRPr="002E6B69" w14:paraId="3A09B13E"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65D3714" w14:textId="77777777" w:rsidR="00E91AE1" w:rsidRPr="002E6B69" w:rsidRDefault="00E91AE1" w:rsidP="001D2CEB">
            <w:r w:rsidRPr="002E6B69">
              <w:rPr>
                <w:kern w:val="0"/>
              </w:rPr>
              <w:t>soluble chromate compounds, as chromium (VI) equivalent</w:t>
            </w:r>
          </w:p>
        </w:tc>
        <w:tc>
          <w:tcPr>
            <w:tcW w:w="1620" w:type="dxa"/>
            <w:tcBorders>
              <w:top w:val="single" w:sz="6" w:space="0" w:color="000000"/>
              <w:left w:val="single" w:sz="6" w:space="0" w:color="000000"/>
              <w:bottom w:val="single" w:sz="6" w:space="0" w:color="000000"/>
              <w:right w:val="single" w:sz="6" w:space="0" w:color="000000"/>
            </w:tcBorders>
          </w:tcPr>
          <w:p w14:paraId="6116AEA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3E36A225" w14:textId="77777777" w:rsidR="00E91AE1" w:rsidRPr="002E6B69" w:rsidRDefault="00E91AE1" w:rsidP="001D2CEB">
            <w:r w:rsidRPr="002E6B69">
              <w:rPr>
                <w:kern w:val="0"/>
              </w:rPr>
              <w:t>6.2 x 10</w:t>
            </w:r>
            <w:r w:rsidRPr="002E6B69">
              <w:rPr>
                <w:kern w:val="0"/>
                <w:vertAlign w:val="superscript"/>
              </w:rPr>
              <w:t>-4</w:t>
            </w:r>
          </w:p>
        </w:tc>
        <w:tc>
          <w:tcPr>
            <w:tcW w:w="1305" w:type="dxa"/>
            <w:tcBorders>
              <w:top w:val="single" w:sz="6" w:space="0" w:color="000000"/>
              <w:left w:val="single" w:sz="6" w:space="0" w:color="000000"/>
              <w:bottom w:val="single" w:sz="6" w:space="0" w:color="000000"/>
              <w:right w:val="single" w:sz="6" w:space="0" w:color="000000"/>
            </w:tcBorders>
          </w:tcPr>
          <w:p w14:paraId="50F733B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3688D2BF" w14:textId="77777777" w:rsidR="00E91AE1" w:rsidRPr="002E6B69" w:rsidRDefault="00E91AE1" w:rsidP="001D2CEB">
            <w:pPr>
              <w:pStyle w:val="Base"/>
            </w:pPr>
          </w:p>
        </w:tc>
      </w:tr>
      <w:tr w:rsidR="00E91AE1" w:rsidRPr="002E6B69" w14:paraId="071413D8"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0E178C8" w14:textId="77777777" w:rsidR="00E91AE1" w:rsidRPr="002E6B69" w:rsidRDefault="00E91AE1" w:rsidP="001D2CEB">
            <w:r w:rsidRPr="002E6B69">
              <w:rPr>
                <w:kern w:val="0"/>
              </w:rPr>
              <w:t>styrene (100-42-5)</w:t>
            </w:r>
          </w:p>
        </w:tc>
        <w:tc>
          <w:tcPr>
            <w:tcW w:w="1620" w:type="dxa"/>
            <w:tcBorders>
              <w:top w:val="single" w:sz="6" w:space="0" w:color="000000"/>
              <w:left w:val="single" w:sz="6" w:space="0" w:color="000000"/>
              <w:bottom w:val="single" w:sz="6" w:space="0" w:color="000000"/>
              <w:right w:val="single" w:sz="6" w:space="0" w:color="000000"/>
            </w:tcBorders>
          </w:tcPr>
          <w:p w14:paraId="04E361A8"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2262B12"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2D4F1E7E" w14:textId="77777777" w:rsidR="00E91AE1" w:rsidRPr="002E6B69" w:rsidRDefault="00E91AE1" w:rsidP="001D2CEB">
            <w:r w:rsidRPr="002E6B69">
              <w:rPr>
                <w:kern w:val="0"/>
              </w:rPr>
              <w:t>10.6</w:t>
            </w:r>
          </w:p>
        </w:tc>
        <w:tc>
          <w:tcPr>
            <w:tcW w:w="1170" w:type="dxa"/>
            <w:tcBorders>
              <w:top w:val="single" w:sz="6" w:space="0" w:color="000000"/>
              <w:left w:val="single" w:sz="6" w:space="0" w:color="000000"/>
              <w:bottom w:val="single" w:sz="6" w:space="0" w:color="000000"/>
              <w:right w:val="single" w:sz="6" w:space="0" w:color="000000"/>
            </w:tcBorders>
          </w:tcPr>
          <w:p w14:paraId="4F519027" w14:textId="77777777" w:rsidR="00E91AE1" w:rsidRPr="002E6B69" w:rsidRDefault="00E91AE1" w:rsidP="001D2CEB">
            <w:pPr>
              <w:pStyle w:val="Base"/>
            </w:pPr>
          </w:p>
        </w:tc>
      </w:tr>
      <w:tr w:rsidR="00E91AE1" w:rsidRPr="002E6B69" w14:paraId="2EC05F13"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849F99F" w14:textId="77777777" w:rsidR="00E91AE1" w:rsidRPr="002E6B69" w:rsidRDefault="00E91AE1" w:rsidP="001D2CEB">
            <w:r w:rsidRPr="002E6B69">
              <w:rPr>
                <w:kern w:val="0"/>
              </w:rPr>
              <w:t>sulfuric acid (7664-93-9)</w:t>
            </w:r>
          </w:p>
        </w:tc>
        <w:tc>
          <w:tcPr>
            <w:tcW w:w="1620" w:type="dxa"/>
            <w:tcBorders>
              <w:top w:val="single" w:sz="6" w:space="0" w:color="000000"/>
              <w:left w:val="single" w:sz="6" w:space="0" w:color="000000"/>
              <w:bottom w:val="single" w:sz="6" w:space="0" w:color="000000"/>
              <w:right w:val="single" w:sz="6" w:space="0" w:color="000000"/>
            </w:tcBorders>
          </w:tcPr>
          <w:p w14:paraId="38FA0C6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6BBB65E5" w14:textId="77777777" w:rsidR="00E91AE1" w:rsidRPr="002E6B69" w:rsidRDefault="00E91AE1" w:rsidP="001D2CEB">
            <w:r w:rsidRPr="002E6B69">
              <w:rPr>
                <w:kern w:val="0"/>
              </w:rPr>
              <w:t>0.012</w:t>
            </w:r>
          </w:p>
        </w:tc>
        <w:tc>
          <w:tcPr>
            <w:tcW w:w="1305" w:type="dxa"/>
            <w:tcBorders>
              <w:top w:val="single" w:sz="6" w:space="0" w:color="000000"/>
              <w:left w:val="single" w:sz="6" w:space="0" w:color="000000"/>
              <w:bottom w:val="single" w:sz="6" w:space="0" w:color="000000"/>
              <w:right w:val="single" w:sz="6" w:space="0" w:color="000000"/>
            </w:tcBorders>
          </w:tcPr>
          <w:p w14:paraId="0F40FA28" w14:textId="77777777" w:rsidR="00E91AE1" w:rsidRPr="002E6B69" w:rsidRDefault="00E91AE1" w:rsidP="001D2CEB">
            <w:r w:rsidRPr="002E6B69">
              <w:rPr>
                <w:kern w:val="0"/>
              </w:rPr>
              <w:t>0.1</w:t>
            </w:r>
          </w:p>
        </w:tc>
        <w:tc>
          <w:tcPr>
            <w:tcW w:w="1170" w:type="dxa"/>
            <w:tcBorders>
              <w:top w:val="single" w:sz="6" w:space="0" w:color="000000"/>
              <w:left w:val="single" w:sz="6" w:space="0" w:color="000000"/>
              <w:bottom w:val="single" w:sz="6" w:space="0" w:color="000000"/>
              <w:right w:val="single" w:sz="6" w:space="0" w:color="000000"/>
            </w:tcBorders>
          </w:tcPr>
          <w:p w14:paraId="4AC97CAA" w14:textId="77777777" w:rsidR="00E91AE1" w:rsidRPr="002E6B69" w:rsidRDefault="00E91AE1" w:rsidP="001D2CEB">
            <w:pPr>
              <w:pStyle w:val="Base"/>
            </w:pPr>
          </w:p>
        </w:tc>
      </w:tr>
      <w:tr w:rsidR="00E91AE1" w:rsidRPr="002E6B69" w14:paraId="4D4A817F"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50C2329" w14:textId="77777777" w:rsidR="00E91AE1" w:rsidRPr="002E6B69" w:rsidRDefault="00E91AE1" w:rsidP="001D2CEB">
            <w:pPr>
              <w:pStyle w:val="Base"/>
            </w:pPr>
            <w:r w:rsidRPr="002E6B69">
              <w:t>tetrachlorodibenzo-p-dioxin</w:t>
            </w:r>
          </w:p>
          <w:p w14:paraId="5DADABC4" w14:textId="77777777" w:rsidR="00E91AE1" w:rsidRPr="002E6B69" w:rsidRDefault="00E91AE1" w:rsidP="001D2CEB">
            <w:r w:rsidRPr="002E6B69">
              <w:rPr>
                <w:kern w:val="0"/>
              </w:rPr>
              <w:t>(1746-01-6)</w:t>
            </w:r>
          </w:p>
        </w:tc>
        <w:tc>
          <w:tcPr>
            <w:tcW w:w="1620" w:type="dxa"/>
            <w:tcBorders>
              <w:top w:val="single" w:sz="6" w:space="0" w:color="000000"/>
              <w:left w:val="single" w:sz="6" w:space="0" w:color="000000"/>
              <w:bottom w:val="single" w:sz="6" w:space="0" w:color="000000"/>
              <w:right w:val="single" w:sz="6" w:space="0" w:color="000000"/>
            </w:tcBorders>
          </w:tcPr>
          <w:p w14:paraId="6AA3702B" w14:textId="77777777" w:rsidR="00E91AE1" w:rsidRPr="002E6B69" w:rsidRDefault="00E91AE1" w:rsidP="001D2CEB">
            <w:r w:rsidRPr="002E6B69">
              <w:rPr>
                <w:kern w:val="0"/>
              </w:rPr>
              <w:t>3.0 x 10</w:t>
            </w:r>
            <w:r w:rsidRPr="002E6B69">
              <w:rPr>
                <w:kern w:val="0"/>
                <w:vertAlign w:val="superscript"/>
              </w:rPr>
              <w:t>-9</w:t>
            </w:r>
          </w:p>
        </w:tc>
        <w:tc>
          <w:tcPr>
            <w:tcW w:w="1305" w:type="dxa"/>
            <w:tcBorders>
              <w:top w:val="single" w:sz="6" w:space="0" w:color="000000"/>
              <w:left w:val="single" w:sz="6" w:space="0" w:color="000000"/>
              <w:bottom w:val="single" w:sz="6" w:space="0" w:color="000000"/>
              <w:right w:val="single" w:sz="6" w:space="0" w:color="000000"/>
            </w:tcBorders>
          </w:tcPr>
          <w:p w14:paraId="1B130607"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43DAFD4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43346D1B" w14:textId="77777777" w:rsidR="00E91AE1" w:rsidRPr="002E6B69" w:rsidRDefault="00E91AE1" w:rsidP="001D2CEB">
            <w:pPr>
              <w:pStyle w:val="Base"/>
            </w:pPr>
          </w:p>
        </w:tc>
      </w:tr>
      <w:tr w:rsidR="00E91AE1" w:rsidRPr="002E6B69" w14:paraId="1852CC54"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E56B310" w14:textId="77777777" w:rsidR="00E91AE1" w:rsidRPr="002E6B69" w:rsidRDefault="00E91AE1" w:rsidP="001D2CEB">
            <w:r w:rsidRPr="002E6B69">
              <w:rPr>
                <w:kern w:val="0"/>
              </w:rPr>
              <w:t>1,1,2,2-tetrachloroethane</w:t>
            </w:r>
            <w:r>
              <w:rPr>
                <w:kern w:val="0"/>
              </w:rPr>
              <w:t xml:space="preserve"> </w:t>
            </w:r>
            <w:r w:rsidRPr="002E6B69">
              <w:rPr>
                <w:kern w:val="0"/>
              </w:rPr>
              <w:t>(79-34-5)</w:t>
            </w:r>
          </w:p>
        </w:tc>
        <w:tc>
          <w:tcPr>
            <w:tcW w:w="1620" w:type="dxa"/>
            <w:tcBorders>
              <w:top w:val="single" w:sz="6" w:space="0" w:color="000000"/>
              <w:left w:val="single" w:sz="6" w:space="0" w:color="000000"/>
              <w:bottom w:val="single" w:sz="6" w:space="0" w:color="000000"/>
              <w:right w:val="single" w:sz="6" w:space="0" w:color="000000"/>
            </w:tcBorders>
          </w:tcPr>
          <w:p w14:paraId="1F20430F" w14:textId="77777777" w:rsidR="00E91AE1" w:rsidRPr="002E6B69" w:rsidRDefault="00E91AE1" w:rsidP="001D2CEB">
            <w:r w:rsidRPr="002E6B69">
              <w:rPr>
                <w:kern w:val="0"/>
              </w:rPr>
              <w:t>6.3 x 10</w:t>
            </w:r>
            <w:r w:rsidRPr="002E6B69">
              <w:rPr>
                <w:kern w:val="0"/>
                <w:vertAlign w:val="superscript"/>
              </w:rPr>
              <w:t>-3</w:t>
            </w:r>
          </w:p>
        </w:tc>
        <w:tc>
          <w:tcPr>
            <w:tcW w:w="1305" w:type="dxa"/>
            <w:tcBorders>
              <w:top w:val="single" w:sz="6" w:space="0" w:color="000000"/>
              <w:left w:val="single" w:sz="6" w:space="0" w:color="000000"/>
              <w:bottom w:val="single" w:sz="6" w:space="0" w:color="000000"/>
              <w:right w:val="single" w:sz="6" w:space="0" w:color="000000"/>
            </w:tcBorders>
          </w:tcPr>
          <w:p w14:paraId="33B94C8C"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66BA763E"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1A570B22" w14:textId="77777777" w:rsidR="00E91AE1" w:rsidRPr="002E6B69" w:rsidRDefault="00E91AE1" w:rsidP="001D2CEB">
            <w:pPr>
              <w:pStyle w:val="Base"/>
            </w:pPr>
          </w:p>
        </w:tc>
      </w:tr>
      <w:tr w:rsidR="00E91AE1" w:rsidRPr="002E6B69" w14:paraId="3E781A30"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B75761A" w14:textId="77777777" w:rsidR="00E91AE1" w:rsidRPr="002E6B69" w:rsidRDefault="00E91AE1" w:rsidP="001D2CEB">
            <w:r w:rsidRPr="002E6B69">
              <w:rPr>
                <w:kern w:val="0"/>
              </w:rPr>
              <w:lastRenderedPageBreak/>
              <w:t>toluene (108-88-3)</w:t>
            </w:r>
          </w:p>
        </w:tc>
        <w:tc>
          <w:tcPr>
            <w:tcW w:w="1620" w:type="dxa"/>
            <w:tcBorders>
              <w:top w:val="single" w:sz="6" w:space="0" w:color="000000"/>
              <w:left w:val="single" w:sz="6" w:space="0" w:color="000000"/>
              <w:bottom w:val="single" w:sz="6" w:space="0" w:color="000000"/>
              <w:right w:val="single" w:sz="6" w:space="0" w:color="000000"/>
            </w:tcBorders>
          </w:tcPr>
          <w:p w14:paraId="2440972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5CF315CB" w14:textId="77777777" w:rsidR="00E91AE1" w:rsidRPr="002E6B69" w:rsidRDefault="00E91AE1" w:rsidP="001D2CEB">
            <w:r w:rsidRPr="002E6B69">
              <w:rPr>
                <w:kern w:val="0"/>
              </w:rPr>
              <w:t>4.7</w:t>
            </w:r>
          </w:p>
        </w:tc>
        <w:tc>
          <w:tcPr>
            <w:tcW w:w="1305" w:type="dxa"/>
            <w:tcBorders>
              <w:top w:val="single" w:sz="6" w:space="0" w:color="000000"/>
              <w:left w:val="single" w:sz="6" w:space="0" w:color="000000"/>
              <w:bottom w:val="single" w:sz="6" w:space="0" w:color="000000"/>
              <w:right w:val="single" w:sz="6" w:space="0" w:color="000000"/>
            </w:tcBorders>
          </w:tcPr>
          <w:p w14:paraId="7498052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070AA567" w14:textId="77777777" w:rsidR="00E91AE1" w:rsidRPr="002E6B69" w:rsidRDefault="00E91AE1" w:rsidP="001D2CEB">
            <w:r w:rsidRPr="002E6B69">
              <w:rPr>
                <w:kern w:val="0"/>
              </w:rPr>
              <w:t>56</w:t>
            </w:r>
          </w:p>
        </w:tc>
      </w:tr>
      <w:tr w:rsidR="00E91AE1" w:rsidRPr="002E6B69" w14:paraId="0A7F1696"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20917F01" w14:textId="77777777" w:rsidR="00E91AE1" w:rsidRPr="002E6B69" w:rsidRDefault="00E91AE1" w:rsidP="001D2CEB">
            <w:r w:rsidRPr="002E6B69">
              <w:rPr>
                <w:kern w:val="0"/>
              </w:rPr>
              <w:t>toluene diisocyanate, 2,4- (584-84-9) and 2,6- (91-08-7) isomers</w:t>
            </w:r>
          </w:p>
        </w:tc>
        <w:tc>
          <w:tcPr>
            <w:tcW w:w="1620" w:type="dxa"/>
            <w:tcBorders>
              <w:top w:val="single" w:sz="6" w:space="0" w:color="000000"/>
              <w:left w:val="single" w:sz="6" w:space="0" w:color="000000"/>
              <w:bottom w:val="single" w:sz="6" w:space="0" w:color="000000"/>
              <w:right w:val="single" w:sz="6" w:space="0" w:color="000000"/>
            </w:tcBorders>
          </w:tcPr>
          <w:p w14:paraId="08C1FB7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14D9D81C" w14:textId="77777777" w:rsidR="00E91AE1" w:rsidRPr="002E6B69" w:rsidRDefault="00E91AE1" w:rsidP="001D2CEB">
            <w:r w:rsidRPr="002E6B69">
              <w:rPr>
                <w:kern w:val="0"/>
              </w:rPr>
              <w:t>0.0002</w:t>
            </w:r>
          </w:p>
        </w:tc>
        <w:tc>
          <w:tcPr>
            <w:tcW w:w="1305" w:type="dxa"/>
            <w:tcBorders>
              <w:top w:val="single" w:sz="6" w:space="0" w:color="000000"/>
              <w:left w:val="single" w:sz="6" w:space="0" w:color="000000"/>
              <w:bottom w:val="single" w:sz="6" w:space="0" w:color="000000"/>
              <w:right w:val="single" w:sz="6" w:space="0" w:color="000000"/>
            </w:tcBorders>
          </w:tcPr>
          <w:p w14:paraId="04445AA8"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4D568026" w14:textId="77777777" w:rsidR="00E91AE1" w:rsidRPr="002E6B69" w:rsidRDefault="00E91AE1" w:rsidP="001D2CEB">
            <w:pPr>
              <w:pStyle w:val="Base"/>
            </w:pPr>
          </w:p>
        </w:tc>
      </w:tr>
      <w:tr w:rsidR="00E91AE1" w:rsidRPr="002E6B69" w14:paraId="263FE8EA"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489237BB" w14:textId="77777777" w:rsidR="00E91AE1" w:rsidRPr="002E6B69" w:rsidRDefault="00E91AE1" w:rsidP="001D2CEB">
            <w:r w:rsidRPr="002E6B69">
              <w:rPr>
                <w:kern w:val="0"/>
              </w:rPr>
              <w:t>trichloroethylene (79-01-6)</w:t>
            </w:r>
          </w:p>
        </w:tc>
        <w:tc>
          <w:tcPr>
            <w:tcW w:w="1620" w:type="dxa"/>
            <w:tcBorders>
              <w:top w:val="single" w:sz="6" w:space="0" w:color="000000"/>
              <w:left w:val="single" w:sz="6" w:space="0" w:color="000000"/>
              <w:bottom w:val="single" w:sz="6" w:space="0" w:color="000000"/>
              <w:right w:val="single" w:sz="6" w:space="0" w:color="000000"/>
            </w:tcBorders>
          </w:tcPr>
          <w:p w14:paraId="2C70E677" w14:textId="77777777" w:rsidR="00E91AE1" w:rsidRPr="002E6B69" w:rsidRDefault="00E91AE1" w:rsidP="001D2CEB">
            <w:r w:rsidRPr="002E6B69">
              <w:rPr>
                <w:kern w:val="0"/>
              </w:rPr>
              <w:t>5.9 x 10</w:t>
            </w:r>
            <w:r w:rsidRPr="002E6B69">
              <w:rPr>
                <w:kern w:val="0"/>
                <w:vertAlign w:val="superscript"/>
              </w:rPr>
              <w:t>-2</w:t>
            </w:r>
          </w:p>
        </w:tc>
        <w:tc>
          <w:tcPr>
            <w:tcW w:w="1305" w:type="dxa"/>
            <w:tcBorders>
              <w:top w:val="single" w:sz="6" w:space="0" w:color="000000"/>
              <w:left w:val="single" w:sz="6" w:space="0" w:color="000000"/>
              <w:bottom w:val="single" w:sz="6" w:space="0" w:color="000000"/>
              <w:right w:val="single" w:sz="6" w:space="0" w:color="000000"/>
            </w:tcBorders>
          </w:tcPr>
          <w:p w14:paraId="02461B6E"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56970747"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7AFF1119" w14:textId="77777777" w:rsidR="00E91AE1" w:rsidRPr="002E6B69" w:rsidRDefault="00E91AE1" w:rsidP="001D2CEB">
            <w:pPr>
              <w:pStyle w:val="Base"/>
            </w:pPr>
          </w:p>
        </w:tc>
      </w:tr>
      <w:tr w:rsidR="00E91AE1" w:rsidRPr="002E6B69" w14:paraId="3ABE8A76"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CD72428" w14:textId="77777777" w:rsidR="00E91AE1" w:rsidRPr="002E6B69" w:rsidRDefault="00E91AE1" w:rsidP="001D2CEB">
            <w:r w:rsidRPr="002E6B69">
              <w:rPr>
                <w:kern w:val="0"/>
              </w:rPr>
              <w:t>vinyl chloride (75-01-4)</w:t>
            </w:r>
          </w:p>
        </w:tc>
        <w:tc>
          <w:tcPr>
            <w:tcW w:w="1620" w:type="dxa"/>
            <w:tcBorders>
              <w:top w:val="single" w:sz="6" w:space="0" w:color="000000"/>
              <w:left w:val="single" w:sz="6" w:space="0" w:color="000000"/>
              <w:bottom w:val="single" w:sz="6" w:space="0" w:color="000000"/>
              <w:right w:val="single" w:sz="6" w:space="0" w:color="000000"/>
            </w:tcBorders>
          </w:tcPr>
          <w:p w14:paraId="649319DA" w14:textId="77777777" w:rsidR="00E91AE1" w:rsidRPr="002E6B69" w:rsidRDefault="00E91AE1" w:rsidP="001D2CEB">
            <w:r w:rsidRPr="002E6B69">
              <w:rPr>
                <w:kern w:val="0"/>
              </w:rPr>
              <w:t>3.8 x 10</w:t>
            </w:r>
            <w:r w:rsidRPr="002E6B69">
              <w:rPr>
                <w:kern w:val="0"/>
                <w:vertAlign w:val="superscript"/>
              </w:rPr>
              <w:t>-4</w:t>
            </w:r>
          </w:p>
        </w:tc>
        <w:tc>
          <w:tcPr>
            <w:tcW w:w="1305" w:type="dxa"/>
            <w:tcBorders>
              <w:top w:val="single" w:sz="6" w:space="0" w:color="000000"/>
              <w:left w:val="single" w:sz="6" w:space="0" w:color="000000"/>
              <w:bottom w:val="single" w:sz="6" w:space="0" w:color="000000"/>
              <w:right w:val="single" w:sz="6" w:space="0" w:color="000000"/>
            </w:tcBorders>
          </w:tcPr>
          <w:p w14:paraId="7A539BD4"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748E19D6"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0A821078" w14:textId="77777777" w:rsidR="00E91AE1" w:rsidRPr="002E6B69" w:rsidRDefault="00E91AE1" w:rsidP="001D2CEB">
            <w:pPr>
              <w:pStyle w:val="Base"/>
            </w:pPr>
          </w:p>
        </w:tc>
      </w:tr>
      <w:tr w:rsidR="00E91AE1" w:rsidRPr="002E6B69" w14:paraId="2058287C"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3AD2938E" w14:textId="77777777" w:rsidR="00E91AE1" w:rsidRPr="002E6B69" w:rsidRDefault="00E91AE1" w:rsidP="001D2CEB">
            <w:r w:rsidRPr="002E6B69">
              <w:rPr>
                <w:kern w:val="0"/>
              </w:rPr>
              <w:t>vinylidene chloride (75-35-4)</w:t>
            </w:r>
          </w:p>
        </w:tc>
        <w:tc>
          <w:tcPr>
            <w:tcW w:w="1620" w:type="dxa"/>
            <w:tcBorders>
              <w:top w:val="single" w:sz="6" w:space="0" w:color="000000"/>
              <w:left w:val="single" w:sz="6" w:space="0" w:color="000000"/>
              <w:bottom w:val="single" w:sz="6" w:space="0" w:color="000000"/>
              <w:right w:val="single" w:sz="6" w:space="0" w:color="000000"/>
            </w:tcBorders>
          </w:tcPr>
          <w:p w14:paraId="3B737B6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585165C5" w14:textId="77777777" w:rsidR="00E91AE1" w:rsidRPr="002E6B69" w:rsidRDefault="00E91AE1" w:rsidP="001D2CEB">
            <w:r w:rsidRPr="002E6B69">
              <w:rPr>
                <w:kern w:val="0"/>
              </w:rPr>
              <w:t>0.12</w:t>
            </w:r>
          </w:p>
        </w:tc>
        <w:tc>
          <w:tcPr>
            <w:tcW w:w="1305" w:type="dxa"/>
            <w:tcBorders>
              <w:top w:val="single" w:sz="6" w:space="0" w:color="000000"/>
              <w:left w:val="single" w:sz="6" w:space="0" w:color="000000"/>
              <w:bottom w:val="single" w:sz="6" w:space="0" w:color="000000"/>
              <w:right w:val="single" w:sz="6" w:space="0" w:color="000000"/>
            </w:tcBorders>
          </w:tcPr>
          <w:p w14:paraId="45BA2A7B"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11FC8A73" w14:textId="77777777" w:rsidR="00E91AE1" w:rsidRPr="002E6B69" w:rsidRDefault="00E91AE1" w:rsidP="001D2CEB">
            <w:pPr>
              <w:pStyle w:val="Base"/>
            </w:pPr>
          </w:p>
        </w:tc>
      </w:tr>
      <w:tr w:rsidR="00E91AE1" w:rsidRPr="002E6B69" w14:paraId="21E9F192" w14:textId="77777777" w:rsidTr="001D2CEB">
        <w:tc>
          <w:tcPr>
            <w:tcW w:w="3420" w:type="dxa"/>
            <w:tcBorders>
              <w:top w:val="single" w:sz="6" w:space="0" w:color="000000"/>
              <w:left w:val="single" w:sz="6" w:space="0" w:color="000000"/>
              <w:bottom w:val="single" w:sz="6" w:space="0" w:color="000000"/>
              <w:right w:val="single" w:sz="6" w:space="0" w:color="000000"/>
            </w:tcBorders>
          </w:tcPr>
          <w:p w14:paraId="7115D431" w14:textId="77777777" w:rsidR="00E91AE1" w:rsidRPr="002E6B69" w:rsidRDefault="00E91AE1" w:rsidP="001D2CEB">
            <w:r w:rsidRPr="002E6B69">
              <w:rPr>
                <w:kern w:val="0"/>
              </w:rPr>
              <w:t>xylene (1330-20-7)</w:t>
            </w:r>
          </w:p>
        </w:tc>
        <w:tc>
          <w:tcPr>
            <w:tcW w:w="1620" w:type="dxa"/>
            <w:tcBorders>
              <w:top w:val="single" w:sz="6" w:space="0" w:color="000000"/>
              <w:left w:val="single" w:sz="6" w:space="0" w:color="000000"/>
              <w:bottom w:val="single" w:sz="6" w:space="0" w:color="000000"/>
              <w:right w:val="single" w:sz="6" w:space="0" w:color="000000"/>
            </w:tcBorders>
          </w:tcPr>
          <w:p w14:paraId="6D7A5003" w14:textId="77777777" w:rsidR="00E91AE1" w:rsidRPr="002E6B69" w:rsidRDefault="00E91AE1" w:rsidP="001D2CEB">
            <w:pPr>
              <w:pStyle w:val="Base"/>
            </w:pPr>
          </w:p>
        </w:tc>
        <w:tc>
          <w:tcPr>
            <w:tcW w:w="1305" w:type="dxa"/>
            <w:tcBorders>
              <w:top w:val="single" w:sz="6" w:space="0" w:color="000000"/>
              <w:left w:val="single" w:sz="6" w:space="0" w:color="000000"/>
              <w:bottom w:val="single" w:sz="6" w:space="0" w:color="000000"/>
              <w:right w:val="single" w:sz="6" w:space="0" w:color="000000"/>
            </w:tcBorders>
          </w:tcPr>
          <w:p w14:paraId="085C78CE" w14:textId="77777777" w:rsidR="00E91AE1" w:rsidRPr="002E6B69" w:rsidRDefault="00E91AE1" w:rsidP="001D2CEB">
            <w:r w:rsidRPr="002E6B69">
              <w:rPr>
                <w:kern w:val="0"/>
              </w:rPr>
              <w:t>2.7</w:t>
            </w:r>
          </w:p>
        </w:tc>
        <w:tc>
          <w:tcPr>
            <w:tcW w:w="1305" w:type="dxa"/>
            <w:tcBorders>
              <w:top w:val="single" w:sz="6" w:space="0" w:color="000000"/>
              <w:left w:val="single" w:sz="6" w:space="0" w:color="000000"/>
              <w:bottom w:val="single" w:sz="6" w:space="0" w:color="000000"/>
              <w:right w:val="single" w:sz="6" w:space="0" w:color="000000"/>
            </w:tcBorders>
          </w:tcPr>
          <w:p w14:paraId="5E933819" w14:textId="77777777" w:rsidR="00E91AE1" w:rsidRPr="002E6B69" w:rsidRDefault="00E91AE1" w:rsidP="001D2CEB">
            <w:pPr>
              <w:pStyle w:val="Base"/>
            </w:pPr>
          </w:p>
        </w:tc>
        <w:tc>
          <w:tcPr>
            <w:tcW w:w="1170" w:type="dxa"/>
            <w:tcBorders>
              <w:top w:val="single" w:sz="6" w:space="0" w:color="000000"/>
              <w:left w:val="single" w:sz="6" w:space="0" w:color="000000"/>
              <w:bottom w:val="single" w:sz="6" w:space="0" w:color="000000"/>
              <w:right w:val="single" w:sz="6" w:space="0" w:color="000000"/>
            </w:tcBorders>
          </w:tcPr>
          <w:p w14:paraId="50DBF8F0" w14:textId="77777777" w:rsidR="00E91AE1" w:rsidRPr="002E6B69" w:rsidRDefault="00E91AE1" w:rsidP="001D2CEB">
            <w:r w:rsidRPr="002E6B69">
              <w:rPr>
                <w:kern w:val="0"/>
              </w:rPr>
              <w:t>65</w:t>
            </w:r>
          </w:p>
        </w:tc>
      </w:tr>
    </w:tbl>
    <w:p w14:paraId="26E53479" w14:textId="77777777" w:rsidR="00E91AE1" w:rsidRPr="002E6B69" w:rsidRDefault="00E91AE1" w:rsidP="001D2CEB">
      <w:pPr>
        <w:pStyle w:val="Paragraph"/>
      </w:pPr>
      <w:r w:rsidRPr="002E6B69">
        <w:rPr>
          <w:vertAlign w:val="superscript"/>
        </w:rPr>
        <w:t>a</w:t>
      </w:r>
      <w:r w:rsidRPr="002E6B69">
        <w:t xml:space="preserve"> This compound has not been defined as a carcinogen.</w:t>
      </w:r>
    </w:p>
    <w:p w14:paraId="421AD5E8" w14:textId="77777777" w:rsidR="00E91AE1" w:rsidRPr="002E6B69" w:rsidRDefault="00E91AE1" w:rsidP="001D2CEB">
      <w:pPr>
        <w:pStyle w:val="Base"/>
      </w:pPr>
    </w:p>
    <w:p w14:paraId="1A8CF7DB" w14:textId="379086AA" w:rsidR="00E91AE1" w:rsidRPr="002E6B69" w:rsidRDefault="00E91AE1" w:rsidP="00E91AE1">
      <w:pPr>
        <w:pStyle w:val="HistoryAuthority"/>
        <w:rPr>
          <w:iCs/>
        </w:rPr>
      </w:pPr>
      <w:r w:rsidRPr="002E6B69">
        <w:t>Authority G.S. 143-215.3(a)(1); 143-215.107(a)(3</w:t>
      </w:r>
      <w:proofErr w:type="gramStart"/>
      <w:r w:rsidRPr="002E6B69">
        <w:t>),(</w:t>
      </w:r>
      <w:proofErr w:type="gramEnd"/>
      <w:r w:rsidRPr="002E6B69">
        <w:t>4),(5); 143B-282</w:t>
      </w:r>
      <w:r>
        <w:t>.</w:t>
      </w:r>
    </w:p>
    <w:p w14:paraId="5FAB6305" w14:textId="77777777" w:rsidR="00E91AE1" w:rsidRDefault="00E91AE1" w:rsidP="001D2CEB">
      <w:pPr>
        <w:pStyle w:val="Base"/>
      </w:pPr>
    </w:p>
    <w:p w14:paraId="268BDDCE" w14:textId="5EC8FD54" w:rsidR="00E91AE1" w:rsidRDefault="00E91AE1" w:rsidP="001D2CEB">
      <w:pPr>
        <w:pStyle w:val="Base"/>
        <w:sectPr w:rsidR="00E91AE1" w:rsidSect="00E91AE1">
          <w:type w:val="continuous"/>
          <w:pgSz w:w="12240" w:h="15840"/>
          <w:pgMar w:top="360" w:right="720" w:bottom="360" w:left="720" w:header="360" w:footer="360" w:gutter="0"/>
          <w:cols w:space="360"/>
        </w:sectPr>
      </w:pPr>
    </w:p>
    <w:p w14:paraId="6245E6D3" w14:textId="2A9AD4F8" w:rsidR="00E91AE1" w:rsidRDefault="00E91AE1" w:rsidP="00E91AE1">
      <w:pPr>
        <w:pStyle w:val="Base"/>
        <w:pBdr>
          <w:top w:val="single" w:sz="18" w:space="1" w:color="auto"/>
        </w:pBdr>
      </w:pPr>
    </w:p>
    <w:p w14:paraId="1B55D239" w14:textId="77777777" w:rsidR="00E91AE1" w:rsidRDefault="00E91AE1" w:rsidP="001D2CEB">
      <w:pPr>
        <w:pStyle w:val="Chapter"/>
        <w:rPr>
          <w:caps w:val="0"/>
        </w:rPr>
      </w:pPr>
      <w:r>
        <w:t>Title 21 - Occupational Licensing Boards and Commissions</w:t>
      </w:r>
    </w:p>
    <w:p w14:paraId="466E9824" w14:textId="77777777" w:rsidR="00E91AE1" w:rsidRDefault="00E91AE1" w:rsidP="001D2CEB">
      <w:pPr>
        <w:pStyle w:val="SubChapter"/>
      </w:pPr>
    </w:p>
    <w:p w14:paraId="1BCF8934" w14:textId="77777777" w:rsidR="00E91AE1" w:rsidRDefault="00E91AE1" w:rsidP="001D2CEB">
      <w:pPr>
        <w:pStyle w:val="Chapter"/>
        <w:rPr>
          <w:caps w:val="0"/>
        </w:rPr>
      </w:pPr>
      <w:r>
        <w:t>Chapter 58 - Real Estate Commission</w:t>
      </w:r>
    </w:p>
    <w:p w14:paraId="03CF477E" w14:textId="77777777" w:rsidR="00E91AE1" w:rsidRPr="00B31E75" w:rsidRDefault="00E91AE1">
      <w:pPr>
        <w:pStyle w:val="Base"/>
      </w:pPr>
    </w:p>
    <w:p w14:paraId="41F657B5" w14:textId="77777777" w:rsidR="00E91AE1" w:rsidRPr="00B31E75" w:rsidRDefault="00E91AE1">
      <w:pPr>
        <w:pStyle w:val="Paragraph"/>
        <w:rPr>
          <w:i/>
          <w:iCs/>
        </w:rPr>
      </w:pPr>
      <w:r w:rsidRPr="00B31E75">
        <w:rPr>
          <w:b/>
          <w:bCs/>
          <w:i/>
          <w:iCs/>
        </w:rPr>
        <w:t>Notice</w:t>
      </w:r>
      <w:r w:rsidRPr="00B31E75">
        <w:rPr>
          <w:i/>
          <w:iCs/>
        </w:rPr>
        <w:t xml:space="preserve"> is hereby given in accordance with G.S. 150B-21.2 that the </w:t>
      </w:r>
      <w:r>
        <w:rPr>
          <w:i/>
          <w:iCs/>
        </w:rPr>
        <w:t>Real Estate Commission</w:t>
      </w:r>
      <w:r w:rsidRPr="00B31E75">
        <w:rPr>
          <w:i/>
          <w:iCs/>
        </w:rPr>
        <w:t xml:space="preserve"> intends to</w:t>
      </w:r>
      <w:r>
        <w:rPr>
          <w:i/>
          <w:iCs/>
        </w:rPr>
        <w:t xml:space="preserve"> amend the rules cited as 21 NCAC 58A .0616, .1708, .1710, .1711, .1904; 58H .0101, .0201- .0210, .0301- .0305, .0401-.0404, and repeal the rules cited as 21 NCAC 58A .1903; 58H .0211-.0215, and .0405-.0414</w:t>
      </w:r>
      <w:r w:rsidRPr="00B31E75">
        <w:rPr>
          <w:i/>
          <w:iCs/>
        </w:rPr>
        <w:t>.</w:t>
      </w:r>
    </w:p>
    <w:p w14:paraId="228F97AB" w14:textId="77777777" w:rsidR="00E91AE1" w:rsidRDefault="00E91AE1">
      <w:pPr>
        <w:pStyle w:val="Base"/>
      </w:pPr>
    </w:p>
    <w:p w14:paraId="79BA3796" w14:textId="77777777" w:rsidR="00E91AE1" w:rsidRPr="001225B9" w:rsidRDefault="00E91AE1" w:rsidP="001D2CEB">
      <w:pPr>
        <w:pStyle w:val="Base"/>
        <w:rPr>
          <w:i/>
        </w:rPr>
      </w:pPr>
      <w:r w:rsidRPr="001225B9">
        <w:rPr>
          <w:i/>
        </w:rPr>
        <w:t xml:space="preserve">Pursuant to G.S. 150B-21.17, the Codifier has determined it impractical to publish the text of rules proposed for repeal unless the agency requests otherwise.  The text of the rule(s) are available on the OAH website at </w:t>
      </w:r>
      <w:hyperlink r:id="rId19" w:history="1">
        <w:r w:rsidRPr="00EA7F95">
          <w:t>h</w:t>
        </w:r>
        <w:r w:rsidRPr="001225B9">
          <w:rPr>
            <w:i/>
          </w:rPr>
          <w:t>ttp://reports.oah.state.nc.us/ncac.asp</w:t>
        </w:r>
      </w:hyperlink>
      <w:r w:rsidRPr="001225B9">
        <w:rPr>
          <w:i/>
        </w:rPr>
        <w:t>.</w:t>
      </w:r>
    </w:p>
    <w:p w14:paraId="77F365BB" w14:textId="77777777" w:rsidR="00E91AE1" w:rsidRDefault="00E91AE1" w:rsidP="001D2CEB">
      <w:pPr>
        <w:rPr>
          <w:i/>
          <w:iCs/>
        </w:rPr>
      </w:pPr>
    </w:p>
    <w:p w14:paraId="4F92BB08" w14:textId="77777777" w:rsidR="00E91AE1" w:rsidRPr="00B31E75" w:rsidRDefault="00E91AE1" w:rsidP="001D2CEB">
      <w:pPr>
        <w:pStyle w:val="Paragraph"/>
        <w:rPr>
          <w:b/>
          <w:i/>
        </w:rPr>
      </w:pPr>
      <w:r w:rsidRPr="00B31E75">
        <w:rPr>
          <w:b/>
        </w:rPr>
        <w:t>Link to agency website pursuant to G.S. 150B-19.1(c):</w:t>
      </w:r>
      <w:r w:rsidRPr="00B31E75">
        <w:rPr>
          <w:b/>
          <w:i/>
        </w:rPr>
        <w:t xml:space="preserve">  </w:t>
      </w:r>
      <w:r>
        <w:rPr>
          <w:i/>
        </w:rPr>
        <w:t>www.ncrec.gov</w:t>
      </w:r>
    </w:p>
    <w:p w14:paraId="4B1E04BC" w14:textId="77777777" w:rsidR="00E91AE1" w:rsidRPr="00B31E75" w:rsidRDefault="00E91AE1" w:rsidP="001D2CEB">
      <w:pPr>
        <w:pStyle w:val="Paragraph"/>
        <w:rPr>
          <w:b/>
        </w:rPr>
      </w:pPr>
    </w:p>
    <w:p w14:paraId="59A8908A" w14:textId="77777777" w:rsidR="00E91AE1" w:rsidRPr="00B31E75" w:rsidRDefault="00E91AE1">
      <w:pPr>
        <w:pStyle w:val="Paragraph"/>
        <w:rPr>
          <w:i/>
        </w:rPr>
      </w:pPr>
      <w:r w:rsidRPr="00B31E75">
        <w:rPr>
          <w:b/>
          <w:bCs/>
        </w:rPr>
        <w:t>Proposed Effective Date:</w:t>
      </w:r>
      <w:r w:rsidRPr="00B31E75">
        <w:rPr>
          <w:b/>
          <w:bCs/>
          <w:i/>
        </w:rPr>
        <w:t xml:space="preserve">  </w:t>
      </w:r>
      <w:r>
        <w:rPr>
          <w:i/>
          <w:color w:val="000000"/>
        </w:rPr>
        <w:t>July 1, 2020</w:t>
      </w:r>
    </w:p>
    <w:p w14:paraId="32BDDBB8" w14:textId="77777777" w:rsidR="00E91AE1" w:rsidRPr="00B31E75" w:rsidRDefault="00E91AE1">
      <w:pPr>
        <w:pStyle w:val="Base"/>
      </w:pPr>
    </w:p>
    <w:p w14:paraId="38A2F6AA" w14:textId="77777777" w:rsidR="00E91AE1" w:rsidRDefault="00E91AE1" w:rsidP="001D2CEB">
      <w:pPr>
        <w:pStyle w:val="Base"/>
        <w:tabs>
          <w:tab w:val="left" w:pos="936"/>
        </w:tabs>
        <w:rPr>
          <w:b/>
        </w:rPr>
      </w:pPr>
      <w:r>
        <w:rPr>
          <w:b/>
        </w:rPr>
        <w:t>Public Hearing:</w:t>
      </w:r>
    </w:p>
    <w:p w14:paraId="5EDDA2E9" w14:textId="77777777" w:rsidR="00E91AE1" w:rsidRDefault="00E91AE1" w:rsidP="001D2CEB">
      <w:pPr>
        <w:pStyle w:val="Base"/>
        <w:tabs>
          <w:tab w:val="left" w:pos="936"/>
        </w:tabs>
      </w:pPr>
      <w:r>
        <w:rPr>
          <w:b/>
        </w:rPr>
        <w:t>Date:</w:t>
      </w:r>
      <w:r>
        <w:rPr>
          <w:i/>
        </w:rPr>
        <w:t xml:space="preserve">  March 18, 2020</w:t>
      </w:r>
    </w:p>
    <w:p w14:paraId="77BFA599" w14:textId="77777777" w:rsidR="00E91AE1" w:rsidRDefault="00E91AE1" w:rsidP="001D2CEB">
      <w:pPr>
        <w:pStyle w:val="Base"/>
        <w:tabs>
          <w:tab w:val="left" w:pos="936"/>
        </w:tabs>
      </w:pPr>
      <w:r>
        <w:rPr>
          <w:b/>
        </w:rPr>
        <w:t>Time:</w:t>
      </w:r>
      <w:r>
        <w:rPr>
          <w:i/>
        </w:rPr>
        <w:t xml:space="preserve">  9:00 a.m.</w:t>
      </w:r>
    </w:p>
    <w:p w14:paraId="0E40E070" w14:textId="77777777" w:rsidR="00E91AE1" w:rsidRDefault="00E91AE1" w:rsidP="001D2CEB">
      <w:pPr>
        <w:pStyle w:val="Base"/>
        <w:tabs>
          <w:tab w:val="left" w:pos="936"/>
        </w:tabs>
      </w:pPr>
      <w:r>
        <w:rPr>
          <w:b/>
        </w:rPr>
        <w:t>Location:</w:t>
      </w:r>
      <w:r>
        <w:rPr>
          <w:i/>
        </w:rPr>
        <w:t xml:space="preserve">  NC Real Estate Commission, 1313 Navaho Drive, Raleigh, NC 27609</w:t>
      </w:r>
    </w:p>
    <w:p w14:paraId="69EED3EB" w14:textId="77777777" w:rsidR="00E91AE1" w:rsidRDefault="00E91AE1" w:rsidP="001D2CEB">
      <w:pPr>
        <w:pStyle w:val="Base"/>
        <w:tabs>
          <w:tab w:val="left" w:pos="936"/>
        </w:tabs>
      </w:pPr>
    </w:p>
    <w:p w14:paraId="0A44D729" w14:textId="77777777" w:rsidR="00E91AE1" w:rsidRPr="00B31E75" w:rsidRDefault="00E91AE1">
      <w:pPr>
        <w:pStyle w:val="Paragraph"/>
        <w:rPr>
          <w:i/>
          <w:iCs/>
        </w:rPr>
      </w:pPr>
      <w:r w:rsidRPr="00B31E75">
        <w:rPr>
          <w:b/>
          <w:bCs/>
        </w:rPr>
        <w:t>Reason for Proposed Action:</w:t>
      </w:r>
      <w:r w:rsidRPr="00B31E75">
        <w:t xml:space="preserve">  </w:t>
      </w:r>
      <w:r>
        <w:rPr>
          <w:i/>
          <w:color w:val="000000"/>
          <w:highlight w:val="white"/>
        </w:rPr>
        <w:t>The rule changes and repeals to Subchapters 58A and 58H are necessary to implement legislative requirements in S.L. 2019-195 that groups licensed schools and continuing education sponsors together as one term "certified education providers" and to allow online real estate education classes. The rule changes are also necessary to make technical corrections such as: formatting rule text, clarifying language, deleting unnecessary language, and correcting cross-references, inconsistencies, and authorities.  21 NCAC 58A .1903 is proposed to repeal extensions of time to complete Postlicensing education.</w:t>
      </w:r>
    </w:p>
    <w:p w14:paraId="0DFEEBE1" w14:textId="77777777" w:rsidR="00E91AE1" w:rsidRPr="00B31E75" w:rsidRDefault="00E91AE1">
      <w:pPr>
        <w:pStyle w:val="Paragraph"/>
        <w:rPr>
          <w:i/>
          <w:iCs/>
        </w:rPr>
      </w:pPr>
    </w:p>
    <w:p w14:paraId="07ABE21F" w14:textId="77777777" w:rsidR="00E91AE1" w:rsidRPr="001225B9" w:rsidRDefault="00E91AE1" w:rsidP="001D2CEB">
      <w:pPr>
        <w:rPr>
          <w:i/>
          <w:iCs/>
        </w:rPr>
      </w:pPr>
      <w:r w:rsidRPr="00B31E75">
        <w:rPr>
          <w:b/>
          <w:bCs/>
        </w:rPr>
        <w:t xml:space="preserve">Comments may be submitted </w:t>
      </w:r>
      <w:proofErr w:type="gramStart"/>
      <w:r w:rsidRPr="00B31E75">
        <w:rPr>
          <w:b/>
          <w:bCs/>
        </w:rPr>
        <w:t>to:</w:t>
      </w:r>
      <w:proofErr w:type="gramEnd"/>
      <w:r w:rsidRPr="00B31E75">
        <w:rPr>
          <w:b/>
          <w:bCs/>
        </w:rPr>
        <w:t xml:space="preserve">  </w:t>
      </w:r>
      <w:r w:rsidRPr="001225B9">
        <w:rPr>
          <w:i/>
          <w:iCs/>
          <w:highlight w:val="white"/>
        </w:rPr>
        <w:t>Melissa Vuotto, PO Box 17100, Raleigh, NC 27619; email Public.Comment@ncrec.gov</w:t>
      </w:r>
    </w:p>
    <w:p w14:paraId="680E6865" w14:textId="77777777" w:rsidR="00E91AE1" w:rsidRPr="00B31E75" w:rsidRDefault="00E91AE1" w:rsidP="001D2CEB">
      <w:pPr>
        <w:pStyle w:val="Paragraph"/>
        <w:rPr>
          <w:i/>
          <w:iCs/>
        </w:rPr>
      </w:pPr>
    </w:p>
    <w:p w14:paraId="0BC7E02F" w14:textId="77777777" w:rsidR="00E91AE1" w:rsidRPr="00B31E75" w:rsidRDefault="00E91AE1" w:rsidP="001D2CEB">
      <w:pPr>
        <w:pStyle w:val="Paragraph"/>
        <w:rPr>
          <w:b/>
        </w:rPr>
      </w:pPr>
      <w:r w:rsidRPr="00B31E75">
        <w:rPr>
          <w:b/>
          <w:iCs/>
        </w:rPr>
        <w:t>Comment period ends:</w:t>
      </w:r>
      <w:r w:rsidRPr="00B31E75">
        <w:rPr>
          <w:b/>
          <w:i/>
          <w:iCs/>
        </w:rPr>
        <w:t xml:space="preserve">  </w:t>
      </w:r>
      <w:r>
        <w:rPr>
          <w:i/>
          <w:color w:val="000000"/>
          <w:highlight w:val="white"/>
        </w:rPr>
        <w:t>April 5, 2020</w:t>
      </w:r>
    </w:p>
    <w:p w14:paraId="0DF0175C" w14:textId="77777777" w:rsidR="00E91AE1" w:rsidRPr="00B31E75" w:rsidRDefault="00E91AE1">
      <w:pPr>
        <w:pStyle w:val="Paragraph"/>
      </w:pPr>
    </w:p>
    <w:p w14:paraId="4EBCE54F" w14:textId="77777777" w:rsidR="00E91AE1" w:rsidRPr="00B31E75" w:rsidRDefault="00E91AE1" w:rsidP="001D2CE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3FB5ED14" w14:textId="77777777" w:rsidR="00E91AE1" w:rsidRPr="00B31E75" w:rsidRDefault="00E91AE1" w:rsidP="001D2CEB">
      <w:pPr>
        <w:pStyle w:val="Paragraph"/>
      </w:pPr>
    </w:p>
    <w:p w14:paraId="4154E8E4" w14:textId="77777777" w:rsidR="00E91AE1" w:rsidRPr="00B31E75" w:rsidRDefault="00E91AE1" w:rsidP="001D2CEB">
      <w:pPr>
        <w:pStyle w:val="Paragraph"/>
        <w:rPr>
          <w:b/>
        </w:rPr>
      </w:pPr>
      <w:r w:rsidRPr="00B31E75">
        <w:rPr>
          <w:b/>
        </w:rPr>
        <w:t>Fiscal impact. Does any rule or combination of rules in this notice create an economic impact? Check all that apply.</w:t>
      </w:r>
    </w:p>
    <w:p w14:paraId="71773763"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State funds affected</w:t>
      </w:r>
    </w:p>
    <w:p w14:paraId="0594B286"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Local funds affected</w:t>
      </w:r>
    </w:p>
    <w:p w14:paraId="34918557"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Substantial economic impact (&gt;= $1,000,000)</w:t>
      </w:r>
    </w:p>
    <w:p w14:paraId="4DB51918"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Approved by OSBM</w:t>
      </w:r>
    </w:p>
    <w:p w14:paraId="37909A4A"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No fiscal note required</w:t>
      </w:r>
    </w:p>
    <w:p w14:paraId="417BEA4A" w14:textId="77777777" w:rsidR="00E91AE1" w:rsidRPr="00B31E75" w:rsidRDefault="00E91AE1" w:rsidP="001D2CEB">
      <w:pPr>
        <w:pStyle w:val="Paragraph"/>
      </w:pPr>
    </w:p>
    <w:p w14:paraId="49D7F7D1" w14:textId="77777777" w:rsidR="00E91AE1" w:rsidRDefault="00E91AE1" w:rsidP="001D2CEB">
      <w:pPr>
        <w:pStyle w:val="SubChapter"/>
      </w:pPr>
      <w:r>
        <w:t>SUBCHAPTER 58A – REAL ESTATE BROKERS</w:t>
      </w:r>
    </w:p>
    <w:p w14:paraId="7D4AEC15" w14:textId="77777777" w:rsidR="00E91AE1" w:rsidRDefault="00E91AE1" w:rsidP="001D2CEB">
      <w:pPr>
        <w:pStyle w:val="Base"/>
      </w:pPr>
    </w:p>
    <w:p w14:paraId="3E4FD5B1" w14:textId="77777777" w:rsidR="00E91AE1" w:rsidRDefault="00E91AE1" w:rsidP="001D2CEB">
      <w:pPr>
        <w:pStyle w:val="Section"/>
      </w:pPr>
      <w:r>
        <w:t>SECTION .0600 – REAL ESTATE COMMISSION HEARINGS</w:t>
      </w:r>
    </w:p>
    <w:p w14:paraId="17C5CF14" w14:textId="77777777" w:rsidR="00E91AE1" w:rsidRPr="009D1663" w:rsidRDefault="00E91AE1" w:rsidP="001D2CEB">
      <w:pPr>
        <w:pStyle w:val="Base"/>
      </w:pPr>
    </w:p>
    <w:p w14:paraId="1AA5FBB3" w14:textId="77777777" w:rsidR="00E91AE1" w:rsidRPr="009D1663" w:rsidRDefault="00E91AE1" w:rsidP="001D2CEB">
      <w:pPr>
        <w:pStyle w:val="Rule"/>
      </w:pPr>
      <w:r w:rsidRPr="009D1663">
        <w:t>21 NCAC 58A .0616</w:t>
      </w:r>
      <w:r w:rsidRPr="009D1663">
        <w:tab/>
        <w:t>PROCEDURES FOR REQUESTING HEARINGS WHEN APPLICANT's CHARACTER IS IN QUESTION</w:t>
      </w:r>
    </w:p>
    <w:p w14:paraId="6CB5B5CD" w14:textId="77777777" w:rsidR="00E91AE1" w:rsidRPr="009D1663" w:rsidRDefault="00E91AE1" w:rsidP="001D2CEB">
      <w:pPr>
        <w:pStyle w:val="Paragraph"/>
      </w:pPr>
      <w:r w:rsidRPr="009D1663">
        <w:t xml:space="preserve">(a)  When the moral character of an applicant for licensure or approval is in question, the applicant shall not be licensed or approved until the applicant has affirmatively demonstrated that </w:t>
      </w:r>
      <w:r w:rsidRPr="009D1663">
        <w:lastRenderedPageBreak/>
        <w:t xml:space="preserve">the applicant possesses the requisite honesty, truthfulness, integrity, good moral character, and general fitness, including mental and emotional fitness, necessary to protect the public interest and promote public confidence in the real estate brokerage business. For the purposes of this Rule, applicant means any person or entity making application for licensure as a real estate broker or for licensure or approval as </w:t>
      </w:r>
      <w:r w:rsidRPr="009D1663">
        <w:rPr>
          <w:strike/>
        </w:rPr>
        <w:t>a prelicensing or continuing education instructor, director, coordinator, school or sponsor.</w:t>
      </w:r>
      <w:r w:rsidRPr="009D1663">
        <w:t xml:space="preserve"> </w:t>
      </w:r>
      <w:r w:rsidRPr="009D1663">
        <w:rPr>
          <w:u w:val="single"/>
        </w:rPr>
        <w:t>an instructor.</w:t>
      </w:r>
    </w:p>
    <w:p w14:paraId="120C6705" w14:textId="77777777" w:rsidR="00E91AE1" w:rsidRPr="009D1663" w:rsidRDefault="00E91AE1" w:rsidP="001D2CEB">
      <w:pPr>
        <w:pStyle w:val="Paragraph"/>
      </w:pPr>
      <w:r w:rsidRPr="009D1663">
        <w:t>(b)  When the applicant is an entity, it shall be directed and controlled by persons who possess the requisite honesty, truthfulness, integrity, good moral character, and general fitness, including mental and emotional fitness, necessary to protect the public interest and promote public confidence in the real estate brokerage business.</w:t>
      </w:r>
    </w:p>
    <w:p w14:paraId="00D8F3E0" w14:textId="77777777" w:rsidR="00E91AE1" w:rsidRPr="009D1663" w:rsidRDefault="00E91AE1" w:rsidP="001D2CEB">
      <w:pPr>
        <w:pStyle w:val="Paragraph"/>
      </w:pPr>
      <w:r w:rsidRPr="009D1663">
        <w:t>(c)  When the character of an applicant is in question, the Commission shall defer action upon the application until the applicant is notified by letter. The letter informing the applicant that his or her moral character is in question shall be sent by certified mail, return receipt requested, to the address shown upon the application. The applicant shall have 60 days from the date of receipt of this letter to request a hearing before the Commission. If the applicant fails to request a hearing within this time or if a properly addressed letter is returned to the Commission undelivered, applicant's right to a hearing shall be considered waived and the application shall be deemed denied. If the applicant makes a timely request for a hearing in accordance with the provisions of this Rule, the Commission shall provide the applicant with a Notice of Hearing and hearing as required by G.S. 150B, Article 3A.</w:t>
      </w:r>
    </w:p>
    <w:p w14:paraId="1E108FAD" w14:textId="77777777" w:rsidR="00E91AE1" w:rsidRPr="009D1663" w:rsidRDefault="00E91AE1" w:rsidP="001D2CEB">
      <w:pPr>
        <w:pStyle w:val="Paragraph"/>
      </w:pPr>
      <w:r w:rsidRPr="009D1663">
        <w:t>(d)  Nothing in this Rule shall be interpreted to prevent an unsuccessful applicant from reapplying for licensure or approval if such application is otherwise permitted by law.</w:t>
      </w:r>
    </w:p>
    <w:p w14:paraId="7C649545" w14:textId="77777777" w:rsidR="00E91AE1" w:rsidRPr="009D1663" w:rsidRDefault="00E91AE1" w:rsidP="001D2CEB">
      <w:pPr>
        <w:pStyle w:val="Base"/>
      </w:pPr>
    </w:p>
    <w:p w14:paraId="39BF70F7" w14:textId="48EF546E" w:rsidR="00E91AE1" w:rsidRPr="009D1663" w:rsidRDefault="00E91AE1" w:rsidP="00E91AE1">
      <w:pPr>
        <w:pStyle w:val="HistoryAuthority"/>
      </w:pPr>
      <w:r w:rsidRPr="009D1663">
        <w:t>Authority G.S. 93A-4</w:t>
      </w:r>
      <w:r>
        <w:t>.</w:t>
      </w:r>
    </w:p>
    <w:p w14:paraId="265CD05D" w14:textId="77777777" w:rsidR="00E91AE1" w:rsidRPr="009D1663" w:rsidRDefault="00E91AE1" w:rsidP="001D2CEB">
      <w:pPr>
        <w:pStyle w:val="Base"/>
      </w:pPr>
    </w:p>
    <w:p w14:paraId="51B23462" w14:textId="77777777" w:rsidR="00E91AE1" w:rsidRDefault="00E91AE1" w:rsidP="001D2CEB">
      <w:pPr>
        <w:pStyle w:val="Section"/>
      </w:pPr>
      <w:r>
        <w:t>SECTION .1700 – MANDATORY CONTINUING EDUCATION</w:t>
      </w:r>
    </w:p>
    <w:p w14:paraId="3C908113" w14:textId="77777777" w:rsidR="00E91AE1" w:rsidRPr="006111F1" w:rsidRDefault="00E91AE1" w:rsidP="001D2CEB">
      <w:pPr>
        <w:pStyle w:val="Base"/>
      </w:pPr>
    </w:p>
    <w:p w14:paraId="0EB477D8" w14:textId="77777777" w:rsidR="00E91AE1" w:rsidRPr="006111F1" w:rsidRDefault="00E91AE1" w:rsidP="001D2CEB">
      <w:pPr>
        <w:pStyle w:val="Rule"/>
      </w:pPr>
      <w:r w:rsidRPr="006111F1">
        <w:t>21 NCAC 58A .1708</w:t>
      </w:r>
      <w:r w:rsidRPr="006111F1">
        <w:tab/>
        <w:t>EQUIVALENT CREDIT</w:t>
      </w:r>
    </w:p>
    <w:p w14:paraId="3C6646F3" w14:textId="77777777" w:rsidR="00E91AE1" w:rsidRPr="006111F1" w:rsidRDefault="00E91AE1" w:rsidP="001D2CEB">
      <w:pPr>
        <w:pStyle w:val="Paragraph"/>
        <w:rPr>
          <w:szCs w:val="28"/>
        </w:rPr>
      </w:pPr>
      <w:r w:rsidRPr="006111F1">
        <w:t>(a)  The Commission shall award a broker continuing education credit for teaching a Commission Update Course.</w:t>
      </w:r>
      <w:r w:rsidRPr="006111F1">
        <w:rPr>
          <w:szCs w:val="28"/>
        </w:rPr>
        <w:t xml:space="preserve"> </w:t>
      </w:r>
      <w:r w:rsidRPr="006111F1">
        <w:t>A broker seeking continuing education credit for teaching a Commission Update Course shall submit a form, available on the Commission's website, that requires the broker to set forth the:</w:t>
      </w:r>
    </w:p>
    <w:p w14:paraId="3ABCBBEF" w14:textId="77777777" w:rsidR="00E91AE1" w:rsidRPr="006111F1" w:rsidRDefault="00E91AE1" w:rsidP="001D2CEB">
      <w:pPr>
        <w:pStyle w:val="SubParagraph"/>
        <w:tabs>
          <w:tab w:val="clear" w:pos="1800"/>
        </w:tabs>
      </w:pPr>
      <w:r w:rsidRPr="006111F1">
        <w:t>(1)</w:t>
      </w:r>
      <w:r w:rsidRPr="006111F1">
        <w:tab/>
        <w:t>broker's name, license number, instructor number, address, telephone number, and email address;</w:t>
      </w:r>
    </w:p>
    <w:p w14:paraId="758289A0" w14:textId="77777777" w:rsidR="00E91AE1" w:rsidRPr="006111F1" w:rsidRDefault="00E91AE1" w:rsidP="001D2CEB">
      <w:pPr>
        <w:pStyle w:val="SubParagraph"/>
        <w:tabs>
          <w:tab w:val="clear" w:pos="1800"/>
        </w:tabs>
      </w:pPr>
      <w:r w:rsidRPr="006111F1">
        <w:t>(2)</w:t>
      </w:r>
      <w:r w:rsidRPr="006111F1">
        <w:tab/>
        <w:t>Update Course number;</w:t>
      </w:r>
    </w:p>
    <w:p w14:paraId="2BE6BC1B" w14:textId="77777777" w:rsidR="00E91AE1" w:rsidRPr="006111F1" w:rsidRDefault="00E91AE1" w:rsidP="001D2CEB">
      <w:pPr>
        <w:pStyle w:val="SubParagraph"/>
        <w:tabs>
          <w:tab w:val="clear" w:pos="1800"/>
        </w:tabs>
      </w:pPr>
      <w:r w:rsidRPr="006111F1">
        <w:t>(3)</w:t>
      </w:r>
      <w:r w:rsidRPr="006111F1">
        <w:tab/>
      </w:r>
      <w:r w:rsidRPr="006111F1">
        <w:rPr>
          <w:strike/>
        </w:rPr>
        <w:t>sponsor's</w:t>
      </w:r>
      <w:r w:rsidRPr="006111F1">
        <w:t xml:space="preserve"> </w:t>
      </w:r>
      <w:r w:rsidRPr="006111F1">
        <w:rPr>
          <w:u w:val="single"/>
        </w:rPr>
        <w:t>education provider's</w:t>
      </w:r>
      <w:r w:rsidRPr="006111F1">
        <w:t xml:space="preserve"> name and number;</w:t>
      </w:r>
    </w:p>
    <w:p w14:paraId="4DCB30BF" w14:textId="77777777" w:rsidR="00E91AE1" w:rsidRPr="006111F1" w:rsidRDefault="00E91AE1" w:rsidP="001D2CEB">
      <w:pPr>
        <w:pStyle w:val="SubParagraph"/>
        <w:tabs>
          <w:tab w:val="clear" w:pos="1800"/>
        </w:tabs>
      </w:pPr>
      <w:r w:rsidRPr="006111F1">
        <w:t>(4)</w:t>
      </w:r>
      <w:r w:rsidRPr="006111F1">
        <w:tab/>
      </w:r>
      <w:r w:rsidRPr="006111F1">
        <w:rPr>
          <w:strike/>
        </w:rPr>
        <w:t>sponsor's</w:t>
      </w:r>
      <w:r w:rsidRPr="006111F1">
        <w:t xml:space="preserve"> </w:t>
      </w:r>
      <w:r w:rsidRPr="006111F1">
        <w:rPr>
          <w:u w:val="single"/>
        </w:rPr>
        <w:t>education provider's</w:t>
      </w:r>
      <w:r w:rsidRPr="006111F1">
        <w:t xml:space="preserve"> address; and</w:t>
      </w:r>
    </w:p>
    <w:p w14:paraId="071A0088" w14:textId="77777777" w:rsidR="00E91AE1" w:rsidRPr="006111F1" w:rsidRDefault="00E91AE1" w:rsidP="001D2CEB">
      <w:pPr>
        <w:pStyle w:val="SubParagraph"/>
        <w:tabs>
          <w:tab w:val="clear" w:pos="1800"/>
        </w:tabs>
      </w:pPr>
      <w:r w:rsidRPr="006111F1">
        <w:t>(5)</w:t>
      </w:r>
      <w:r w:rsidRPr="006111F1">
        <w:tab/>
        <w:t>date the course was taught.</w:t>
      </w:r>
    </w:p>
    <w:p w14:paraId="0B931F86" w14:textId="77777777" w:rsidR="00E91AE1" w:rsidRPr="006111F1" w:rsidRDefault="00E91AE1" w:rsidP="001D2CEB">
      <w:pPr>
        <w:pStyle w:val="Paragraph"/>
        <w:rPr>
          <w:szCs w:val="28"/>
        </w:rPr>
      </w:pPr>
      <w:r w:rsidRPr="006111F1">
        <w:t xml:space="preserve">(b)  The Commission shall award a broker continuing education elective credit for teaching a Commission approved continuing education elective for the first time any given continuing education elective is taught. A broker seeking continuing education credit under this Paragraph shall submit a form, </w:t>
      </w:r>
      <w:r w:rsidRPr="006111F1">
        <w:t>available on the Commission's website, that requires the broker to set forth the:</w:t>
      </w:r>
    </w:p>
    <w:p w14:paraId="262D2169" w14:textId="77777777" w:rsidR="00E91AE1" w:rsidRPr="006111F1" w:rsidRDefault="00E91AE1" w:rsidP="001D2CEB">
      <w:pPr>
        <w:pStyle w:val="SubParagraph"/>
        <w:tabs>
          <w:tab w:val="clear" w:pos="1800"/>
        </w:tabs>
      </w:pPr>
      <w:r w:rsidRPr="006111F1">
        <w:t>(1)</w:t>
      </w:r>
      <w:r w:rsidRPr="006111F1">
        <w:tab/>
        <w:t>broker's name, license number, address, telephone number, and email address;</w:t>
      </w:r>
    </w:p>
    <w:p w14:paraId="2C6788CB" w14:textId="77777777" w:rsidR="00E91AE1" w:rsidRPr="006111F1" w:rsidRDefault="00E91AE1" w:rsidP="001D2CEB">
      <w:pPr>
        <w:pStyle w:val="SubParagraph"/>
        <w:tabs>
          <w:tab w:val="clear" w:pos="1800"/>
        </w:tabs>
      </w:pPr>
      <w:r w:rsidRPr="006111F1">
        <w:t>(2)</w:t>
      </w:r>
      <w:r w:rsidRPr="006111F1">
        <w:tab/>
        <w:t>course title;</w:t>
      </w:r>
    </w:p>
    <w:p w14:paraId="1AF7B0CF" w14:textId="77777777" w:rsidR="00E91AE1" w:rsidRPr="006111F1" w:rsidRDefault="00E91AE1" w:rsidP="001D2CEB">
      <w:pPr>
        <w:pStyle w:val="SubParagraph"/>
        <w:tabs>
          <w:tab w:val="clear" w:pos="1800"/>
        </w:tabs>
      </w:pPr>
      <w:r w:rsidRPr="006111F1">
        <w:t>(3)</w:t>
      </w:r>
      <w:r w:rsidRPr="006111F1">
        <w:tab/>
        <w:t>course number;</w:t>
      </w:r>
    </w:p>
    <w:p w14:paraId="2B46BF9B" w14:textId="77777777" w:rsidR="00E91AE1" w:rsidRPr="006111F1" w:rsidRDefault="00E91AE1" w:rsidP="001D2CEB">
      <w:pPr>
        <w:pStyle w:val="SubParagraph"/>
        <w:tabs>
          <w:tab w:val="clear" w:pos="1800"/>
        </w:tabs>
      </w:pPr>
      <w:r w:rsidRPr="006111F1">
        <w:t>(4)</w:t>
      </w:r>
      <w:r w:rsidRPr="006111F1">
        <w:tab/>
      </w:r>
      <w:r w:rsidRPr="006111F1">
        <w:rPr>
          <w:strike/>
        </w:rPr>
        <w:t>sponsor's</w:t>
      </w:r>
      <w:r w:rsidRPr="006111F1">
        <w:t xml:space="preserve"> </w:t>
      </w:r>
      <w:r w:rsidRPr="006111F1">
        <w:rPr>
          <w:u w:val="single"/>
        </w:rPr>
        <w:t>education provider's</w:t>
      </w:r>
      <w:r w:rsidRPr="006111F1">
        <w:t xml:space="preserve"> name and number;</w:t>
      </w:r>
    </w:p>
    <w:p w14:paraId="54315EF2" w14:textId="77777777" w:rsidR="00E91AE1" w:rsidRPr="006111F1" w:rsidRDefault="00E91AE1" w:rsidP="001D2CEB">
      <w:pPr>
        <w:pStyle w:val="SubParagraph"/>
        <w:tabs>
          <w:tab w:val="clear" w:pos="1800"/>
        </w:tabs>
      </w:pPr>
      <w:r w:rsidRPr="006111F1">
        <w:t>(5)</w:t>
      </w:r>
      <w:r w:rsidRPr="006111F1">
        <w:tab/>
      </w:r>
      <w:r w:rsidRPr="006111F1">
        <w:rPr>
          <w:strike/>
        </w:rPr>
        <w:t>sponsor's</w:t>
      </w:r>
      <w:r w:rsidRPr="006111F1">
        <w:t xml:space="preserve"> </w:t>
      </w:r>
      <w:r w:rsidRPr="006111F1">
        <w:rPr>
          <w:u w:val="single"/>
        </w:rPr>
        <w:t>education provider's</w:t>
      </w:r>
      <w:r w:rsidRPr="006111F1">
        <w:t xml:space="preserve"> address; and</w:t>
      </w:r>
    </w:p>
    <w:p w14:paraId="05144841" w14:textId="77777777" w:rsidR="00E91AE1" w:rsidRPr="006111F1" w:rsidRDefault="00E91AE1" w:rsidP="001D2CEB">
      <w:pPr>
        <w:pStyle w:val="SubParagraph"/>
        <w:tabs>
          <w:tab w:val="clear" w:pos="1800"/>
        </w:tabs>
      </w:pPr>
      <w:r w:rsidRPr="006111F1">
        <w:t>(6)</w:t>
      </w:r>
      <w:r w:rsidRPr="006111F1">
        <w:tab/>
        <w:t>date the course was taught.</w:t>
      </w:r>
    </w:p>
    <w:p w14:paraId="76248D06" w14:textId="77777777" w:rsidR="00E91AE1" w:rsidRPr="006111F1" w:rsidRDefault="00E91AE1" w:rsidP="001D2CEB">
      <w:pPr>
        <w:pStyle w:val="Paragraph"/>
        <w:rPr>
          <w:szCs w:val="28"/>
        </w:rPr>
      </w:pPr>
      <w:r w:rsidRPr="006111F1">
        <w:t xml:space="preserve">(c)  The Commission may award continuing education elective credit for completion of an unapproved course that the Commission finds equivalent to the elective course component of the continuing education requirement set forth in 21 NCAC 58H .0402. The broker shall submit a course completion certificate issued by the </w:t>
      </w:r>
      <w:r w:rsidRPr="006111F1">
        <w:rPr>
          <w:strike/>
        </w:rPr>
        <w:t>course sponsor</w:t>
      </w:r>
      <w:r>
        <w:rPr>
          <w:strike/>
        </w:rPr>
        <w:t>,</w:t>
      </w:r>
      <w:r w:rsidRPr="006111F1">
        <w:t xml:space="preserve"> </w:t>
      </w:r>
      <w:r w:rsidRPr="006111F1">
        <w:rPr>
          <w:u w:val="single"/>
        </w:rPr>
        <w:t xml:space="preserve">education </w:t>
      </w:r>
      <w:r w:rsidRPr="008809A1">
        <w:rPr>
          <w:u w:val="single"/>
        </w:rPr>
        <w:t>provider,</w:t>
      </w:r>
      <w:r w:rsidRPr="006111F1">
        <w:t xml:space="preserve"> a copy of the course description or course outline, and a </w:t>
      </w:r>
      <w:proofErr w:type="gramStart"/>
      <w:r w:rsidRPr="006111F1">
        <w:t>fifty dollar</w:t>
      </w:r>
      <w:proofErr w:type="gramEnd"/>
      <w:r w:rsidRPr="006111F1">
        <w:t xml:space="preserve"> ($50.00) fee for each course for which the broker seeks credit. A broker seeking continuing education credit for a course that is not approved by the Commission shall submit a form, available on the Commission's website, that requires the broker to set forth the:</w:t>
      </w:r>
    </w:p>
    <w:p w14:paraId="73430DD9" w14:textId="77777777" w:rsidR="00E91AE1" w:rsidRPr="006111F1" w:rsidRDefault="00E91AE1" w:rsidP="001D2CEB">
      <w:pPr>
        <w:pStyle w:val="SubParagraph"/>
        <w:tabs>
          <w:tab w:val="clear" w:pos="1800"/>
        </w:tabs>
      </w:pPr>
      <w:r w:rsidRPr="006111F1">
        <w:t>(1)</w:t>
      </w:r>
      <w:r w:rsidRPr="006111F1">
        <w:tab/>
        <w:t>broker's name, license number, address, telephone number, and email address;</w:t>
      </w:r>
    </w:p>
    <w:p w14:paraId="6E77229C" w14:textId="77777777" w:rsidR="00E91AE1" w:rsidRPr="006111F1" w:rsidRDefault="00E91AE1" w:rsidP="001D2CEB">
      <w:pPr>
        <w:pStyle w:val="SubParagraph"/>
        <w:tabs>
          <w:tab w:val="clear" w:pos="1800"/>
        </w:tabs>
      </w:pPr>
      <w:r w:rsidRPr="006111F1">
        <w:t>(2)</w:t>
      </w:r>
      <w:r w:rsidRPr="006111F1">
        <w:tab/>
        <w:t>course title;</w:t>
      </w:r>
    </w:p>
    <w:p w14:paraId="6B77A059" w14:textId="77777777" w:rsidR="00E91AE1" w:rsidRPr="006111F1" w:rsidRDefault="00E91AE1" w:rsidP="001D2CEB">
      <w:pPr>
        <w:pStyle w:val="SubParagraph"/>
        <w:tabs>
          <w:tab w:val="clear" w:pos="1800"/>
        </w:tabs>
      </w:pPr>
      <w:r w:rsidRPr="006111F1">
        <w:t>(3)</w:t>
      </w:r>
      <w:r w:rsidRPr="006111F1">
        <w:tab/>
        <w:t>number of instructional hours;</w:t>
      </w:r>
    </w:p>
    <w:p w14:paraId="674F62E7" w14:textId="77777777" w:rsidR="00E91AE1" w:rsidRPr="006111F1" w:rsidRDefault="00E91AE1" w:rsidP="001D2CEB">
      <w:pPr>
        <w:pStyle w:val="SubParagraph"/>
        <w:tabs>
          <w:tab w:val="clear" w:pos="1800"/>
        </w:tabs>
      </w:pPr>
      <w:r w:rsidRPr="006111F1">
        <w:t>(4)</w:t>
      </w:r>
      <w:r w:rsidRPr="006111F1">
        <w:tab/>
        <w:t>course instructor's name; and</w:t>
      </w:r>
    </w:p>
    <w:p w14:paraId="6B921966" w14:textId="77777777" w:rsidR="00E91AE1" w:rsidRPr="006111F1" w:rsidRDefault="00E91AE1" w:rsidP="001D2CEB">
      <w:pPr>
        <w:pStyle w:val="SubParagraph"/>
        <w:tabs>
          <w:tab w:val="clear" w:pos="1800"/>
        </w:tabs>
      </w:pPr>
      <w:r w:rsidRPr="006111F1">
        <w:t>(5)</w:t>
      </w:r>
      <w:r w:rsidRPr="006111F1">
        <w:tab/>
      </w:r>
      <w:r w:rsidRPr="006111F1">
        <w:rPr>
          <w:strike/>
        </w:rPr>
        <w:t>course sponsor's</w:t>
      </w:r>
      <w:r w:rsidRPr="006111F1">
        <w:t xml:space="preserve"> </w:t>
      </w:r>
      <w:r w:rsidRPr="006111F1">
        <w:rPr>
          <w:u w:val="single"/>
        </w:rPr>
        <w:t>education provider's</w:t>
      </w:r>
      <w:r w:rsidRPr="006111F1">
        <w:t xml:space="preserve"> name, address, telephone number, and email address.</w:t>
      </w:r>
    </w:p>
    <w:p w14:paraId="5EE543F5" w14:textId="77777777" w:rsidR="00E91AE1" w:rsidRPr="006111F1" w:rsidRDefault="00E91AE1" w:rsidP="001D2CEB">
      <w:pPr>
        <w:pStyle w:val="Paragraph"/>
      </w:pPr>
      <w:r w:rsidRPr="006111F1">
        <w:t xml:space="preserve">(d)  The Commission may award continuing education elective credit for developing a continuing education elective course that is approved by the Commission pursuant to 21 NCAC 58H .0401. However, a broker shall only receive credit for the year in which the continuing education elective is approved. A broker seeking continuing education credit under this Paragraph shall submit a form, available on the Commission's website, that requires the broker to set forth the broker's name, license number, address, telephone number, and email address. Along with the form, the broker shall submit the course title, the course number, the date of the course approval, and a </w:t>
      </w:r>
      <w:proofErr w:type="gramStart"/>
      <w:r w:rsidRPr="006111F1">
        <w:t>fifty dollar</w:t>
      </w:r>
      <w:proofErr w:type="gramEnd"/>
      <w:r w:rsidRPr="006111F1">
        <w:t xml:space="preserve"> ($50.00) fee for each course for which the broker seeks credit.</w:t>
      </w:r>
    </w:p>
    <w:p w14:paraId="1C6CE90B" w14:textId="77777777" w:rsidR="00E91AE1" w:rsidRPr="006111F1" w:rsidRDefault="00E91AE1" w:rsidP="001D2CEB">
      <w:pPr>
        <w:pStyle w:val="Paragraph"/>
      </w:pPr>
      <w:r w:rsidRPr="006111F1">
        <w:rPr>
          <w:szCs w:val="28"/>
        </w:rPr>
        <w:t xml:space="preserve">(e)  </w:t>
      </w:r>
      <w:r w:rsidRPr="006111F1">
        <w:t xml:space="preserve">The Commission may award continuing education elective credit for authoring a real estate textbook. However, a broker shall receive credit for any single textbook only once. A broker seeking continuing education credit under this Paragraph shall submit a form, available on the Commission's website, that requires the broker to set forth the broker's name, license number, address, telephone number, and email address. Along with the form, the broker shall submit the title page of the textbook, showing the title, publisher, and publication date, the table of contents, and a </w:t>
      </w:r>
      <w:proofErr w:type="gramStart"/>
      <w:r w:rsidRPr="006111F1">
        <w:t>fifty dollar</w:t>
      </w:r>
      <w:proofErr w:type="gramEnd"/>
      <w:r w:rsidRPr="006111F1">
        <w:t xml:space="preserve"> ($50.00) fee for each textbook for which the licensee seeks credit.</w:t>
      </w:r>
    </w:p>
    <w:p w14:paraId="19351913" w14:textId="77777777" w:rsidR="00E91AE1" w:rsidRPr="006111F1" w:rsidRDefault="00E91AE1" w:rsidP="001D2CEB">
      <w:pPr>
        <w:pStyle w:val="Paragraph"/>
      </w:pPr>
      <w:r w:rsidRPr="006111F1">
        <w:rPr>
          <w:szCs w:val="28"/>
        </w:rPr>
        <w:t xml:space="preserve">(f)  </w:t>
      </w:r>
      <w:r w:rsidRPr="006111F1">
        <w:t xml:space="preserve">The Commission may award continuing education elective credit for authoring of a scholarly article on a real estate topic published in a professional journal or periodical. A broker shall receive credit for any single article only once. A broker seeking continuing education credit under this Paragraph shall submit a form, available on the Commission's website, that requires the broker to set forth the broker's name, license number, address, telephone number, and email address. Along with the form, the </w:t>
      </w:r>
      <w:r w:rsidRPr="006111F1">
        <w:lastRenderedPageBreak/>
        <w:t xml:space="preserve">broker shall submit a copy of the article, proof of publication, and a </w:t>
      </w:r>
      <w:proofErr w:type="gramStart"/>
      <w:r w:rsidRPr="006111F1">
        <w:t>fifty dollar</w:t>
      </w:r>
      <w:proofErr w:type="gramEnd"/>
      <w:r w:rsidRPr="006111F1">
        <w:t xml:space="preserve"> ($50.00) fee for each article for which the broker seeks credit.</w:t>
      </w:r>
    </w:p>
    <w:p w14:paraId="250FABB8" w14:textId="77777777" w:rsidR="00E91AE1" w:rsidRPr="006111F1" w:rsidRDefault="00E91AE1" w:rsidP="001D2CEB">
      <w:pPr>
        <w:pStyle w:val="Paragraph"/>
      </w:pPr>
      <w:r w:rsidRPr="006111F1">
        <w:t xml:space="preserve">(g)  In order for any application for equivalent credit to be considered and credits applied to the current licensing period, a complete application, the appropriate fee, and all supporting documents shall be received by the Commission no later than 5:00 p.m. on June </w:t>
      </w:r>
      <w:r w:rsidRPr="006111F1">
        <w:rPr>
          <w:strike/>
        </w:rPr>
        <w:t>10</w:t>
      </w:r>
      <w:r>
        <w:rPr>
          <w:strike/>
        </w:rPr>
        <w:t>.</w:t>
      </w:r>
      <w:r w:rsidRPr="006111F1">
        <w:t xml:space="preserve"> </w:t>
      </w:r>
      <w:r w:rsidRPr="006111F1">
        <w:rPr>
          <w:u w:val="single"/>
        </w:rPr>
        <w:t>17</w:t>
      </w:r>
      <w:r w:rsidRPr="008809A1">
        <w:rPr>
          <w:u w:val="single"/>
        </w:rPr>
        <w:t>.</w:t>
      </w:r>
    </w:p>
    <w:p w14:paraId="653B8610" w14:textId="77777777" w:rsidR="00E91AE1" w:rsidRPr="006111F1" w:rsidRDefault="00E91AE1" w:rsidP="001D2CEB">
      <w:pPr>
        <w:pStyle w:val="Paragraph"/>
      </w:pPr>
      <w:r w:rsidRPr="006111F1">
        <w:rPr>
          <w:u w:val="single"/>
        </w:rPr>
        <w:t>(h)  Any equivalent continuing education credit awarded under this Rule shall be applied first to make up any continuing education deficiency for the previous license period and then to satisfy the continuing education requirement for the current license period; however, credit for an unapproved course or educational activity, other than teaching an approved elective course, that was completed during a previous license period shall not be applied to a subsequent license period.</w:t>
      </w:r>
    </w:p>
    <w:p w14:paraId="3792F3F2" w14:textId="77777777" w:rsidR="00E91AE1" w:rsidRPr="006111F1" w:rsidRDefault="00E91AE1" w:rsidP="001D2CEB">
      <w:pPr>
        <w:pStyle w:val="Base"/>
      </w:pPr>
    </w:p>
    <w:p w14:paraId="1BA5667B" w14:textId="4E26D9E4" w:rsidR="00E91AE1" w:rsidRPr="006111F1" w:rsidRDefault="00E91AE1" w:rsidP="00E91AE1">
      <w:pPr>
        <w:pStyle w:val="HistoryAuthority"/>
      </w:pPr>
      <w:r w:rsidRPr="006111F1">
        <w:t xml:space="preserve">Authority G.S. 93A-3(c); </w:t>
      </w:r>
      <w:r w:rsidRPr="006111F1">
        <w:rPr>
          <w:strike/>
        </w:rPr>
        <w:t>93A-4.1;</w:t>
      </w:r>
      <w:r w:rsidRPr="006111F1">
        <w:t xml:space="preserve"> </w:t>
      </w:r>
      <w:r w:rsidRPr="006111F1">
        <w:rPr>
          <w:u w:val="single"/>
        </w:rPr>
        <w:t>93A-38.5</w:t>
      </w:r>
      <w:r>
        <w:rPr>
          <w:u w:val="single"/>
        </w:rPr>
        <w:t>.</w:t>
      </w:r>
    </w:p>
    <w:p w14:paraId="68D8DA79" w14:textId="77777777" w:rsidR="00E91AE1" w:rsidRPr="006111F1" w:rsidRDefault="00E91AE1" w:rsidP="001D2CEB">
      <w:pPr>
        <w:pStyle w:val="Base"/>
      </w:pPr>
    </w:p>
    <w:p w14:paraId="62423C68" w14:textId="77777777" w:rsidR="00E91AE1" w:rsidRPr="00513A5C" w:rsidRDefault="00E91AE1" w:rsidP="001D2CEB">
      <w:pPr>
        <w:pStyle w:val="Rule"/>
      </w:pPr>
      <w:r w:rsidRPr="00513A5C">
        <w:t>21 NCAC 58A .1710</w:t>
      </w:r>
      <w:r w:rsidRPr="00513A5C">
        <w:tab/>
        <w:t>DENIAL OR WITHDRAWAL OF CONTINUING EDUCATION CREDIT</w:t>
      </w:r>
    </w:p>
    <w:p w14:paraId="22144391" w14:textId="77777777" w:rsidR="00E91AE1" w:rsidRPr="00513A5C" w:rsidRDefault="00E91AE1" w:rsidP="001D2CEB">
      <w:pPr>
        <w:pStyle w:val="Paragraph"/>
      </w:pPr>
      <w:r w:rsidRPr="00513A5C">
        <w:t xml:space="preserve">(a)  The Commission shall deny continuing education credit claimed by a broker or reported by </w:t>
      </w:r>
      <w:r w:rsidRPr="00513A5C">
        <w:rPr>
          <w:strike/>
        </w:rPr>
        <w:t>a course sponsor</w:t>
      </w:r>
      <w:r w:rsidRPr="00513A5C">
        <w:t xml:space="preserve"> </w:t>
      </w:r>
      <w:r w:rsidRPr="00513A5C">
        <w:rPr>
          <w:u w:val="single"/>
        </w:rPr>
        <w:t>an education provider</w:t>
      </w:r>
      <w:r w:rsidRPr="00513A5C">
        <w:t xml:space="preserve"> for a broker, and shall withdraw continuing education credit previously awarded by the Commission to a broker upon finding that the broker:</w:t>
      </w:r>
    </w:p>
    <w:p w14:paraId="7E70C6B9" w14:textId="77777777" w:rsidR="00E91AE1" w:rsidRPr="00513A5C" w:rsidRDefault="00E91AE1" w:rsidP="001D2CEB">
      <w:pPr>
        <w:pStyle w:val="SubParagraph"/>
        <w:tabs>
          <w:tab w:val="clear" w:pos="1800"/>
        </w:tabs>
      </w:pPr>
      <w:r w:rsidRPr="00513A5C">
        <w:t>(1)</w:t>
      </w:r>
      <w:r w:rsidRPr="00513A5C">
        <w:tab/>
        <w:t xml:space="preserve">or </w:t>
      </w:r>
      <w:r w:rsidRPr="00513A5C">
        <w:rPr>
          <w:strike/>
        </w:rPr>
        <w:t>course sponsor</w:t>
      </w:r>
      <w:r w:rsidRPr="00513A5C">
        <w:t xml:space="preserve"> </w:t>
      </w:r>
      <w:r w:rsidRPr="00513A5C">
        <w:rPr>
          <w:u w:val="single"/>
        </w:rPr>
        <w:t>education provider</w:t>
      </w:r>
      <w:r w:rsidRPr="00513A5C">
        <w:t xml:space="preserve"> provided incorrect or incomplete information to the Commission concerning continuing education completed by the broker;</w:t>
      </w:r>
    </w:p>
    <w:p w14:paraId="47849820" w14:textId="77777777" w:rsidR="00E91AE1" w:rsidRPr="00513A5C" w:rsidRDefault="00E91AE1" w:rsidP="001D2CEB">
      <w:pPr>
        <w:pStyle w:val="SubParagraph"/>
        <w:tabs>
          <w:tab w:val="clear" w:pos="1800"/>
        </w:tabs>
      </w:pPr>
      <w:r w:rsidRPr="00513A5C">
        <w:t>(2)</w:t>
      </w:r>
      <w:r w:rsidRPr="00513A5C">
        <w:tab/>
        <w:t>failed to comply with the attendance requirement established by Rule .1705 of this Section; or</w:t>
      </w:r>
    </w:p>
    <w:p w14:paraId="44CCD346" w14:textId="77777777" w:rsidR="00E91AE1" w:rsidRPr="00513A5C" w:rsidRDefault="00E91AE1" w:rsidP="001D2CEB">
      <w:pPr>
        <w:pStyle w:val="SubParagraph"/>
        <w:tabs>
          <w:tab w:val="clear" w:pos="1800"/>
        </w:tabs>
      </w:pPr>
      <w:r w:rsidRPr="00513A5C">
        <w:t>(3)</w:t>
      </w:r>
      <w:r w:rsidRPr="00513A5C">
        <w:tab/>
        <w:t>was mistakenly awarded continuing education credit due to an administrative error.</w:t>
      </w:r>
    </w:p>
    <w:p w14:paraId="00D2017F" w14:textId="77777777" w:rsidR="00E91AE1" w:rsidRPr="00513A5C" w:rsidRDefault="00E91AE1" w:rsidP="001D2CEB">
      <w:pPr>
        <w:pStyle w:val="Paragraph"/>
      </w:pPr>
      <w:r w:rsidRPr="00513A5C">
        <w:t xml:space="preserve">(b)  If an administrative error or an incorrect report by </w:t>
      </w:r>
      <w:r w:rsidRPr="00513A5C">
        <w:rPr>
          <w:strike/>
        </w:rPr>
        <w:t>a course sponsor</w:t>
      </w:r>
      <w:r w:rsidRPr="00513A5C">
        <w:t xml:space="preserve"> </w:t>
      </w:r>
      <w:r w:rsidRPr="00513A5C">
        <w:rPr>
          <w:u w:val="single"/>
        </w:rPr>
        <w:t>an education provider</w:t>
      </w:r>
      <w:r w:rsidRPr="00513A5C">
        <w:t xml:space="preserve"> results in the denial or withdrawal of continuing education credit for a broker, the Commission shall, upon the written request of the broker, grant the broker an extension of time to satisfy the continuing education requirement.</w:t>
      </w:r>
    </w:p>
    <w:p w14:paraId="1390092E" w14:textId="77777777" w:rsidR="00E91AE1" w:rsidRPr="00513A5C" w:rsidRDefault="00E91AE1" w:rsidP="001D2CEB">
      <w:pPr>
        <w:pStyle w:val="Paragraph"/>
      </w:pPr>
      <w:r w:rsidRPr="00513A5C">
        <w:t>(c)  A broker who obtains or attempts to obtain continuing education credit through misrepresentation of fact, dishonesty, or other improper conduct shall be subject to disciplinary action pursuant to G.S. 93A-6.</w:t>
      </w:r>
    </w:p>
    <w:p w14:paraId="17BCEB5A" w14:textId="77777777" w:rsidR="00E91AE1" w:rsidRPr="00513A5C" w:rsidRDefault="00E91AE1" w:rsidP="001D2CEB">
      <w:pPr>
        <w:pStyle w:val="Base"/>
      </w:pPr>
    </w:p>
    <w:p w14:paraId="459D9F2B" w14:textId="0202824B" w:rsidR="00E91AE1" w:rsidRPr="00513A5C" w:rsidRDefault="00E91AE1" w:rsidP="00E91AE1">
      <w:pPr>
        <w:pStyle w:val="HistoryAuthority"/>
      </w:pPr>
      <w:r w:rsidRPr="00513A5C">
        <w:t xml:space="preserve">Authority G.S. 93A-3(c); </w:t>
      </w:r>
      <w:r w:rsidRPr="00513A5C">
        <w:rPr>
          <w:strike/>
        </w:rPr>
        <w:t>93A-4.1;</w:t>
      </w:r>
      <w:r w:rsidRPr="00513A5C">
        <w:t xml:space="preserve"> </w:t>
      </w:r>
      <w:r w:rsidRPr="00513A5C">
        <w:rPr>
          <w:u w:val="single"/>
        </w:rPr>
        <w:t>93A-38.5</w:t>
      </w:r>
      <w:r>
        <w:rPr>
          <w:u w:val="single"/>
        </w:rPr>
        <w:t>.</w:t>
      </w:r>
    </w:p>
    <w:p w14:paraId="20EB5509" w14:textId="77777777" w:rsidR="00E91AE1" w:rsidRPr="00513A5C" w:rsidRDefault="00E91AE1" w:rsidP="001D2CEB">
      <w:pPr>
        <w:pStyle w:val="Base"/>
      </w:pPr>
    </w:p>
    <w:p w14:paraId="7F2A02B9" w14:textId="77777777" w:rsidR="00E91AE1" w:rsidRPr="00CB35D7" w:rsidRDefault="00E91AE1" w:rsidP="001D2CEB">
      <w:pPr>
        <w:pStyle w:val="Rule"/>
      </w:pPr>
      <w:r w:rsidRPr="00CB35D7">
        <w:t>21 NCAC 58A .1711</w:t>
      </w:r>
      <w:r w:rsidRPr="00CB35D7">
        <w:tab/>
        <w:t>CONTINUING EDUCATION REQUIRED OF NONRESIDENT BROKERS</w:t>
      </w:r>
    </w:p>
    <w:p w14:paraId="09B765DA" w14:textId="77777777" w:rsidR="00E91AE1" w:rsidRPr="00CB35D7" w:rsidRDefault="00E91AE1" w:rsidP="001D2CEB">
      <w:pPr>
        <w:pStyle w:val="Paragraph"/>
      </w:pPr>
      <w:r w:rsidRPr="00CB35D7">
        <w:t>(a)  To be considered a nonresident for continuing education purposes, a real estate broker licensed in North Carolina shall not have a North Carolina business address, mailing address, or residence address at the time he or she applies for license renewal if he or she seeks to renew his or her license on active status. A nonresident North Carolina broker who wishes to renew his or her license on active status may satisfy the continuing education requirement by any one of the following means:</w:t>
      </w:r>
    </w:p>
    <w:p w14:paraId="5BCB0C5F" w14:textId="77777777" w:rsidR="00E91AE1" w:rsidRPr="00CB35D7" w:rsidRDefault="00E91AE1" w:rsidP="001D2CEB">
      <w:pPr>
        <w:pStyle w:val="SubParagraph"/>
        <w:tabs>
          <w:tab w:val="clear" w:pos="1800"/>
        </w:tabs>
      </w:pPr>
      <w:r w:rsidRPr="00CB35D7">
        <w:t>(1)</w:t>
      </w:r>
      <w:r w:rsidRPr="00CB35D7">
        <w:tab/>
        <w:t xml:space="preserve">A nonresident broker may, at the time of license renewal, hold a real estate license on active </w:t>
      </w:r>
      <w:r w:rsidRPr="00CB35D7">
        <w:t xml:space="preserve">status in another state and certify on a form prescribed by the Commission that the broker holds such license. If at any time after renewal there is a change in the status of the out-of-state license, the nonresident broker shall notify the Commission within 10 days and request that his or her North Carolina license be placed on inactive status, or provide evidence to the Commission that he or she has satisfied </w:t>
      </w:r>
      <w:r w:rsidRPr="00CB35D7">
        <w:rPr>
          <w:strike/>
        </w:rPr>
        <w:t>either</w:t>
      </w:r>
      <w:r w:rsidRPr="00CB35D7">
        <w:t xml:space="preserve"> Subparagraph (a)(2) </w:t>
      </w:r>
      <w:r w:rsidRPr="00CB35D7">
        <w:rPr>
          <w:strike/>
        </w:rPr>
        <w:t>or (a)(3)</w:t>
      </w:r>
      <w:r w:rsidRPr="00CB35D7">
        <w:t xml:space="preserve"> of this Rule or the requirements of Rule .1702 of this Section.</w:t>
      </w:r>
    </w:p>
    <w:p w14:paraId="17A690D9" w14:textId="77777777" w:rsidR="00E91AE1" w:rsidRPr="00CB35D7" w:rsidRDefault="00E91AE1" w:rsidP="001D2CEB">
      <w:pPr>
        <w:pStyle w:val="SubParagraph"/>
        <w:tabs>
          <w:tab w:val="clear" w:pos="1800"/>
        </w:tabs>
      </w:pPr>
      <w:r w:rsidRPr="00CB35D7">
        <w:t>(2)</w:t>
      </w:r>
      <w:r w:rsidRPr="00CB35D7">
        <w:tab/>
        <w:t xml:space="preserve">A nonresident broker may, within </w:t>
      </w:r>
      <w:proofErr w:type="gramStart"/>
      <w:r w:rsidRPr="00CB35D7">
        <w:t>one year</w:t>
      </w:r>
      <w:proofErr w:type="gramEnd"/>
      <w:r w:rsidRPr="00CB35D7">
        <w:t xml:space="preserve"> preceding license expiration, complete the Commission-prescribed Update course plus one Commission-approved continuing education elective course, or complete two Commission-approved continuing education elective courses.</w:t>
      </w:r>
    </w:p>
    <w:p w14:paraId="6C0FA3BB" w14:textId="77777777" w:rsidR="00E91AE1" w:rsidRPr="00CB35D7" w:rsidRDefault="00E91AE1" w:rsidP="001D2CEB">
      <w:pPr>
        <w:pStyle w:val="SubParagraph"/>
        <w:tabs>
          <w:tab w:val="clear" w:pos="1800"/>
        </w:tabs>
      </w:pPr>
      <w:r w:rsidRPr="00CB35D7">
        <w:rPr>
          <w:strike/>
        </w:rPr>
        <w:t>(3)</w:t>
      </w:r>
      <w:r w:rsidRPr="00CB35D7">
        <w:tab/>
      </w:r>
      <w:r w:rsidRPr="00CB35D7">
        <w:rPr>
          <w:strike/>
        </w:rPr>
        <w:t xml:space="preserve">A nonresident broker may, within </w:t>
      </w:r>
      <w:proofErr w:type="gramStart"/>
      <w:r w:rsidRPr="00CB35D7">
        <w:rPr>
          <w:strike/>
        </w:rPr>
        <w:t>one year</w:t>
      </w:r>
      <w:proofErr w:type="gramEnd"/>
      <w:r w:rsidRPr="00CB35D7">
        <w:rPr>
          <w:strike/>
        </w:rPr>
        <w:t xml:space="preserve"> preceding license expiration, complete eight classroom hours in courses approved for continuing education credit by the real estate licensing agency in the broker's state of residence or in the state where the course was taken. To obtain credit for a continuing education course completed in another state and not approved by the Commission, the broker must submit a written request for continuing education credit accompanied by a fee of fifty dollars ($50.00) per request and evidence that the course was completed and that the course was approved for continuing education credit by the real estate licensing agency in the broker's state of residence or in the state where the course was taken.</w:t>
      </w:r>
    </w:p>
    <w:p w14:paraId="2F09210A" w14:textId="77777777" w:rsidR="00E91AE1" w:rsidRPr="00CB35D7" w:rsidRDefault="00E91AE1" w:rsidP="001D2CEB">
      <w:pPr>
        <w:pStyle w:val="SubParagraph"/>
        <w:tabs>
          <w:tab w:val="clear" w:pos="1800"/>
        </w:tabs>
      </w:pPr>
      <w:r w:rsidRPr="00CB35D7">
        <w:rPr>
          <w:strike/>
        </w:rPr>
        <w:t>(4)</w:t>
      </w:r>
      <w:r w:rsidRPr="00CB35D7">
        <w:tab/>
      </w:r>
      <w:r w:rsidRPr="00CB35D7">
        <w:rPr>
          <w:strike/>
        </w:rPr>
        <w:t>A nonresident broker may obtain eight hours equivalent credit for a course or courses not approved by the Commission or for related educational activities as provided in Rule .1708 of this Section. The maximum amount of continuing education credit the Commission will award a nonresident broker for an unapproved course or educational activity shall be eight hours.</w:t>
      </w:r>
    </w:p>
    <w:p w14:paraId="0C4549E3" w14:textId="77777777" w:rsidR="00E91AE1" w:rsidRPr="00CB35D7" w:rsidRDefault="00E91AE1" w:rsidP="001D2CEB">
      <w:pPr>
        <w:pStyle w:val="Paragraph"/>
      </w:pPr>
      <w:r w:rsidRPr="00CB35D7">
        <w:rPr>
          <w:strike/>
        </w:rPr>
        <w:t>(b)  When requesting to change an inactive license to active status, or when applying for reinstatement of a license expired for not more than six months, a nonresident broker may satisfy the continuing education requirements described in Rules .0505 and .1703 of this Subchapter by complying with any of the options described in Paragraph (a) of this Rule, except that the requirements in Subparagraphs (a)(2) and (a)(3) of this Rule restricting the taking of courses to one year preceding license expiration shall not be applicable.</w:t>
      </w:r>
    </w:p>
    <w:p w14:paraId="5930475B" w14:textId="77777777" w:rsidR="00E91AE1" w:rsidRPr="00CB35D7" w:rsidRDefault="00E91AE1" w:rsidP="001D2CEB">
      <w:pPr>
        <w:pStyle w:val="Paragraph"/>
      </w:pPr>
      <w:r w:rsidRPr="00CB35D7">
        <w:rPr>
          <w:u w:val="single"/>
        </w:rPr>
        <w:t xml:space="preserve">(b)  When a nonresident broker's license has been on inactive status for more than </w:t>
      </w:r>
      <w:r>
        <w:rPr>
          <w:u w:val="single"/>
        </w:rPr>
        <w:t>two</w:t>
      </w:r>
      <w:r w:rsidRPr="00CB35D7">
        <w:rPr>
          <w:u w:val="single"/>
        </w:rPr>
        <w:t xml:space="preserve"> years and the broker is satisfying the requirements of Rule .1703(c) of this Subchapter, if a distance education Postlicensing course is unavailable, a nonresident broker may apply for equivalent education credit for a Postlicensing course by submitting a written request that includes </w:t>
      </w:r>
      <w:r w:rsidRPr="00CB35D7">
        <w:rPr>
          <w:u w:val="single"/>
        </w:rPr>
        <w:lastRenderedPageBreak/>
        <w:t>a course completion certificate or transcript evidencing the completion of an education program in another state that:</w:t>
      </w:r>
    </w:p>
    <w:p w14:paraId="2C2E493F" w14:textId="77777777" w:rsidR="00E91AE1" w:rsidRPr="00CB35D7" w:rsidRDefault="00E91AE1" w:rsidP="001D2CEB">
      <w:pPr>
        <w:pStyle w:val="SubParagraph"/>
        <w:tabs>
          <w:tab w:val="clear" w:pos="1800"/>
        </w:tabs>
      </w:pPr>
      <w:r w:rsidRPr="00CB35D7">
        <w:rPr>
          <w:u w:val="single"/>
        </w:rPr>
        <w:t>(1)</w:t>
      </w:r>
      <w:r w:rsidRPr="00CB35D7">
        <w:tab/>
      </w:r>
      <w:r w:rsidRPr="00CB35D7">
        <w:rPr>
          <w:u w:val="single"/>
        </w:rPr>
        <w:t>consisted of at least 30 hours of instruction;</w:t>
      </w:r>
    </w:p>
    <w:p w14:paraId="06BCD1E7" w14:textId="77777777" w:rsidR="00E91AE1" w:rsidRPr="00CB35D7" w:rsidRDefault="00E91AE1" w:rsidP="001D2CEB">
      <w:pPr>
        <w:pStyle w:val="SubParagraph"/>
        <w:tabs>
          <w:tab w:val="clear" w:pos="1800"/>
        </w:tabs>
      </w:pPr>
      <w:r w:rsidRPr="00CB35D7">
        <w:rPr>
          <w:u w:val="single"/>
        </w:rPr>
        <w:t>(2)</w:t>
      </w:r>
      <w:r w:rsidRPr="00CB35D7">
        <w:tab/>
      </w:r>
      <w:r w:rsidRPr="00CB35D7">
        <w:rPr>
          <w:u w:val="single"/>
        </w:rPr>
        <w:t>was completed within six months prior to application; and</w:t>
      </w:r>
    </w:p>
    <w:p w14:paraId="14CD407F" w14:textId="77777777" w:rsidR="00E91AE1" w:rsidRPr="00CB35D7" w:rsidRDefault="00E91AE1" w:rsidP="001D2CEB">
      <w:pPr>
        <w:pStyle w:val="SubParagraph"/>
        <w:tabs>
          <w:tab w:val="clear" w:pos="1800"/>
        </w:tabs>
      </w:pPr>
      <w:r w:rsidRPr="00CB35D7">
        <w:rPr>
          <w:u w:val="single"/>
        </w:rPr>
        <w:t>(3)</w:t>
      </w:r>
      <w:r w:rsidRPr="00CB35D7">
        <w:tab/>
      </w:r>
      <w:r w:rsidRPr="00CB35D7">
        <w:rPr>
          <w:u w:val="single"/>
        </w:rPr>
        <w:t>is parallel to the topics and timings described in the Commission's Postlicensing course syllabi.</w:t>
      </w:r>
    </w:p>
    <w:p w14:paraId="212FF6BF" w14:textId="77777777" w:rsidR="00E91AE1" w:rsidRPr="00CB35D7" w:rsidRDefault="00E91AE1" w:rsidP="001D2CEB">
      <w:pPr>
        <w:pStyle w:val="Paragraph"/>
      </w:pPr>
      <w:r w:rsidRPr="00CB35D7">
        <w:t>(c)  No carry-over credit to a subsequent license period shall be awarded for a course taken in another state that has not been approved by the North Carolina Real Estate Commission as an elective course pursuant to 21 NCAC 58H .0406.</w:t>
      </w:r>
    </w:p>
    <w:p w14:paraId="4819B01D" w14:textId="77777777" w:rsidR="00E91AE1" w:rsidRPr="00CB35D7" w:rsidRDefault="00E91AE1" w:rsidP="001D2CEB">
      <w:pPr>
        <w:pStyle w:val="Base"/>
      </w:pPr>
    </w:p>
    <w:p w14:paraId="1C862141" w14:textId="3CE77ADC" w:rsidR="00E91AE1" w:rsidRPr="00CB35D7" w:rsidRDefault="00E91AE1" w:rsidP="00E91AE1">
      <w:pPr>
        <w:pStyle w:val="HistoryAuthority"/>
      </w:pPr>
      <w:r w:rsidRPr="00CB35D7">
        <w:t xml:space="preserve">Authority G.S. 93A-3(c); </w:t>
      </w:r>
      <w:r w:rsidRPr="00CB35D7">
        <w:rPr>
          <w:strike/>
        </w:rPr>
        <w:t>93A-4.1;</w:t>
      </w:r>
      <w:r w:rsidRPr="00CB35D7">
        <w:t xml:space="preserve"> </w:t>
      </w:r>
      <w:r w:rsidRPr="00CB35D7">
        <w:rPr>
          <w:u w:val="single"/>
        </w:rPr>
        <w:t>93A-38.5</w:t>
      </w:r>
      <w:r>
        <w:rPr>
          <w:u w:val="single"/>
        </w:rPr>
        <w:t>.</w:t>
      </w:r>
    </w:p>
    <w:p w14:paraId="460A5C48" w14:textId="77777777" w:rsidR="00E91AE1" w:rsidRPr="00CB35D7" w:rsidRDefault="00E91AE1" w:rsidP="001D2CEB">
      <w:pPr>
        <w:pStyle w:val="Base"/>
      </w:pPr>
    </w:p>
    <w:p w14:paraId="16832162" w14:textId="77777777" w:rsidR="00E91AE1" w:rsidRDefault="00E91AE1" w:rsidP="001D2CEB">
      <w:pPr>
        <w:pStyle w:val="Section"/>
      </w:pPr>
      <w:r>
        <w:t>SECTION .1900 – POST-LICENSING EDUCATION</w:t>
      </w:r>
    </w:p>
    <w:p w14:paraId="3FA45D4E" w14:textId="77777777" w:rsidR="00E91AE1" w:rsidRPr="006C42CA" w:rsidRDefault="00E91AE1" w:rsidP="001D2CEB">
      <w:pPr>
        <w:pStyle w:val="Base"/>
      </w:pPr>
    </w:p>
    <w:p w14:paraId="1F9C55BA" w14:textId="77777777" w:rsidR="00E91AE1" w:rsidRPr="006C42CA" w:rsidRDefault="00E91AE1" w:rsidP="001D2CEB">
      <w:pPr>
        <w:pStyle w:val="Rule"/>
      </w:pPr>
      <w:r w:rsidRPr="006C42CA">
        <w:t>21 NCAC 58A .1903</w:t>
      </w:r>
      <w:r w:rsidRPr="006C42CA">
        <w:tab/>
        <w:t>EXTENSIONS OF TIME TO COMPLETE POSTLICENSING EDUCATION</w:t>
      </w:r>
    </w:p>
    <w:p w14:paraId="4B91729F" w14:textId="77777777" w:rsidR="00E91AE1" w:rsidRPr="006C42CA" w:rsidRDefault="00E91AE1" w:rsidP="001D2CEB">
      <w:pPr>
        <w:pStyle w:val="Base"/>
      </w:pPr>
    </w:p>
    <w:p w14:paraId="25E7247E" w14:textId="13508FD7" w:rsidR="00E91AE1" w:rsidRPr="006C42CA" w:rsidRDefault="00E91AE1" w:rsidP="00E91AE1">
      <w:pPr>
        <w:pStyle w:val="HistoryAuthority"/>
      </w:pPr>
      <w:r w:rsidRPr="006C42CA">
        <w:t>Authority G.S. 93A-4</w:t>
      </w:r>
      <w:r>
        <w:t>.</w:t>
      </w:r>
    </w:p>
    <w:p w14:paraId="7302DA7B" w14:textId="77777777" w:rsidR="00E91AE1" w:rsidRPr="006C42CA" w:rsidRDefault="00E91AE1" w:rsidP="001D2CEB">
      <w:pPr>
        <w:pStyle w:val="Base"/>
      </w:pPr>
    </w:p>
    <w:p w14:paraId="4F849C5A" w14:textId="77777777" w:rsidR="00E91AE1" w:rsidRPr="004D0AEE" w:rsidRDefault="00E91AE1" w:rsidP="001D2CEB">
      <w:pPr>
        <w:pStyle w:val="Rule"/>
      </w:pPr>
      <w:r w:rsidRPr="004D0AEE">
        <w:t>21 NCAC 58A .1904</w:t>
      </w:r>
      <w:r w:rsidRPr="004D0AEE">
        <w:tab/>
        <w:t>DENIAL OR WITHDRAWAL OF POSTLICENSING EDUCATION CREDIT</w:t>
      </w:r>
    </w:p>
    <w:p w14:paraId="2D6F0E13" w14:textId="77777777" w:rsidR="00E91AE1" w:rsidRPr="004D0AEE" w:rsidRDefault="00E91AE1" w:rsidP="001D2CEB">
      <w:pPr>
        <w:pStyle w:val="Paragraph"/>
      </w:pPr>
      <w:r w:rsidRPr="004D0AEE">
        <w:t xml:space="preserve">(a)  The Commission may deny Postlicensing education credit claimed by a provisional broker or reported by </w:t>
      </w:r>
      <w:r w:rsidRPr="004D0AEE">
        <w:rPr>
          <w:strike/>
        </w:rPr>
        <w:t>a school</w:t>
      </w:r>
      <w:r w:rsidRPr="004D0AEE">
        <w:t xml:space="preserve"> </w:t>
      </w:r>
      <w:r w:rsidRPr="004D0AEE">
        <w:rPr>
          <w:u w:val="single"/>
        </w:rPr>
        <w:t>an education provider</w:t>
      </w:r>
      <w:r w:rsidRPr="004D0AEE">
        <w:t xml:space="preserve"> for a provisional broker, and may withdraw Postlicensing education credit previously awarded by the Commission to a provisional broker and make appropriate license status changes for that broker upon finding </w:t>
      </w:r>
      <w:r w:rsidRPr="004D0AEE">
        <w:rPr>
          <w:strike/>
        </w:rPr>
        <w:t>that:</w:t>
      </w:r>
      <w:r w:rsidRPr="004D0AEE">
        <w:t xml:space="preserve"> </w:t>
      </w:r>
      <w:r w:rsidRPr="004D0AEE">
        <w:rPr>
          <w:u w:val="single"/>
        </w:rPr>
        <w:t>that the provisional broker:</w:t>
      </w:r>
    </w:p>
    <w:p w14:paraId="187BBF87" w14:textId="77777777" w:rsidR="00E91AE1" w:rsidRPr="004D0AEE" w:rsidRDefault="00E91AE1" w:rsidP="001D2CEB">
      <w:pPr>
        <w:pStyle w:val="SubParagraph"/>
        <w:tabs>
          <w:tab w:val="clear" w:pos="1800"/>
        </w:tabs>
      </w:pPr>
      <w:r w:rsidRPr="004D0AEE">
        <w:t>(1)</w:t>
      </w:r>
      <w:r w:rsidRPr="004D0AEE">
        <w:tab/>
      </w:r>
      <w:r w:rsidRPr="004D0AEE">
        <w:rPr>
          <w:strike/>
        </w:rPr>
        <w:t>the provisional broker</w:t>
      </w:r>
      <w:r w:rsidRPr="004D0AEE">
        <w:t xml:space="preserve"> or </w:t>
      </w:r>
      <w:r w:rsidRPr="004D0AEE">
        <w:rPr>
          <w:strike/>
        </w:rPr>
        <w:t>school</w:t>
      </w:r>
      <w:r w:rsidRPr="004D0AEE">
        <w:t xml:space="preserve"> </w:t>
      </w:r>
      <w:r w:rsidRPr="004D0AEE">
        <w:rPr>
          <w:u w:val="single"/>
        </w:rPr>
        <w:t>education provider</w:t>
      </w:r>
      <w:r w:rsidRPr="004D0AEE">
        <w:t xml:space="preserve"> provided incorrect or incomplete information to the Commission concerning Postlicensing education completed by the provisional broker;</w:t>
      </w:r>
    </w:p>
    <w:p w14:paraId="5E6F629A" w14:textId="77777777" w:rsidR="00E91AE1" w:rsidRPr="004D0AEE" w:rsidRDefault="00E91AE1" w:rsidP="001D2CEB">
      <w:pPr>
        <w:pStyle w:val="SubParagraph"/>
        <w:tabs>
          <w:tab w:val="clear" w:pos="1800"/>
        </w:tabs>
      </w:pPr>
      <w:r w:rsidRPr="00E56F56">
        <w:rPr>
          <w:u w:val="single"/>
        </w:rPr>
        <w:t>(2)</w:t>
      </w:r>
      <w:r w:rsidRPr="004D0AEE">
        <w:tab/>
      </w:r>
      <w:r w:rsidRPr="004D0AEE">
        <w:rPr>
          <w:u w:val="single"/>
        </w:rPr>
        <w:t>failed to comply with the attendance requirement pursuant to 21 NCAC 58H .0207; or</w:t>
      </w:r>
    </w:p>
    <w:p w14:paraId="72268F80" w14:textId="77777777" w:rsidR="00E91AE1" w:rsidRPr="004D0AEE" w:rsidRDefault="00E91AE1" w:rsidP="001D2CEB">
      <w:pPr>
        <w:pStyle w:val="SubParagraph"/>
        <w:tabs>
          <w:tab w:val="clear" w:pos="1800"/>
        </w:tabs>
      </w:pPr>
      <w:r w:rsidRPr="003B1DE4">
        <w:rPr>
          <w:strike/>
        </w:rPr>
        <w:t>(2)</w:t>
      </w:r>
      <w:r w:rsidRPr="00E56F56">
        <w:rPr>
          <w:u w:val="single"/>
        </w:rPr>
        <w:t>(3)</w:t>
      </w:r>
      <w:r w:rsidRPr="004D0AEE">
        <w:tab/>
      </w:r>
      <w:r w:rsidRPr="004D0AEE">
        <w:rPr>
          <w:strike/>
        </w:rPr>
        <w:t>the provisional broker</w:t>
      </w:r>
      <w:r w:rsidRPr="004D0AEE">
        <w:t xml:space="preserve"> was mistakenly awarded Postlicensing education credit due to an administrative </w:t>
      </w:r>
      <w:r w:rsidRPr="004D0AEE">
        <w:rPr>
          <w:strike/>
        </w:rPr>
        <w:t>error; or</w:t>
      </w:r>
      <w:r w:rsidRPr="004D0AEE">
        <w:t xml:space="preserve"> </w:t>
      </w:r>
      <w:r w:rsidRPr="004D0AEE">
        <w:rPr>
          <w:u w:val="single"/>
        </w:rPr>
        <w:t>error.</w:t>
      </w:r>
    </w:p>
    <w:p w14:paraId="4C5C0E5F" w14:textId="77777777" w:rsidR="00E91AE1" w:rsidRPr="004D0AEE" w:rsidRDefault="00E91AE1" w:rsidP="001D2CEB">
      <w:pPr>
        <w:pStyle w:val="SubParagraph"/>
        <w:tabs>
          <w:tab w:val="clear" w:pos="1800"/>
        </w:tabs>
      </w:pPr>
      <w:r w:rsidRPr="004D0AEE">
        <w:rPr>
          <w:strike/>
        </w:rPr>
        <w:t>(3)</w:t>
      </w:r>
      <w:r w:rsidRPr="004D0AEE">
        <w:tab/>
      </w:r>
      <w:r w:rsidRPr="004D0AEE">
        <w:rPr>
          <w:strike/>
        </w:rPr>
        <w:t>the provisional broker attended a Postlicensing course while concurrently attending a different Postlicensing course at the same school or a different school if such concurrent attendance in the two courses resulted in the provisional broker participating in Postlicensing course sessions for more than 30 instructional hours in any given seven-day period.</w:t>
      </w:r>
    </w:p>
    <w:p w14:paraId="02A02982" w14:textId="77777777" w:rsidR="00E91AE1" w:rsidRPr="004D0AEE" w:rsidRDefault="00E91AE1" w:rsidP="001D2CEB">
      <w:pPr>
        <w:pStyle w:val="Paragraph"/>
      </w:pPr>
      <w:r w:rsidRPr="004D0AEE">
        <w:t>(b)  When Postlicensing education credit is denied or withdrawn by the Commission under Paragraph (a) of this Rule, the provisional broker shall remain responsible for satisfying the Postlicensing education requirement in G.S. 93A-4(a1).</w:t>
      </w:r>
    </w:p>
    <w:p w14:paraId="55650F48" w14:textId="77777777" w:rsidR="00E91AE1" w:rsidRPr="004D0AEE" w:rsidRDefault="00E91AE1" w:rsidP="001D2CEB">
      <w:pPr>
        <w:pStyle w:val="Paragraph"/>
      </w:pPr>
      <w:r w:rsidRPr="004D0AEE">
        <w:t>(c)  A broker who obtains or attempts to obtain Postlicensing education credit through misrepresentation of fact, dishonesty or other improper conduct is subject to disciplinary action pursuant to G.S. 93A-6.</w:t>
      </w:r>
    </w:p>
    <w:p w14:paraId="210819B2" w14:textId="77777777" w:rsidR="00E91AE1" w:rsidRPr="004D0AEE" w:rsidRDefault="00E91AE1" w:rsidP="001D2CEB">
      <w:pPr>
        <w:pStyle w:val="Base"/>
      </w:pPr>
    </w:p>
    <w:p w14:paraId="4ECE98A8" w14:textId="5B4CD31F" w:rsidR="00E91AE1" w:rsidRPr="004D0AEE" w:rsidRDefault="00E91AE1" w:rsidP="00E91AE1">
      <w:pPr>
        <w:pStyle w:val="HistoryAuthority"/>
      </w:pPr>
      <w:r w:rsidRPr="004D0AEE">
        <w:t>Authority G.S. 93A-4</w:t>
      </w:r>
      <w:r>
        <w:t>.</w:t>
      </w:r>
    </w:p>
    <w:p w14:paraId="0D4981FA" w14:textId="77777777" w:rsidR="00E91AE1" w:rsidRDefault="00E91AE1" w:rsidP="001D2CEB">
      <w:pPr>
        <w:pStyle w:val="SubChapter"/>
      </w:pPr>
      <w:r>
        <w:t xml:space="preserve">SUBCHAPTER 58H </w:t>
      </w:r>
      <w:r>
        <w:noBreakHyphen/>
        <w:t xml:space="preserve"> REAL ESTATE EDUCATION</w:t>
      </w:r>
    </w:p>
    <w:p w14:paraId="580C12E9" w14:textId="77777777" w:rsidR="00E91AE1" w:rsidRDefault="00E91AE1" w:rsidP="001D2CEB">
      <w:pPr>
        <w:pStyle w:val="Base"/>
      </w:pPr>
    </w:p>
    <w:p w14:paraId="623E4C3C" w14:textId="77777777" w:rsidR="00E91AE1" w:rsidRDefault="00E91AE1" w:rsidP="001D2CEB">
      <w:pPr>
        <w:pStyle w:val="Section"/>
      </w:pPr>
      <w:r>
        <w:t>SECTION .0100 – GENERAL</w:t>
      </w:r>
    </w:p>
    <w:p w14:paraId="0AFF809A" w14:textId="77777777" w:rsidR="00E91AE1" w:rsidRPr="00DA1314" w:rsidRDefault="00E91AE1" w:rsidP="001D2CEB">
      <w:pPr>
        <w:pStyle w:val="Base"/>
      </w:pPr>
    </w:p>
    <w:p w14:paraId="06F54F84" w14:textId="77777777" w:rsidR="00E91AE1" w:rsidRPr="00DA1314" w:rsidRDefault="00E91AE1" w:rsidP="001D2CEB">
      <w:pPr>
        <w:pStyle w:val="Rule"/>
      </w:pPr>
      <w:r w:rsidRPr="00DA1314">
        <w:t>21 NCAC 58H .0101</w:t>
      </w:r>
      <w:r w:rsidRPr="00DA1314">
        <w:tab/>
        <w:t>definitions</w:t>
      </w:r>
    </w:p>
    <w:p w14:paraId="0BF83DF1" w14:textId="77777777" w:rsidR="00E91AE1" w:rsidRPr="00DA1314" w:rsidRDefault="00E91AE1" w:rsidP="001D2CEB">
      <w:pPr>
        <w:pStyle w:val="Paragraph"/>
      </w:pPr>
      <w:r w:rsidRPr="00DA1314">
        <w:t>The following definitions apply throughout this Subchapter and to all forms prescribed pursuant to this Chapter:</w:t>
      </w:r>
    </w:p>
    <w:p w14:paraId="4D6D08DD" w14:textId="77777777" w:rsidR="00E91AE1" w:rsidRPr="00DA1314" w:rsidRDefault="00E91AE1" w:rsidP="001D2CEB">
      <w:pPr>
        <w:pStyle w:val="Item"/>
        <w:tabs>
          <w:tab w:val="clear" w:pos="1800"/>
        </w:tabs>
      </w:pPr>
      <w:r w:rsidRPr="00DA1314">
        <w:rPr>
          <w:strike/>
        </w:rPr>
        <w:t>(1)</w:t>
      </w:r>
      <w:r w:rsidRPr="00DA1314">
        <w:tab/>
      </w:r>
      <w:r w:rsidRPr="00DA1314">
        <w:rPr>
          <w:strike/>
        </w:rPr>
        <w:t>"Instructional hour" means 50 minutes of instruction and 10 minutes of break time.</w:t>
      </w:r>
    </w:p>
    <w:p w14:paraId="6AF9D69B" w14:textId="77777777" w:rsidR="00E91AE1" w:rsidRPr="00DA1314" w:rsidRDefault="00E91AE1" w:rsidP="001D2CEB">
      <w:pPr>
        <w:pStyle w:val="Item"/>
        <w:tabs>
          <w:tab w:val="clear" w:pos="1800"/>
        </w:tabs>
      </w:pPr>
      <w:r w:rsidRPr="00DA1314">
        <w:rPr>
          <w:u w:val="single"/>
        </w:rPr>
        <w:t>(1)</w:t>
      </w:r>
      <w:r w:rsidRPr="00DA1314">
        <w:tab/>
      </w:r>
      <w:r w:rsidRPr="00DA1314">
        <w:rPr>
          <w:u w:val="single"/>
        </w:rPr>
        <w:t>"Blended learning" means a combination of Distance education and in-person methods of instruction.</w:t>
      </w:r>
    </w:p>
    <w:p w14:paraId="0DAAEDBA" w14:textId="77777777" w:rsidR="00E91AE1" w:rsidRPr="00DA1314" w:rsidRDefault="00E91AE1" w:rsidP="001D2CEB">
      <w:pPr>
        <w:pStyle w:val="Item"/>
        <w:tabs>
          <w:tab w:val="clear" w:pos="1800"/>
        </w:tabs>
      </w:pPr>
      <w:r w:rsidRPr="00DA1314">
        <w:rPr>
          <w:u w:val="single"/>
        </w:rPr>
        <w:t>(2)</w:t>
      </w:r>
      <w:r w:rsidRPr="00DA1314">
        <w:tab/>
      </w:r>
      <w:r w:rsidRPr="00DA1314">
        <w:rPr>
          <w:u w:val="single"/>
        </w:rPr>
        <w:t>"Branch location" means any location in addition to the principal address of an education provider that offers Prelicensing or Postlicensing Courses.</w:t>
      </w:r>
    </w:p>
    <w:p w14:paraId="716E9DF5" w14:textId="77777777" w:rsidR="00E91AE1" w:rsidRPr="00DA1314" w:rsidRDefault="00E91AE1" w:rsidP="001D2CEB">
      <w:pPr>
        <w:pStyle w:val="Item"/>
        <w:tabs>
          <w:tab w:val="clear" w:pos="1800"/>
        </w:tabs>
      </w:pPr>
      <w:r w:rsidRPr="00DA1314">
        <w:rPr>
          <w:u w:val="single"/>
        </w:rPr>
        <w:t>(3)</w:t>
      </w:r>
      <w:r w:rsidRPr="00DA1314">
        <w:tab/>
      </w:r>
      <w:r w:rsidRPr="00DA1314">
        <w:rPr>
          <w:u w:val="single"/>
        </w:rPr>
        <w:t>"Continuing Education" means a continuing education elective or Update Course.</w:t>
      </w:r>
    </w:p>
    <w:p w14:paraId="3BAEB258" w14:textId="77777777" w:rsidR="00E91AE1" w:rsidRPr="00DA1314" w:rsidRDefault="00E91AE1" w:rsidP="001D2CEB">
      <w:pPr>
        <w:pStyle w:val="Item"/>
        <w:tabs>
          <w:tab w:val="clear" w:pos="1800"/>
        </w:tabs>
      </w:pPr>
      <w:r w:rsidRPr="00DA1314">
        <w:rPr>
          <w:strike/>
        </w:rPr>
        <w:t>(2)</w:t>
      </w:r>
      <w:r w:rsidRPr="00DA1314">
        <w:rPr>
          <w:u w:val="single"/>
        </w:rPr>
        <w:t>(4)</w:t>
      </w:r>
      <w:r w:rsidRPr="00DA1314">
        <w:tab/>
        <w:t xml:space="preserve">"Distance education" means a method of instruction accomplished </w:t>
      </w:r>
      <w:proofErr w:type="gramStart"/>
      <w:r w:rsidRPr="00DA1314">
        <w:t>through the use of</w:t>
      </w:r>
      <w:proofErr w:type="gramEnd"/>
      <w:r w:rsidRPr="00DA1314">
        <w:t xml:space="preserve"> media whereby teacher and student are separated by distance or time.</w:t>
      </w:r>
    </w:p>
    <w:p w14:paraId="37FCBB00" w14:textId="77777777" w:rsidR="00E91AE1" w:rsidRPr="00DA1314" w:rsidRDefault="00E91AE1" w:rsidP="001D2CEB">
      <w:pPr>
        <w:pStyle w:val="Item"/>
        <w:tabs>
          <w:tab w:val="clear" w:pos="1800"/>
        </w:tabs>
      </w:pPr>
      <w:r w:rsidRPr="00DA1314">
        <w:rPr>
          <w:strike/>
        </w:rPr>
        <w:t>(3)</w:t>
      </w:r>
      <w:r w:rsidRPr="00DA1314">
        <w:tab/>
      </w:r>
      <w:r w:rsidRPr="00DA1314">
        <w:rPr>
          <w:strike/>
        </w:rPr>
        <w:t>"End-of-course evaluation" means a student evaluation of the course and the instructor's performance that shall be administered during the class period before administration of the end-of-course examination.</w:t>
      </w:r>
    </w:p>
    <w:p w14:paraId="759ED174" w14:textId="77777777" w:rsidR="00E91AE1" w:rsidRPr="00DA1314" w:rsidRDefault="00E91AE1" w:rsidP="001D2CEB">
      <w:pPr>
        <w:pStyle w:val="Item"/>
        <w:tabs>
          <w:tab w:val="clear" w:pos="1800"/>
        </w:tabs>
      </w:pPr>
      <w:r w:rsidRPr="00DA1314">
        <w:rPr>
          <w:strike/>
        </w:rPr>
        <w:t>(4)</w:t>
      </w:r>
      <w:r w:rsidRPr="00DA1314">
        <w:rPr>
          <w:u w:val="single"/>
        </w:rPr>
        <w:t>(5)</w:t>
      </w:r>
      <w:r w:rsidRPr="00DA1314">
        <w:tab/>
        <w:t>"End-of-course examination" means an examination administered at the conclusion of a course that tests students' knowledge and mastery of all course subjects mandated by the Commission prescribed course syllabus.</w:t>
      </w:r>
    </w:p>
    <w:p w14:paraId="68D642E7" w14:textId="77777777" w:rsidR="00E91AE1" w:rsidRPr="00DA1314" w:rsidRDefault="00E91AE1" w:rsidP="001D2CEB">
      <w:pPr>
        <w:pStyle w:val="Item"/>
        <w:tabs>
          <w:tab w:val="clear" w:pos="1800"/>
        </w:tabs>
      </w:pPr>
      <w:r w:rsidRPr="00DA1314">
        <w:rPr>
          <w:strike/>
        </w:rPr>
        <w:t>(5)</w:t>
      </w:r>
      <w:r w:rsidRPr="00DA1314">
        <w:tab/>
      </w:r>
      <w:r w:rsidRPr="00DA1314">
        <w:rPr>
          <w:strike/>
        </w:rPr>
        <w:t>"Mid-course evaluation" means a student evaluation of the course and the instructor's performance given at the midpoint of the course.</w:t>
      </w:r>
    </w:p>
    <w:p w14:paraId="7ED18A2E" w14:textId="77777777" w:rsidR="00E91AE1" w:rsidRPr="00DA1314" w:rsidRDefault="00E91AE1" w:rsidP="001D2CEB">
      <w:pPr>
        <w:pStyle w:val="Item"/>
        <w:tabs>
          <w:tab w:val="clear" w:pos="1800"/>
        </w:tabs>
      </w:pPr>
      <w:r w:rsidRPr="00DA1314">
        <w:rPr>
          <w:u w:val="single"/>
        </w:rPr>
        <w:t>(6)</w:t>
      </w:r>
      <w:r w:rsidRPr="00DA1314">
        <w:tab/>
      </w:r>
      <w:r w:rsidRPr="00DA1314">
        <w:rPr>
          <w:u w:val="single"/>
        </w:rPr>
        <w:t>"Instructional hour" means 50 minutes of instruction and 10 minutes of break time.</w:t>
      </w:r>
    </w:p>
    <w:p w14:paraId="47AF06FD" w14:textId="77777777" w:rsidR="00E91AE1" w:rsidRPr="00DA1314" w:rsidRDefault="00E91AE1" w:rsidP="001D2CEB">
      <w:pPr>
        <w:pStyle w:val="Item"/>
        <w:tabs>
          <w:tab w:val="clear" w:pos="1800"/>
        </w:tabs>
      </w:pPr>
      <w:r w:rsidRPr="00DA1314">
        <w:rPr>
          <w:strike/>
        </w:rPr>
        <w:t>(6)</w:t>
      </w:r>
      <w:r w:rsidRPr="00DA1314">
        <w:rPr>
          <w:u w:val="single"/>
        </w:rPr>
        <w:t>(7)</w:t>
      </w:r>
      <w:r w:rsidRPr="00DA1314">
        <w:tab/>
        <w:t>"Instructor development program" means courses of instruction designed to assist real estate instructors in the performance of Prelicensing, Postlicensing, or Continuing Education instructor duties or in the development of teaching skills.</w:t>
      </w:r>
    </w:p>
    <w:p w14:paraId="20ABF08D" w14:textId="77777777" w:rsidR="00E91AE1" w:rsidRPr="00DA1314" w:rsidRDefault="00E91AE1" w:rsidP="001D2CEB">
      <w:pPr>
        <w:pStyle w:val="Item"/>
        <w:tabs>
          <w:tab w:val="clear" w:pos="1800"/>
        </w:tabs>
      </w:pPr>
      <w:r w:rsidRPr="00DA1314">
        <w:rPr>
          <w:strike/>
        </w:rPr>
        <w:t>(7)</w:t>
      </w:r>
      <w:r w:rsidRPr="00DA1314">
        <w:rPr>
          <w:u w:val="single"/>
        </w:rPr>
        <w:t>(8)</w:t>
      </w:r>
      <w:r w:rsidRPr="00DA1314">
        <w:tab/>
        <w:t>"License Examination Performance Record" means the percentage of an instructor's or school's students who, within 30 days of completing a Prelicensing course pursuant to 21 NCAC 58H .0210(a), take and pass the license examination, as defined in 21 NCAC 58A .0402, on their first attempt.</w:t>
      </w:r>
    </w:p>
    <w:p w14:paraId="7F38267D" w14:textId="77777777" w:rsidR="00E91AE1" w:rsidRPr="00DA1314" w:rsidRDefault="00E91AE1" w:rsidP="001D2CEB">
      <w:pPr>
        <w:pStyle w:val="Item"/>
        <w:tabs>
          <w:tab w:val="clear" w:pos="1800"/>
        </w:tabs>
      </w:pPr>
      <w:r w:rsidRPr="00DA1314">
        <w:rPr>
          <w:strike/>
        </w:rPr>
        <w:t>(8)</w:t>
      </w:r>
      <w:r w:rsidRPr="00DA1314">
        <w:rPr>
          <w:u w:val="single"/>
        </w:rPr>
        <w:t>(9)</w:t>
      </w:r>
      <w:r w:rsidRPr="00DA1314">
        <w:tab/>
        <w:t xml:space="preserve">"Postlicensing course" means any one of the courses comprising the </w:t>
      </w:r>
      <w:proofErr w:type="gramStart"/>
      <w:r w:rsidRPr="00DA1314">
        <w:t>90 hour</w:t>
      </w:r>
      <w:proofErr w:type="gramEnd"/>
      <w:r w:rsidRPr="00DA1314">
        <w:t xml:space="preserve"> Postlicensing education program pursuant to G.S. 93A-4(a1) and 21 NCAC 58A .1902.</w:t>
      </w:r>
    </w:p>
    <w:p w14:paraId="28297E60" w14:textId="77777777" w:rsidR="00E91AE1" w:rsidRPr="00DA1314" w:rsidRDefault="00E91AE1" w:rsidP="001D2CEB">
      <w:pPr>
        <w:pStyle w:val="Item"/>
        <w:tabs>
          <w:tab w:val="clear" w:pos="1800"/>
        </w:tabs>
      </w:pPr>
      <w:r w:rsidRPr="00DA1314">
        <w:rPr>
          <w:strike/>
        </w:rPr>
        <w:t>(9)</w:t>
      </w:r>
      <w:r w:rsidRPr="00DA1314">
        <w:rPr>
          <w:u w:val="single"/>
        </w:rPr>
        <w:t>(10)</w:t>
      </w:r>
      <w:r w:rsidRPr="00DA1314">
        <w:tab/>
        <w:t>"Prelicensing course" means a single course consisting of at least 75 hours of instruction on subjects prescribed by the Commission pursuant to G.S. 93A-4(a).</w:t>
      </w:r>
    </w:p>
    <w:p w14:paraId="5AE1F12E" w14:textId="77777777" w:rsidR="00E91AE1" w:rsidRPr="00DA1314" w:rsidRDefault="00E91AE1" w:rsidP="001D2CEB">
      <w:pPr>
        <w:pStyle w:val="Item"/>
        <w:tabs>
          <w:tab w:val="clear" w:pos="1800"/>
        </w:tabs>
      </w:pPr>
      <w:r w:rsidRPr="00DA1314">
        <w:rPr>
          <w:strike/>
        </w:rPr>
        <w:lastRenderedPageBreak/>
        <w:t>(10)</w:t>
      </w:r>
      <w:r w:rsidRPr="00DA1314">
        <w:tab/>
      </w:r>
      <w:r w:rsidRPr="00DA1314">
        <w:rPr>
          <w:strike/>
        </w:rPr>
        <w:t>"Private real estate school" means any real estate educational entity that is privately owned and operated by an individual, partnership, corporation, limited liability company, or association, and that conducts, for a profit or tuition charge, Prelicensing or Postlicensing courses.</w:t>
      </w:r>
    </w:p>
    <w:p w14:paraId="28EE566B" w14:textId="77777777" w:rsidR="00E91AE1" w:rsidRPr="00DA1314" w:rsidRDefault="00E91AE1" w:rsidP="001D2CEB">
      <w:pPr>
        <w:pStyle w:val="Item"/>
        <w:tabs>
          <w:tab w:val="clear" w:pos="1800"/>
        </w:tabs>
      </w:pPr>
      <w:r w:rsidRPr="00DA1314">
        <w:t>(11)</w:t>
      </w:r>
      <w:r w:rsidRPr="00DA1314">
        <w:tab/>
        <w:t xml:space="preserve">"Public </w:t>
      </w:r>
      <w:r w:rsidRPr="00DA1314">
        <w:rPr>
          <w:strike/>
        </w:rPr>
        <w:t>real estate school"</w:t>
      </w:r>
      <w:r w:rsidRPr="00DA1314">
        <w:t xml:space="preserve"> </w:t>
      </w:r>
      <w:r w:rsidRPr="00DA1314">
        <w:rPr>
          <w:u w:val="single"/>
        </w:rPr>
        <w:t>education provider"</w:t>
      </w:r>
      <w:r w:rsidRPr="00DA1314">
        <w:t xml:space="preserve"> means any proprietary business or trade school licensed by the State Board of Community Colleges under G.S. 115D-90 or approved by the Board of Governors of the University of North Carolina that conducts </w:t>
      </w:r>
      <w:r w:rsidRPr="00DA1314">
        <w:rPr>
          <w:strike/>
        </w:rPr>
        <w:t>Prelicensing or Postlicensing</w:t>
      </w:r>
      <w:r w:rsidRPr="00DA1314">
        <w:t xml:space="preserve"> </w:t>
      </w:r>
      <w:r w:rsidRPr="00DA1314">
        <w:rPr>
          <w:u w:val="single"/>
        </w:rPr>
        <w:t>approved real estate</w:t>
      </w:r>
      <w:r w:rsidRPr="00DA1314">
        <w:t xml:space="preserve"> courses.</w:t>
      </w:r>
    </w:p>
    <w:p w14:paraId="5A75FF24" w14:textId="77777777" w:rsidR="00E91AE1" w:rsidRPr="00DA1314" w:rsidRDefault="00E91AE1" w:rsidP="001D2CEB">
      <w:pPr>
        <w:pStyle w:val="Item"/>
        <w:tabs>
          <w:tab w:val="clear" w:pos="1800"/>
        </w:tabs>
      </w:pPr>
      <w:r w:rsidRPr="00DA1314">
        <w:rPr>
          <w:strike/>
        </w:rPr>
        <w:t>(12)</w:t>
      </w:r>
      <w:r w:rsidRPr="00DA1314">
        <w:tab/>
      </w:r>
      <w:r w:rsidRPr="00DA1314">
        <w:rPr>
          <w:strike/>
        </w:rPr>
        <w:t>"Schools" mean licensed private and approved public real estate schools.</w:t>
      </w:r>
    </w:p>
    <w:p w14:paraId="7BC9F1B9" w14:textId="77777777" w:rsidR="00E91AE1" w:rsidRPr="00DA1314" w:rsidRDefault="00E91AE1" w:rsidP="001D2CEB">
      <w:pPr>
        <w:pStyle w:val="Item"/>
        <w:tabs>
          <w:tab w:val="clear" w:pos="1800"/>
        </w:tabs>
      </w:pPr>
      <w:r w:rsidRPr="00DA1314">
        <w:rPr>
          <w:strike/>
        </w:rPr>
        <w:t>(13)</w:t>
      </w:r>
      <w:r w:rsidRPr="00DA1314">
        <w:rPr>
          <w:u w:val="single"/>
        </w:rPr>
        <w:t>(12)</w:t>
      </w:r>
      <w:r w:rsidRPr="00DA1314">
        <w:tab/>
        <w:t>"Update Courses" mean the General Update Course and the Broker-in-Charge Update Course.</w:t>
      </w:r>
    </w:p>
    <w:p w14:paraId="0D4B4AC2" w14:textId="77777777" w:rsidR="00E91AE1" w:rsidRPr="00DA1314" w:rsidRDefault="00E91AE1" w:rsidP="001D2CEB">
      <w:pPr>
        <w:pStyle w:val="Base"/>
      </w:pPr>
    </w:p>
    <w:p w14:paraId="1C7FB465" w14:textId="7434F163" w:rsidR="00E91AE1" w:rsidRPr="00DA1314" w:rsidRDefault="00E91AE1" w:rsidP="00E91AE1">
      <w:pPr>
        <w:pStyle w:val="HistoryAuthority"/>
      </w:pPr>
      <w:r w:rsidRPr="00DA1314">
        <w:t xml:space="preserve">Authority G.S. 93A-4; </w:t>
      </w:r>
      <w:r w:rsidRPr="00DA1314">
        <w:rPr>
          <w:strike/>
        </w:rPr>
        <w:t>93A-4.1</w:t>
      </w:r>
      <w:r w:rsidRPr="00DA1314">
        <w:t xml:space="preserve">; 93A-32; 93A-33; </w:t>
      </w:r>
      <w:r w:rsidRPr="00DA1314">
        <w:rPr>
          <w:u w:val="single"/>
        </w:rPr>
        <w:t>93A-38.5</w:t>
      </w:r>
      <w:r>
        <w:rPr>
          <w:u w:val="single"/>
        </w:rPr>
        <w:t>.</w:t>
      </w:r>
    </w:p>
    <w:p w14:paraId="217A2507" w14:textId="77777777" w:rsidR="00E91AE1" w:rsidRPr="00DA1314" w:rsidRDefault="00E91AE1" w:rsidP="001D2CEB">
      <w:pPr>
        <w:pStyle w:val="Base"/>
      </w:pPr>
    </w:p>
    <w:p w14:paraId="65EB4027" w14:textId="77777777" w:rsidR="00E91AE1" w:rsidRPr="00515304" w:rsidRDefault="00E91AE1" w:rsidP="001D2CEB">
      <w:pPr>
        <w:pStyle w:val="Section"/>
      </w:pPr>
      <w:r w:rsidRPr="00515304">
        <w:t xml:space="preserve">SECTION .0200 </w:t>
      </w:r>
      <w:r w:rsidRPr="00515304">
        <w:noBreakHyphen/>
        <w:t xml:space="preserve"> REAL ESTATE </w:t>
      </w:r>
      <w:r w:rsidRPr="00515304">
        <w:rPr>
          <w:strike/>
        </w:rPr>
        <w:t>SCHOOLS</w:t>
      </w:r>
      <w:r w:rsidRPr="00515304">
        <w:t xml:space="preserve"> </w:t>
      </w:r>
      <w:r w:rsidRPr="00515304">
        <w:rPr>
          <w:u w:val="single"/>
        </w:rPr>
        <w:t>EDUCATION PROVIDERS</w:t>
      </w:r>
    </w:p>
    <w:p w14:paraId="0D09045E" w14:textId="77777777" w:rsidR="00E91AE1" w:rsidRPr="00515304" w:rsidRDefault="00E91AE1" w:rsidP="001D2CEB">
      <w:pPr>
        <w:pStyle w:val="Base"/>
      </w:pPr>
    </w:p>
    <w:p w14:paraId="2DF948B7" w14:textId="77777777" w:rsidR="00E91AE1" w:rsidRPr="00515304" w:rsidRDefault="00E91AE1" w:rsidP="001D2CEB">
      <w:pPr>
        <w:pStyle w:val="Rule"/>
      </w:pPr>
      <w:r w:rsidRPr="00515304">
        <w:t>21 NCAC 58H .0201</w:t>
      </w:r>
      <w:r w:rsidRPr="00515304">
        <w:tab/>
        <w:t>APPLICABILITY</w:t>
      </w:r>
    </w:p>
    <w:p w14:paraId="4F6761A8" w14:textId="77777777" w:rsidR="00E91AE1" w:rsidRPr="00515304" w:rsidRDefault="00E91AE1" w:rsidP="001D2CEB">
      <w:pPr>
        <w:pStyle w:val="Paragraph"/>
      </w:pPr>
      <w:r w:rsidRPr="00515304">
        <w:rPr>
          <w:strike/>
        </w:rPr>
        <w:t>This Section applies to all real estate schools offering approved Prelicensing and Postlicensing courses. Public real estate schools offering approved Prelicensing and Postlicensing courses shall be exempt from rules in this Section unless a Rule specifically requires compliance.</w:t>
      </w:r>
    </w:p>
    <w:p w14:paraId="4C1A4751" w14:textId="77777777" w:rsidR="00E91AE1" w:rsidRPr="00515304" w:rsidRDefault="00E91AE1" w:rsidP="001D2CEB">
      <w:pPr>
        <w:pStyle w:val="Paragraph"/>
      </w:pPr>
      <w:r w:rsidRPr="00515304">
        <w:rPr>
          <w:u w:val="single"/>
        </w:rPr>
        <w:t xml:space="preserve">This Section applies to all real estate education providers offering approved real estate courses. Public education providers shall be exempt from the </w:t>
      </w:r>
      <w:r>
        <w:rPr>
          <w:u w:val="single"/>
        </w:rPr>
        <w:t>r</w:t>
      </w:r>
      <w:r w:rsidRPr="00515304">
        <w:rPr>
          <w:u w:val="single"/>
        </w:rPr>
        <w:t>ules in this Section unless the Rule specifically requires compliance.</w:t>
      </w:r>
    </w:p>
    <w:p w14:paraId="272ECDBD" w14:textId="77777777" w:rsidR="00E91AE1" w:rsidRPr="00515304" w:rsidRDefault="00E91AE1" w:rsidP="001D2CEB">
      <w:pPr>
        <w:pStyle w:val="Base"/>
      </w:pPr>
    </w:p>
    <w:p w14:paraId="499780EF" w14:textId="313BA3CA" w:rsidR="00E91AE1" w:rsidRPr="00515304" w:rsidRDefault="00E91AE1" w:rsidP="00E91AE1">
      <w:pPr>
        <w:pStyle w:val="HistoryAuthority"/>
      </w:pPr>
      <w:r w:rsidRPr="00515304">
        <w:t>Authority G.S. 93A</w:t>
      </w:r>
      <w:r w:rsidRPr="00515304">
        <w:noBreakHyphen/>
        <w:t>4; 93A</w:t>
      </w:r>
      <w:r w:rsidRPr="00515304">
        <w:noBreakHyphen/>
        <w:t>33</w:t>
      </w:r>
      <w:r>
        <w:t>.</w:t>
      </w:r>
    </w:p>
    <w:p w14:paraId="5E769426" w14:textId="77777777" w:rsidR="00E91AE1" w:rsidRPr="00515304" w:rsidRDefault="00E91AE1" w:rsidP="001D2CEB">
      <w:pPr>
        <w:pStyle w:val="Base"/>
      </w:pPr>
    </w:p>
    <w:p w14:paraId="061E6022" w14:textId="77777777" w:rsidR="00E91AE1" w:rsidRPr="00E856F9" w:rsidRDefault="00E91AE1" w:rsidP="001D2CEB">
      <w:pPr>
        <w:pStyle w:val="Rule"/>
      </w:pPr>
      <w:r w:rsidRPr="00E856F9">
        <w:t>21 NCAC 58H .0202</w:t>
      </w:r>
      <w:r w:rsidRPr="00E856F9">
        <w:tab/>
        <w:t xml:space="preserve">ApPLICATION For </w:t>
      </w:r>
      <w:r w:rsidRPr="00E856F9">
        <w:rPr>
          <w:strike/>
        </w:rPr>
        <w:t>ORIGINAL APPROVAL OF A PUBLIC REAL ESTATE SCHOOL</w:t>
      </w:r>
      <w:r w:rsidRPr="00E856F9">
        <w:t xml:space="preserve"> </w:t>
      </w:r>
      <w:r w:rsidRPr="00E856F9">
        <w:rPr>
          <w:u w:val="single"/>
        </w:rPr>
        <w:t>education provider certification</w:t>
      </w:r>
    </w:p>
    <w:p w14:paraId="565AA229" w14:textId="77777777" w:rsidR="00E91AE1" w:rsidRPr="00E856F9" w:rsidRDefault="00E91AE1" w:rsidP="001D2CEB">
      <w:pPr>
        <w:pStyle w:val="Paragraph"/>
      </w:pPr>
      <w:r w:rsidRPr="00E856F9">
        <w:rPr>
          <w:strike/>
        </w:rPr>
        <w:t>(a)  Any entity seeking original approval as a public real estate school to conduct Prelicensing or Postlicensing courses shall apply to the Commission on a form available on the Commission's website and shall set forth the:</w:t>
      </w:r>
    </w:p>
    <w:p w14:paraId="6E0BE65E" w14:textId="77777777" w:rsidR="00E91AE1" w:rsidRPr="00E856F9" w:rsidRDefault="00E91AE1" w:rsidP="001D2CEB">
      <w:pPr>
        <w:pStyle w:val="SubParagraph"/>
        <w:tabs>
          <w:tab w:val="clear" w:pos="1800"/>
        </w:tabs>
      </w:pPr>
      <w:r w:rsidRPr="00E856F9">
        <w:rPr>
          <w:strike/>
        </w:rPr>
        <w:t>(1)</w:t>
      </w:r>
      <w:r w:rsidRPr="00E856F9">
        <w:tab/>
      </w:r>
      <w:r w:rsidRPr="00E856F9">
        <w:rPr>
          <w:strike/>
        </w:rPr>
        <w:t>school name;</w:t>
      </w:r>
    </w:p>
    <w:p w14:paraId="59919E6E" w14:textId="77777777" w:rsidR="00E91AE1" w:rsidRPr="00E856F9" w:rsidRDefault="00E91AE1" w:rsidP="001D2CEB">
      <w:pPr>
        <w:pStyle w:val="SubParagraph"/>
        <w:tabs>
          <w:tab w:val="clear" w:pos="1800"/>
        </w:tabs>
      </w:pPr>
      <w:r w:rsidRPr="00E856F9">
        <w:rPr>
          <w:strike/>
        </w:rPr>
        <w:t>(2)</w:t>
      </w:r>
      <w:r w:rsidRPr="00E856F9">
        <w:tab/>
      </w:r>
      <w:r w:rsidRPr="00E856F9">
        <w:rPr>
          <w:strike/>
        </w:rPr>
        <w:t>school director name and contact information;</w:t>
      </w:r>
    </w:p>
    <w:p w14:paraId="4277CC96" w14:textId="77777777" w:rsidR="00E91AE1" w:rsidRPr="00E856F9" w:rsidRDefault="00E91AE1" w:rsidP="001D2CEB">
      <w:pPr>
        <w:pStyle w:val="SubParagraph"/>
        <w:tabs>
          <w:tab w:val="clear" w:pos="1800"/>
        </w:tabs>
      </w:pPr>
      <w:r w:rsidRPr="00E856F9">
        <w:rPr>
          <w:strike/>
        </w:rPr>
        <w:t>(3)</w:t>
      </w:r>
      <w:r w:rsidRPr="00E856F9">
        <w:tab/>
      </w:r>
      <w:r w:rsidRPr="00E856F9">
        <w:rPr>
          <w:strike/>
        </w:rPr>
        <w:t>school address;</w:t>
      </w:r>
    </w:p>
    <w:p w14:paraId="08F05C2E" w14:textId="77777777" w:rsidR="00E91AE1" w:rsidRPr="00E856F9" w:rsidRDefault="00E91AE1" w:rsidP="001D2CEB">
      <w:pPr>
        <w:pStyle w:val="SubParagraph"/>
        <w:tabs>
          <w:tab w:val="clear" w:pos="1800"/>
        </w:tabs>
      </w:pPr>
      <w:r w:rsidRPr="00E856F9">
        <w:rPr>
          <w:strike/>
        </w:rPr>
        <w:t>(4)</w:t>
      </w:r>
      <w:r w:rsidRPr="00E856F9">
        <w:tab/>
      </w:r>
      <w:r w:rsidRPr="00E856F9">
        <w:rPr>
          <w:strike/>
        </w:rPr>
        <w:t>school telephone number;</w:t>
      </w:r>
    </w:p>
    <w:p w14:paraId="080D0158" w14:textId="77777777" w:rsidR="00E91AE1" w:rsidRPr="00E856F9" w:rsidRDefault="00E91AE1" w:rsidP="001D2CEB">
      <w:pPr>
        <w:pStyle w:val="SubParagraph"/>
        <w:tabs>
          <w:tab w:val="clear" w:pos="1800"/>
        </w:tabs>
      </w:pPr>
      <w:r w:rsidRPr="00E856F9">
        <w:rPr>
          <w:strike/>
        </w:rPr>
        <w:t>(5)</w:t>
      </w:r>
      <w:r w:rsidRPr="00E856F9">
        <w:tab/>
      </w:r>
      <w:r w:rsidRPr="00E856F9">
        <w:rPr>
          <w:strike/>
        </w:rPr>
        <w:t>school website address;</w:t>
      </w:r>
    </w:p>
    <w:p w14:paraId="75F93C05" w14:textId="77777777" w:rsidR="00E91AE1" w:rsidRPr="00E856F9" w:rsidRDefault="00E91AE1" w:rsidP="001D2CEB">
      <w:pPr>
        <w:pStyle w:val="SubParagraph"/>
        <w:tabs>
          <w:tab w:val="clear" w:pos="1800"/>
        </w:tabs>
      </w:pPr>
      <w:r w:rsidRPr="00E856F9">
        <w:rPr>
          <w:strike/>
        </w:rPr>
        <w:t>(6)</w:t>
      </w:r>
      <w:r w:rsidRPr="00E856F9">
        <w:tab/>
      </w:r>
      <w:r w:rsidRPr="00E856F9">
        <w:rPr>
          <w:strike/>
        </w:rPr>
        <w:t>type of public institution;</w:t>
      </w:r>
    </w:p>
    <w:p w14:paraId="75808EB7" w14:textId="77777777" w:rsidR="00E91AE1" w:rsidRPr="00E856F9" w:rsidRDefault="00E91AE1" w:rsidP="001D2CEB">
      <w:pPr>
        <w:pStyle w:val="SubParagraph"/>
        <w:tabs>
          <w:tab w:val="clear" w:pos="1800"/>
        </w:tabs>
      </w:pPr>
      <w:r w:rsidRPr="00E856F9">
        <w:rPr>
          <w:strike/>
        </w:rPr>
        <w:t>(7)</w:t>
      </w:r>
      <w:r w:rsidRPr="00E856F9">
        <w:tab/>
      </w:r>
      <w:r w:rsidRPr="00E856F9">
        <w:rPr>
          <w:strike/>
        </w:rPr>
        <w:t>Prelicensing or Postlicensing courses to be offered by the school;</w:t>
      </w:r>
    </w:p>
    <w:p w14:paraId="5FEFE8E8" w14:textId="77777777" w:rsidR="00E91AE1" w:rsidRPr="00E856F9" w:rsidRDefault="00E91AE1" w:rsidP="001D2CEB">
      <w:pPr>
        <w:pStyle w:val="SubParagraph"/>
        <w:tabs>
          <w:tab w:val="clear" w:pos="1800"/>
        </w:tabs>
      </w:pPr>
      <w:r w:rsidRPr="00E856F9">
        <w:rPr>
          <w:strike/>
        </w:rPr>
        <w:t>(8)</w:t>
      </w:r>
      <w:r w:rsidRPr="00E856F9">
        <w:tab/>
      </w:r>
      <w:r w:rsidRPr="00E856F9">
        <w:rPr>
          <w:strike/>
        </w:rPr>
        <w:t>Update courses to be offered by the school; and</w:t>
      </w:r>
    </w:p>
    <w:p w14:paraId="11C6F1D0" w14:textId="77777777" w:rsidR="00E91AE1" w:rsidRPr="00E856F9" w:rsidRDefault="00E91AE1" w:rsidP="001D2CEB">
      <w:pPr>
        <w:pStyle w:val="SubParagraph"/>
        <w:tabs>
          <w:tab w:val="clear" w:pos="1800"/>
        </w:tabs>
      </w:pPr>
      <w:r w:rsidRPr="00E856F9">
        <w:rPr>
          <w:strike/>
        </w:rPr>
        <w:t>(9)</w:t>
      </w:r>
      <w:r w:rsidRPr="00E856F9">
        <w:tab/>
      </w:r>
      <w:r w:rsidRPr="00E856F9">
        <w:rPr>
          <w:strike/>
        </w:rPr>
        <w:t>a signed certification by the school director that courses shall be conducted in compliance with the rules of this Subchapter.</w:t>
      </w:r>
    </w:p>
    <w:p w14:paraId="183770C3" w14:textId="77777777" w:rsidR="00E91AE1" w:rsidRPr="00E856F9" w:rsidRDefault="00E91AE1" w:rsidP="001D2CEB">
      <w:pPr>
        <w:pStyle w:val="Paragraph"/>
      </w:pPr>
      <w:r w:rsidRPr="00E856F9">
        <w:rPr>
          <w:strike/>
        </w:rPr>
        <w:t xml:space="preserve">(b)  Public real estate schools offering Prelicensing or Postlicensing courses pursuant to Paragraph (a) of this Rule shall </w:t>
      </w:r>
      <w:r w:rsidRPr="00E856F9">
        <w:rPr>
          <w:strike/>
        </w:rPr>
        <w:t>be eligible to offer Update courses and continuing education courses.</w:t>
      </w:r>
    </w:p>
    <w:p w14:paraId="21EDA529" w14:textId="77777777" w:rsidR="00E91AE1" w:rsidRPr="00E856F9" w:rsidRDefault="00E91AE1" w:rsidP="001D2CEB">
      <w:pPr>
        <w:pStyle w:val="Paragraph"/>
      </w:pPr>
      <w:r w:rsidRPr="00E856F9">
        <w:rPr>
          <w:strike/>
        </w:rPr>
        <w:t>(c)  Approval shall extend only to the courses included in the application for school approval.</w:t>
      </w:r>
    </w:p>
    <w:p w14:paraId="34E5D1D7" w14:textId="77777777" w:rsidR="00E91AE1" w:rsidRPr="00E856F9" w:rsidRDefault="00E91AE1" w:rsidP="001D2CEB">
      <w:pPr>
        <w:pStyle w:val="Paragraph"/>
      </w:pPr>
      <w:r w:rsidRPr="00E856F9">
        <w:rPr>
          <w:u w:val="single"/>
        </w:rPr>
        <w:t>(a)  Any community college, junior college, or university located in this State and accredited by the Southern Association of Colleges and Schools seeking education provider certification shall apply to the Commission on a form available on the Commission's website and shall set forth the:</w:t>
      </w:r>
    </w:p>
    <w:p w14:paraId="6FAFE491" w14:textId="77777777" w:rsidR="00E91AE1" w:rsidRPr="00E856F9" w:rsidRDefault="00E91AE1" w:rsidP="001D2CEB">
      <w:pPr>
        <w:pStyle w:val="SubParagraph"/>
        <w:tabs>
          <w:tab w:val="clear" w:pos="1800"/>
        </w:tabs>
      </w:pPr>
      <w:r w:rsidRPr="00E856F9">
        <w:rPr>
          <w:u w:val="single"/>
        </w:rPr>
        <w:t>(1)</w:t>
      </w:r>
      <w:r w:rsidRPr="00E856F9">
        <w:tab/>
      </w:r>
      <w:r w:rsidRPr="00E856F9">
        <w:rPr>
          <w:u w:val="single"/>
        </w:rPr>
        <w:t>education provider's name;</w:t>
      </w:r>
    </w:p>
    <w:p w14:paraId="49E0891C" w14:textId="77777777" w:rsidR="00E91AE1" w:rsidRPr="00E856F9" w:rsidRDefault="00E91AE1" w:rsidP="001D2CEB">
      <w:pPr>
        <w:pStyle w:val="SubParagraph"/>
        <w:tabs>
          <w:tab w:val="clear" w:pos="1800"/>
        </w:tabs>
      </w:pPr>
      <w:r w:rsidRPr="00E856F9">
        <w:rPr>
          <w:u w:val="single"/>
        </w:rPr>
        <w:t>(2)</w:t>
      </w:r>
      <w:r w:rsidRPr="00E856F9">
        <w:tab/>
      </w:r>
      <w:r w:rsidRPr="00E856F9">
        <w:rPr>
          <w:u w:val="single"/>
        </w:rPr>
        <w:t>education director's name and contact information;</w:t>
      </w:r>
    </w:p>
    <w:p w14:paraId="45F8C985" w14:textId="77777777" w:rsidR="00E91AE1" w:rsidRPr="00E856F9" w:rsidRDefault="00E91AE1" w:rsidP="001D2CEB">
      <w:pPr>
        <w:pStyle w:val="SubParagraph"/>
        <w:tabs>
          <w:tab w:val="clear" w:pos="1800"/>
        </w:tabs>
      </w:pPr>
      <w:r w:rsidRPr="00E856F9">
        <w:rPr>
          <w:u w:val="single"/>
        </w:rPr>
        <w:t>(3)</w:t>
      </w:r>
      <w:r w:rsidRPr="00E856F9">
        <w:tab/>
      </w:r>
      <w:r w:rsidRPr="00E856F9">
        <w:rPr>
          <w:u w:val="single"/>
        </w:rPr>
        <w:t>education director's email address;</w:t>
      </w:r>
    </w:p>
    <w:p w14:paraId="7457BEB1" w14:textId="77777777" w:rsidR="00E91AE1" w:rsidRPr="00E856F9" w:rsidRDefault="00E91AE1" w:rsidP="001D2CEB">
      <w:pPr>
        <w:pStyle w:val="SubParagraph"/>
        <w:tabs>
          <w:tab w:val="clear" w:pos="1800"/>
        </w:tabs>
      </w:pPr>
      <w:r w:rsidRPr="00E856F9">
        <w:rPr>
          <w:u w:val="single"/>
        </w:rPr>
        <w:t>(4)</w:t>
      </w:r>
      <w:r w:rsidRPr="00E856F9">
        <w:tab/>
      </w:r>
      <w:r w:rsidRPr="00E856F9">
        <w:rPr>
          <w:u w:val="single"/>
        </w:rPr>
        <w:t>education provider's address;</w:t>
      </w:r>
    </w:p>
    <w:p w14:paraId="653B8229" w14:textId="77777777" w:rsidR="00E91AE1" w:rsidRPr="00E856F9" w:rsidRDefault="00E91AE1" w:rsidP="001D2CEB">
      <w:pPr>
        <w:pStyle w:val="SubParagraph"/>
        <w:tabs>
          <w:tab w:val="clear" w:pos="1800"/>
        </w:tabs>
      </w:pPr>
      <w:r w:rsidRPr="00E856F9">
        <w:rPr>
          <w:u w:val="single"/>
        </w:rPr>
        <w:t>(5)</w:t>
      </w:r>
      <w:r w:rsidRPr="00E856F9">
        <w:tab/>
      </w:r>
      <w:r w:rsidRPr="00E856F9">
        <w:rPr>
          <w:u w:val="single"/>
        </w:rPr>
        <w:t>education provider's telephone number;</w:t>
      </w:r>
    </w:p>
    <w:p w14:paraId="36FD5475" w14:textId="77777777" w:rsidR="00E91AE1" w:rsidRPr="00E856F9" w:rsidRDefault="00E91AE1" w:rsidP="001D2CEB">
      <w:pPr>
        <w:pStyle w:val="SubParagraph"/>
        <w:tabs>
          <w:tab w:val="clear" w:pos="1800"/>
        </w:tabs>
      </w:pPr>
      <w:r w:rsidRPr="00E856F9">
        <w:rPr>
          <w:u w:val="single"/>
        </w:rPr>
        <w:t>(6)</w:t>
      </w:r>
      <w:r w:rsidRPr="00E856F9">
        <w:tab/>
      </w:r>
      <w:r w:rsidRPr="00E856F9">
        <w:rPr>
          <w:u w:val="single"/>
        </w:rPr>
        <w:t>education provider's website address;</w:t>
      </w:r>
    </w:p>
    <w:p w14:paraId="2F9DE61F" w14:textId="77777777" w:rsidR="00E91AE1" w:rsidRPr="00E856F9" w:rsidRDefault="00E91AE1" w:rsidP="001D2CEB">
      <w:pPr>
        <w:pStyle w:val="SubParagraph"/>
        <w:tabs>
          <w:tab w:val="clear" w:pos="1800"/>
        </w:tabs>
      </w:pPr>
      <w:r w:rsidRPr="00E856F9">
        <w:rPr>
          <w:u w:val="single"/>
        </w:rPr>
        <w:t>(7)</w:t>
      </w:r>
      <w:r w:rsidRPr="00E856F9">
        <w:tab/>
      </w:r>
      <w:r w:rsidRPr="00E856F9">
        <w:rPr>
          <w:u w:val="single"/>
        </w:rPr>
        <w:t>type of public institution;</w:t>
      </w:r>
    </w:p>
    <w:p w14:paraId="5791F007" w14:textId="77777777" w:rsidR="00E91AE1" w:rsidRPr="00E856F9" w:rsidRDefault="00E91AE1" w:rsidP="001D2CEB">
      <w:pPr>
        <w:pStyle w:val="SubParagraph"/>
        <w:tabs>
          <w:tab w:val="clear" w:pos="1800"/>
        </w:tabs>
      </w:pPr>
      <w:r w:rsidRPr="00E856F9">
        <w:rPr>
          <w:u w:val="single"/>
        </w:rPr>
        <w:t>(8)</w:t>
      </w:r>
      <w:r w:rsidRPr="00E856F9">
        <w:tab/>
      </w:r>
      <w:r w:rsidRPr="00E856F9">
        <w:rPr>
          <w:u w:val="single"/>
        </w:rPr>
        <w:t>Prelicensing, Postlicensing, and Continuing Education courses to be offered by the applicant; and</w:t>
      </w:r>
    </w:p>
    <w:p w14:paraId="14B2224C" w14:textId="77777777" w:rsidR="00E91AE1" w:rsidRPr="00E856F9" w:rsidRDefault="00E91AE1" w:rsidP="001D2CEB">
      <w:pPr>
        <w:pStyle w:val="SubParagraph"/>
        <w:tabs>
          <w:tab w:val="clear" w:pos="1800"/>
        </w:tabs>
      </w:pPr>
      <w:r w:rsidRPr="00E856F9">
        <w:rPr>
          <w:u w:val="single"/>
        </w:rPr>
        <w:t>(9)</w:t>
      </w:r>
      <w:r w:rsidRPr="00E856F9">
        <w:tab/>
      </w:r>
      <w:r w:rsidRPr="00E856F9">
        <w:rPr>
          <w:u w:val="single"/>
        </w:rPr>
        <w:t xml:space="preserve">a signed certification by the education director that courses shall be conducted in compliance with the </w:t>
      </w:r>
      <w:r>
        <w:rPr>
          <w:u w:val="single"/>
        </w:rPr>
        <w:t>r</w:t>
      </w:r>
      <w:r w:rsidRPr="00E856F9">
        <w:rPr>
          <w:u w:val="single"/>
        </w:rPr>
        <w:t>ules of this Subchapter.</w:t>
      </w:r>
    </w:p>
    <w:p w14:paraId="10DA8AB7" w14:textId="77777777" w:rsidR="00E91AE1" w:rsidRPr="00E856F9" w:rsidRDefault="00E91AE1" w:rsidP="001D2CEB">
      <w:pPr>
        <w:pStyle w:val="Paragraph"/>
      </w:pPr>
      <w:r w:rsidRPr="00E856F9">
        <w:rPr>
          <w:u w:val="single"/>
        </w:rPr>
        <w:t>(b)  Any other person or entity seeking education provider certification shall apply to the Commission on a form available on the Commission's website and shall set forth the following criteria in addition to the requirements in G.S. 93A-34(b1):</w:t>
      </w:r>
    </w:p>
    <w:p w14:paraId="2B083E70" w14:textId="77777777" w:rsidR="00E91AE1" w:rsidRPr="00E856F9" w:rsidRDefault="00E91AE1" w:rsidP="001D2CEB">
      <w:pPr>
        <w:pStyle w:val="SubParagraph"/>
        <w:tabs>
          <w:tab w:val="clear" w:pos="1800"/>
        </w:tabs>
      </w:pPr>
      <w:r w:rsidRPr="00E856F9">
        <w:rPr>
          <w:u w:val="single"/>
        </w:rPr>
        <w:t>(1)</w:t>
      </w:r>
      <w:r w:rsidRPr="00E856F9">
        <w:tab/>
      </w:r>
      <w:r w:rsidRPr="00E856F9">
        <w:rPr>
          <w:u w:val="single"/>
        </w:rPr>
        <w:t>the website, physical and mailing address, and telephone number of the principal office of the education provider;</w:t>
      </w:r>
    </w:p>
    <w:p w14:paraId="76500BC0" w14:textId="77777777" w:rsidR="00E91AE1" w:rsidRPr="00E856F9" w:rsidRDefault="00E91AE1" w:rsidP="001D2CEB">
      <w:pPr>
        <w:pStyle w:val="SubParagraph"/>
        <w:tabs>
          <w:tab w:val="clear" w:pos="1800"/>
        </w:tabs>
      </w:pPr>
      <w:r w:rsidRPr="00E856F9">
        <w:rPr>
          <w:u w:val="single"/>
        </w:rPr>
        <w:t>(2)</w:t>
      </w:r>
      <w:r w:rsidRPr="00E856F9">
        <w:tab/>
      </w:r>
      <w:r w:rsidRPr="00E856F9">
        <w:rPr>
          <w:u w:val="single"/>
        </w:rPr>
        <w:t>the education director's license number, if applicable, email and mailing address, and telephone number;</w:t>
      </w:r>
    </w:p>
    <w:p w14:paraId="77DFC65F" w14:textId="77777777" w:rsidR="00E91AE1" w:rsidRPr="00E856F9" w:rsidRDefault="00E91AE1" w:rsidP="001D2CEB">
      <w:pPr>
        <w:pStyle w:val="SubParagraph"/>
        <w:tabs>
          <w:tab w:val="clear" w:pos="1800"/>
        </w:tabs>
      </w:pPr>
      <w:r w:rsidRPr="00E856F9">
        <w:rPr>
          <w:u w:val="single"/>
        </w:rPr>
        <w:t>(3)</w:t>
      </w:r>
      <w:r w:rsidRPr="00E856F9">
        <w:tab/>
      </w:r>
      <w:r w:rsidRPr="00E856F9">
        <w:rPr>
          <w:u w:val="single"/>
        </w:rPr>
        <w:t>the North Carolina Secretary of State Identification Number, if applicable;</w:t>
      </w:r>
    </w:p>
    <w:p w14:paraId="5ECA3401" w14:textId="77777777" w:rsidR="00E91AE1" w:rsidRPr="00E856F9" w:rsidRDefault="00E91AE1" w:rsidP="001D2CEB">
      <w:pPr>
        <w:pStyle w:val="SubParagraph"/>
        <w:tabs>
          <w:tab w:val="clear" w:pos="1800"/>
        </w:tabs>
      </w:pPr>
      <w:r w:rsidRPr="00E856F9">
        <w:rPr>
          <w:u w:val="single"/>
        </w:rPr>
        <w:t>(4)</w:t>
      </w:r>
      <w:r w:rsidRPr="00E856F9">
        <w:tab/>
      </w:r>
      <w:r w:rsidRPr="00E856F9">
        <w:rPr>
          <w:u w:val="single"/>
        </w:rPr>
        <w:t>the physical address of each proposed branch location, if applicable;</w:t>
      </w:r>
    </w:p>
    <w:p w14:paraId="0E39F032" w14:textId="77777777" w:rsidR="00E91AE1" w:rsidRPr="00E856F9" w:rsidRDefault="00E91AE1" w:rsidP="001D2CEB">
      <w:pPr>
        <w:pStyle w:val="SubParagraph"/>
        <w:tabs>
          <w:tab w:val="clear" w:pos="1800"/>
        </w:tabs>
      </w:pPr>
      <w:r w:rsidRPr="00E856F9">
        <w:rPr>
          <w:u w:val="single"/>
        </w:rPr>
        <w:t>(5)</w:t>
      </w:r>
      <w:r w:rsidRPr="00E856F9">
        <w:tab/>
      </w:r>
      <w:r w:rsidRPr="00E856F9">
        <w:rPr>
          <w:u w:val="single"/>
        </w:rPr>
        <w:t>the type of ownership entity;</w:t>
      </w:r>
    </w:p>
    <w:p w14:paraId="5FC05BDE" w14:textId="77777777" w:rsidR="00E91AE1" w:rsidRPr="00E856F9" w:rsidRDefault="00E91AE1" w:rsidP="001D2CEB">
      <w:pPr>
        <w:pStyle w:val="SubParagraph"/>
        <w:tabs>
          <w:tab w:val="clear" w:pos="1800"/>
        </w:tabs>
      </w:pPr>
      <w:r w:rsidRPr="00E856F9">
        <w:rPr>
          <w:u w:val="single"/>
        </w:rPr>
        <w:t>(6)</w:t>
      </w:r>
      <w:r w:rsidRPr="00E856F9">
        <w:tab/>
      </w:r>
      <w:r w:rsidRPr="00E856F9">
        <w:rPr>
          <w:u w:val="single"/>
        </w:rPr>
        <w:t>a signed Consent to Service of Process and Pleadings form available on the Commission's website, if a foreign entity;</w:t>
      </w:r>
    </w:p>
    <w:p w14:paraId="71914C35" w14:textId="77777777" w:rsidR="00E91AE1" w:rsidRPr="00E856F9" w:rsidRDefault="00E91AE1" w:rsidP="001D2CEB">
      <w:pPr>
        <w:pStyle w:val="SubParagraph"/>
        <w:tabs>
          <w:tab w:val="clear" w:pos="1800"/>
        </w:tabs>
      </w:pPr>
      <w:r w:rsidRPr="00E856F9">
        <w:rPr>
          <w:u w:val="single"/>
        </w:rPr>
        <w:t>(7)</w:t>
      </w:r>
      <w:r w:rsidRPr="00E856F9">
        <w:tab/>
      </w:r>
      <w:r w:rsidRPr="00E856F9">
        <w:rPr>
          <w:u w:val="single"/>
        </w:rPr>
        <w:t>the Prelicensing, Postlicensing, and Continuing Education courses to be offered by the applicant; and</w:t>
      </w:r>
    </w:p>
    <w:p w14:paraId="6E25710E" w14:textId="77777777" w:rsidR="00E91AE1" w:rsidRPr="00E856F9" w:rsidRDefault="00E91AE1" w:rsidP="001D2CEB">
      <w:pPr>
        <w:pStyle w:val="SubParagraph"/>
        <w:tabs>
          <w:tab w:val="clear" w:pos="1800"/>
        </w:tabs>
      </w:pPr>
      <w:r w:rsidRPr="00E856F9">
        <w:rPr>
          <w:u w:val="single"/>
        </w:rPr>
        <w:t>(8)</w:t>
      </w:r>
      <w:r w:rsidRPr="00E856F9">
        <w:tab/>
      </w:r>
      <w:r w:rsidRPr="00E856F9">
        <w:rPr>
          <w:u w:val="single"/>
        </w:rPr>
        <w:t>a signed certification by the education director that courses shall be conducted in compliance with the Rules of this Subchapter.</w:t>
      </w:r>
    </w:p>
    <w:p w14:paraId="2D6F2431" w14:textId="77777777" w:rsidR="00E91AE1" w:rsidRPr="00E856F9" w:rsidRDefault="00E91AE1" w:rsidP="001D2CEB">
      <w:pPr>
        <w:pStyle w:val="Paragraph"/>
      </w:pPr>
      <w:r w:rsidRPr="00E856F9">
        <w:rPr>
          <w:u w:val="single"/>
        </w:rPr>
        <w:t>(c)  The certification application fee for an education provider applying under Paragraph (b) of this Rule shall be two hundred dollars ($200.00) for each proposed education provider location. Provided however, education providers shall not be required to obtain a certification for every location a Continuing Education course is offered.</w:t>
      </w:r>
    </w:p>
    <w:p w14:paraId="1BCC3A41" w14:textId="77777777" w:rsidR="00E91AE1" w:rsidRPr="00E856F9" w:rsidRDefault="00E91AE1" w:rsidP="001D2CEB">
      <w:pPr>
        <w:pStyle w:val="Paragraph"/>
      </w:pPr>
      <w:r w:rsidRPr="00E856F9">
        <w:rPr>
          <w:u w:val="single"/>
        </w:rPr>
        <w:t>(d)  If any education provider relocates any location or opens additional branch locations during any licensing period, the education director shall submit an original application for certification of that location pursuant to this Rule.</w:t>
      </w:r>
    </w:p>
    <w:p w14:paraId="04E389E9" w14:textId="77777777" w:rsidR="00E91AE1" w:rsidRPr="00E856F9" w:rsidRDefault="00E91AE1" w:rsidP="001D2CEB">
      <w:pPr>
        <w:pStyle w:val="Paragraph"/>
      </w:pPr>
      <w:r w:rsidRPr="00E856F9">
        <w:rPr>
          <w:u w:val="single"/>
        </w:rPr>
        <w:t xml:space="preserve">(e)  In the event that any education provider shall advertise or operate in any manner using a name different from the name under </w:t>
      </w:r>
      <w:r w:rsidRPr="00E856F9">
        <w:rPr>
          <w:u w:val="single"/>
        </w:rPr>
        <w:lastRenderedPageBreak/>
        <w:t>which the education provider is certified, the education provider shall first file an assumed name certificate in compliance with G.S. 66-71.4 and shall notify the Commission in writing of the use of such an assumed name. An education provider shall not advertise or operate in any manner that would mislead a consumer as to the education provider's actual identity.</w:t>
      </w:r>
    </w:p>
    <w:p w14:paraId="282E6F43" w14:textId="77777777" w:rsidR="00E91AE1" w:rsidRPr="00E856F9" w:rsidRDefault="00E91AE1" w:rsidP="001D2CEB">
      <w:pPr>
        <w:pStyle w:val="Base"/>
      </w:pPr>
    </w:p>
    <w:p w14:paraId="186F18FC" w14:textId="6F6BB8B7" w:rsidR="00E91AE1" w:rsidRPr="00E856F9" w:rsidRDefault="00E91AE1" w:rsidP="00E91AE1">
      <w:pPr>
        <w:pStyle w:val="HistoryAuthority"/>
      </w:pPr>
      <w:r w:rsidRPr="00E856F9">
        <w:t xml:space="preserve">Authority G.S. 93A-4; </w:t>
      </w:r>
      <w:r w:rsidRPr="00E856F9">
        <w:rPr>
          <w:u w:val="single"/>
        </w:rPr>
        <w:t>93A-34</w:t>
      </w:r>
      <w:r>
        <w:rPr>
          <w:u w:val="single"/>
        </w:rPr>
        <w:t>.</w:t>
      </w:r>
    </w:p>
    <w:p w14:paraId="253CFDEF" w14:textId="77777777" w:rsidR="00E91AE1" w:rsidRPr="00E856F9" w:rsidRDefault="00E91AE1" w:rsidP="001D2CEB">
      <w:pPr>
        <w:pStyle w:val="Base"/>
      </w:pPr>
    </w:p>
    <w:p w14:paraId="2FE6934A" w14:textId="77777777" w:rsidR="00E91AE1" w:rsidRPr="000220CF" w:rsidRDefault="00E91AE1" w:rsidP="001D2CEB">
      <w:pPr>
        <w:pStyle w:val="Rule"/>
      </w:pPr>
      <w:r w:rsidRPr="000220CF">
        <w:t>21 NCAC 58H .0203</w:t>
      </w:r>
      <w:r w:rsidRPr="000220CF">
        <w:tab/>
      </w:r>
      <w:r w:rsidRPr="000220CF">
        <w:rPr>
          <w:strike/>
        </w:rPr>
        <w:t>ApPLICATION For ORIGINAL LICENSURE OF A Private REAL ESTATE SCHOOL</w:t>
      </w:r>
      <w:r w:rsidRPr="000220CF">
        <w:t xml:space="preserve"> </w:t>
      </w:r>
      <w:r w:rsidRPr="000220CF">
        <w:rPr>
          <w:u w:val="single"/>
        </w:rPr>
        <w:t>Education DIRECTOR</w:t>
      </w:r>
    </w:p>
    <w:p w14:paraId="3BAD5314" w14:textId="77777777" w:rsidR="00E91AE1" w:rsidRPr="000220CF" w:rsidRDefault="00E91AE1" w:rsidP="001D2CEB">
      <w:pPr>
        <w:pStyle w:val="Paragraph"/>
      </w:pPr>
      <w:r w:rsidRPr="000220CF">
        <w:rPr>
          <w:strike/>
        </w:rPr>
        <w:t>(a)  Any entity seeking original licensure as a private real estate school to conduct Prelicensing or Postlicensing courses shall apply to the Commission on a form available on the Commission's website and shall set forth the following criteria in addition to the requirements in G.S. 93A-34(b):</w:t>
      </w:r>
    </w:p>
    <w:p w14:paraId="0358EDE7" w14:textId="77777777" w:rsidR="00E91AE1" w:rsidRPr="000220CF" w:rsidRDefault="00E91AE1" w:rsidP="001D2CEB">
      <w:pPr>
        <w:pStyle w:val="SubParagraph"/>
        <w:tabs>
          <w:tab w:val="clear" w:pos="1800"/>
        </w:tabs>
      </w:pPr>
      <w:r w:rsidRPr="000220CF">
        <w:rPr>
          <w:strike/>
        </w:rPr>
        <w:t>(1)</w:t>
      </w:r>
      <w:r w:rsidRPr="000220CF">
        <w:tab/>
      </w:r>
      <w:r w:rsidRPr="000220CF">
        <w:rPr>
          <w:strike/>
        </w:rPr>
        <w:t>the physical, website, and email addresses and telephone number of the principal office of the school;</w:t>
      </w:r>
    </w:p>
    <w:p w14:paraId="05AB5CE9" w14:textId="77777777" w:rsidR="00E91AE1" w:rsidRPr="000220CF" w:rsidRDefault="00E91AE1" w:rsidP="001D2CEB">
      <w:pPr>
        <w:pStyle w:val="SubParagraph"/>
        <w:tabs>
          <w:tab w:val="clear" w:pos="1800"/>
        </w:tabs>
      </w:pPr>
      <w:r w:rsidRPr="000220CF">
        <w:rPr>
          <w:strike/>
        </w:rPr>
        <w:t>(2)</w:t>
      </w:r>
      <w:r w:rsidRPr="000220CF">
        <w:tab/>
      </w:r>
      <w:r w:rsidRPr="000220CF">
        <w:rPr>
          <w:strike/>
        </w:rPr>
        <w:t>the proposed school director's legal name, real estate license number, if any, email and mailing address, and telephone number;</w:t>
      </w:r>
    </w:p>
    <w:p w14:paraId="1A180DA5" w14:textId="77777777" w:rsidR="00E91AE1" w:rsidRPr="000220CF" w:rsidRDefault="00E91AE1" w:rsidP="001D2CEB">
      <w:pPr>
        <w:pStyle w:val="SubParagraph"/>
        <w:tabs>
          <w:tab w:val="clear" w:pos="1800"/>
        </w:tabs>
      </w:pPr>
      <w:r w:rsidRPr="000220CF">
        <w:rPr>
          <w:strike/>
        </w:rPr>
        <w:t>(3)</w:t>
      </w:r>
      <w:r w:rsidRPr="000220CF">
        <w:tab/>
      </w:r>
      <w:r w:rsidRPr="000220CF">
        <w:rPr>
          <w:strike/>
        </w:rPr>
        <w:t>the type of school ownership entity and the name, title, real estate license number, if any, mailing address, and ownership percentage of each individual or entity holding at least 10% ownership in the entity;</w:t>
      </w:r>
    </w:p>
    <w:p w14:paraId="27D032DB" w14:textId="77777777" w:rsidR="00E91AE1" w:rsidRPr="000220CF" w:rsidRDefault="00E91AE1" w:rsidP="001D2CEB">
      <w:pPr>
        <w:pStyle w:val="SubParagraph"/>
        <w:tabs>
          <w:tab w:val="clear" w:pos="1800"/>
        </w:tabs>
      </w:pPr>
      <w:r w:rsidRPr="000220CF">
        <w:rPr>
          <w:strike/>
        </w:rPr>
        <w:t>(4)</w:t>
      </w:r>
      <w:r w:rsidRPr="000220CF">
        <w:tab/>
      </w:r>
      <w:r w:rsidRPr="000220CF">
        <w:rPr>
          <w:strike/>
        </w:rPr>
        <w:t>the North Carolina Secretary of State Identification Number;</w:t>
      </w:r>
    </w:p>
    <w:p w14:paraId="793BD312" w14:textId="77777777" w:rsidR="00E91AE1" w:rsidRPr="000220CF" w:rsidRDefault="00E91AE1" w:rsidP="001D2CEB">
      <w:pPr>
        <w:pStyle w:val="SubParagraph"/>
        <w:tabs>
          <w:tab w:val="clear" w:pos="1800"/>
        </w:tabs>
      </w:pPr>
      <w:r w:rsidRPr="000220CF">
        <w:rPr>
          <w:strike/>
        </w:rPr>
        <w:t>(5)</w:t>
      </w:r>
      <w:r w:rsidRPr="000220CF">
        <w:tab/>
      </w:r>
      <w:r w:rsidRPr="000220CF">
        <w:rPr>
          <w:strike/>
        </w:rPr>
        <w:t>the criminal history and history of occupational license disciplinary actions of individual school owner(s);</w:t>
      </w:r>
    </w:p>
    <w:p w14:paraId="071D5FBD" w14:textId="77777777" w:rsidR="00E91AE1" w:rsidRPr="000220CF" w:rsidRDefault="00E91AE1" w:rsidP="001D2CEB">
      <w:pPr>
        <w:pStyle w:val="SubParagraph"/>
        <w:tabs>
          <w:tab w:val="clear" w:pos="1800"/>
        </w:tabs>
      </w:pPr>
      <w:r w:rsidRPr="000220CF">
        <w:rPr>
          <w:strike/>
        </w:rPr>
        <w:t>(6)</w:t>
      </w:r>
      <w:r w:rsidRPr="000220CF">
        <w:tab/>
      </w:r>
      <w:r w:rsidRPr="000220CF">
        <w:rPr>
          <w:strike/>
        </w:rPr>
        <w:t>the physical address of each proposed school location;</w:t>
      </w:r>
    </w:p>
    <w:p w14:paraId="0CEE956D" w14:textId="77777777" w:rsidR="00E91AE1" w:rsidRPr="000220CF" w:rsidRDefault="00E91AE1" w:rsidP="001D2CEB">
      <w:pPr>
        <w:pStyle w:val="SubParagraph"/>
        <w:tabs>
          <w:tab w:val="clear" w:pos="1800"/>
        </w:tabs>
      </w:pPr>
      <w:r w:rsidRPr="000220CF">
        <w:rPr>
          <w:strike/>
        </w:rPr>
        <w:t>(7)</w:t>
      </w:r>
      <w:r w:rsidRPr="000220CF">
        <w:tab/>
      </w:r>
      <w:r w:rsidRPr="000220CF">
        <w:rPr>
          <w:strike/>
        </w:rPr>
        <w:t>the source of real estate examinations to be used for each course offered;</w:t>
      </w:r>
    </w:p>
    <w:p w14:paraId="37E7402E" w14:textId="77777777" w:rsidR="00E91AE1" w:rsidRPr="000220CF" w:rsidRDefault="00E91AE1" w:rsidP="001D2CEB">
      <w:pPr>
        <w:pStyle w:val="SubParagraph"/>
        <w:tabs>
          <w:tab w:val="clear" w:pos="1800"/>
        </w:tabs>
      </w:pPr>
      <w:r w:rsidRPr="000220CF">
        <w:rPr>
          <w:strike/>
        </w:rPr>
        <w:t>(8)</w:t>
      </w:r>
      <w:r w:rsidRPr="000220CF">
        <w:tab/>
      </w:r>
      <w:r w:rsidRPr="000220CF">
        <w:rPr>
          <w:strike/>
        </w:rPr>
        <w:t>a copy of a criminal background check for the previous seven years on the proposed school director;</w:t>
      </w:r>
    </w:p>
    <w:p w14:paraId="3D95E66C" w14:textId="77777777" w:rsidR="00E91AE1" w:rsidRPr="000220CF" w:rsidRDefault="00E91AE1" w:rsidP="001D2CEB">
      <w:pPr>
        <w:pStyle w:val="SubParagraph"/>
        <w:tabs>
          <w:tab w:val="clear" w:pos="1800"/>
        </w:tabs>
      </w:pPr>
      <w:r w:rsidRPr="000220CF">
        <w:rPr>
          <w:strike/>
        </w:rPr>
        <w:t>(9)</w:t>
      </w:r>
      <w:r w:rsidRPr="000220CF">
        <w:tab/>
      </w:r>
      <w:r w:rsidRPr="000220CF">
        <w:rPr>
          <w:strike/>
        </w:rPr>
        <w:t>a signed Consent to Service of Process and Pleadings form available on the Commission's website, if a foreign entity;</w:t>
      </w:r>
    </w:p>
    <w:p w14:paraId="3AB5A28A" w14:textId="77777777" w:rsidR="00E91AE1" w:rsidRPr="000220CF" w:rsidRDefault="00E91AE1" w:rsidP="001D2CEB">
      <w:pPr>
        <w:pStyle w:val="SubParagraph"/>
        <w:tabs>
          <w:tab w:val="clear" w:pos="1800"/>
        </w:tabs>
      </w:pPr>
      <w:r w:rsidRPr="000220CF">
        <w:rPr>
          <w:strike/>
        </w:rPr>
        <w:t>(10)</w:t>
      </w:r>
      <w:r w:rsidRPr="000220CF">
        <w:tab/>
      </w:r>
      <w:r w:rsidRPr="000220CF">
        <w:rPr>
          <w:strike/>
        </w:rPr>
        <w:t>the Prelicensing or Postlicensing courses to be offered by the school;</w:t>
      </w:r>
    </w:p>
    <w:p w14:paraId="652951C9" w14:textId="77777777" w:rsidR="00E91AE1" w:rsidRPr="000220CF" w:rsidRDefault="00E91AE1" w:rsidP="001D2CEB">
      <w:pPr>
        <w:pStyle w:val="SubParagraph"/>
        <w:tabs>
          <w:tab w:val="clear" w:pos="1800"/>
        </w:tabs>
      </w:pPr>
      <w:r w:rsidRPr="000220CF">
        <w:rPr>
          <w:strike/>
        </w:rPr>
        <w:t>(11)</w:t>
      </w:r>
      <w:r w:rsidRPr="000220CF">
        <w:tab/>
      </w:r>
      <w:r w:rsidRPr="000220CF">
        <w:rPr>
          <w:strike/>
        </w:rPr>
        <w:t>the Update courses to be offered by the school; and</w:t>
      </w:r>
    </w:p>
    <w:p w14:paraId="7D337B0F" w14:textId="77777777" w:rsidR="00E91AE1" w:rsidRPr="000220CF" w:rsidRDefault="00E91AE1" w:rsidP="001D2CEB">
      <w:pPr>
        <w:pStyle w:val="SubParagraph"/>
        <w:tabs>
          <w:tab w:val="clear" w:pos="1800"/>
        </w:tabs>
      </w:pPr>
      <w:r w:rsidRPr="000220CF">
        <w:rPr>
          <w:strike/>
        </w:rPr>
        <w:t>(12)</w:t>
      </w:r>
      <w:r w:rsidRPr="000220CF">
        <w:tab/>
      </w:r>
      <w:r w:rsidRPr="000220CF">
        <w:rPr>
          <w:strike/>
        </w:rPr>
        <w:t>the signature and certification of the school owner(s).</w:t>
      </w:r>
    </w:p>
    <w:p w14:paraId="3B04F5FF" w14:textId="77777777" w:rsidR="00E91AE1" w:rsidRPr="000220CF" w:rsidRDefault="00E91AE1" w:rsidP="001D2CEB">
      <w:pPr>
        <w:pStyle w:val="Paragraph"/>
      </w:pPr>
      <w:r w:rsidRPr="000220CF">
        <w:rPr>
          <w:strike/>
        </w:rPr>
        <w:t>(b)  Private real estate school names shall contain the words "Real Estate" and other words identifying the entity as a school, such as "school," "academy," or "institute" that are distinguishable from other licensed private real estate schools and from continuing education course sponsors approved by the Commission.</w:t>
      </w:r>
    </w:p>
    <w:p w14:paraId="485E01BE" w14:textId="77777777" w:rsidR="00E91AE1" w:rsidRPr="000220CF" w:rsidRDefault="00E91AE1" w:rsidP="001D2CEB">
      <w:pPr>
        <w:pStyle w:val="Paragraph"/>
      </w:pPr>
      <w:r w:rsidRPr="000220CF">
        <w:rPr>
          <w:strike/>
        </w:rPr>
        <w:t>(c)  The school name shall be used in all school publications and advertising.</w:t>
      </w:r>
    </w:p>
    <w:p w14:paraId="5975A226" w14:textId="77777777" w:rsidR="00E91AE1" w:rsidRPr="000220CF" w:rsidRDefault="00E91AE1" w:rsidP="001D2CEB">
      <w:pPr>
        <w:pStyle w:val="Paragraph"/>
      </w:pPr>
      <w:r w:rsidRPr="000220CF">
        <w:rPr>
          <w:strike/>
        </w:rPr>
        <w:t xml:space="preserve">(d)  Each school shall certify that its facilities and equipment </w:t>
      </w:r>
      <w:proofErr w:type="gramStart"/>
      <w:r w:rsidRPr="000220CF">
        <w:rPr>
          <w:strike/>
        </w:rPr>
        <w:t>are in compliance with</w:t>
      </w:r>
      <w:proofErr w:type="gramEnd"/>
      <w:r w:rsidRPr="000220CF">
        <w:rPr>
          <w:strike/>
        </w:rPr>
        <w:t xml:space="preserve"> all applicable local, state and federal laws and </w:t>
      </w:r>
      <w:r w:rsidRPr="000220CF">
        <w:rPr>
          <w:strike/>
        </w:rPr>
        <w:t>regulations regarding health, safety, and welfare, including the Americans with Disabilities Act.</w:t>
      </w:r>
    </w:p>
    <w:p w14:paraId="10DA7AA0" w14:textId="77777777" w:rsidR="00E91AE1" w:rsidRPr="000220CF" w:rsidRDefault="00E91AE1" w:rsidP="001D2CEB">
      <w:pPr>
        <w:pStyle w:val="Paragraph"/>
      </w:pPr>
      <w:r w:rsidRPr="000220CF">
        <w:rPr>
          <w:strike/>
        </w:rPr>
        <w:t>(e)  The original license application fee shall be two hundred dollars ($200.00) for each proposed school location.</w:t>
      </w:r>
    </w:p>
    <w:p w14:paraId="289F1867" w14:textId="77777777" w:rsidR="00E91AE1" w:rsidRPr="000220CF" w:rsidRDefault="00E91AE1" w:rsidP="001D2CEB">
      <w:pPr>
        <w:pStyle w:val="Paragraph"/>
      </w:pPr>
      <w:r w:rsidRPr="000220CF">
        <w:rPr>
          <w:strike/>
        </w:rPr>
        <w:t>(f)  The initial fee for a school to offer a Prelicensing or Postlicensing course at any of its locations during the licensing period shall be forty dollars ($40.00) per Prelicensing or Postlicensing course.</w:t>
      </w:r>
    </w:p>
    <w:p w14:paraId="7A77FDCF" w14:textId="77777777" w:rsidR="00E91AE1" w:rsidRPr="000220CF" w:rsidRDefault="00E91AE1" w:rsidP="001D2CEB">
      <w:pPr>
        <w:pStyle w:val="Paragraph"/>
      </w:pPr>
      <w:r w:rsidRPr="000220CF">
        <w:rPr>
          <w:strike/>
        </w:rPr>
        <w:t>(g)  Private real estate schools offering Prelicensing or Postlicensing courses pursuant to Paragraph (a) of this Rule shall be eligible to offer Update courses and continuing education courses.</w:t>
      </w:r>
    </w:p>
    <w:p w14:paraId="6850D898" w14:textId="77777777" w:rsidR="00E91AE1" w:rsidRPr="000220CF" w:rsidRDefault="00E91AE1" w:rsidP="001D2CEB">
      <w:pPr>
        <w:pStyle w:val="Paragraph"/>
      </w:pPr>
      <w:r w:rsidRPr="000220CF">
        <w:rPr>
          <w:strike/>
        </w:rPr>
        <w:t>(h)  If a school relocates any location during any licensing period, the school owner shall submit an original application for licensure of that location pursuant to this Rule.</w:t>
      </w:r>
    </w:p>
    <w:p w14:paraId="00923CBA" w14:textId="77777777" w:rsidR="00E91AE1" w:rsidRPr="000220CF" w:rsidRDefault="00E91AE1" w:rsidP="001D2CEB">
      <w:pPr>
        <w:pStyle w:val="Paragraph"/>
      </w:pPr>
      <w:r w:rsidRPr="000220CF">
        <w:rPr>
          <w:u w:val="single"/>
        </w:rPr>
        <w:t>(a)  All education providers shall designate an education director, who shall:</w:t>
      </w:r>
    </w:p>
    <w:p w14:paraId="05306891" w14:textId="77777777" w:rsidR="00E91AE1" w:rsidRPr="000220CF" w:rsidRDefault="00E91AE1" w:rsidP="001D2CEB">
      <w:pPr>
        <w:pStyle w:val="SubParagraph"/>
        <w:tabs>
          <w:tab w:val="clear" w:pos="1800"/>
        </w:tabs>
      </w:pPr>
      <w:r w:rsidRPr="000220CF">
        <w:rPr>
          <w:u w:val="single"/>
        </w:rPr>
        <w:t>(1)</w:t>
      </w:r>
      <w:r w:rsidRPr="000220CF">
        <w:tab/>
      </w:r>
      <w:r w:rsidRPr="000220CF">
        <w:rPr>
          <w:u w:val="single"/>
        </w:rPr>
        <w:t>supervise all education provider operations related to the conduct of offering Prelicensing, Postlicensing, and Continuing Education courses;</w:t>
      </w:r>
    </w:p>
    <w:p w14:paraId="2D28309C" w14:textId="77777777" w:rsidR="00E91AE1" w:rsidRPr="000220CF" w:rsidRDefault="00E91AE1" w:rsidP="001D2CEB">
      <w:pPr>
        <w:pStyle w:val="SubParagraph"/>
        <w:tabs>
          <w:tab w:val="clear" w:pos="1800"/>
        </w:tabs>
      </w:pPr>
      <w:r w:rsidRPr="000220CF">
        <w:rPr>
          <w:u w:val="single"/>
        </w:rPr>
        <w:t>(2)</w:t>
      </w:r>
      <w:r w:rsidRPr="000220CF">
        <w:tab/>
      </w:r>
      <w:r w:rsidRPr="000220CF">
        <w:rPr>
          <w:u w:val="single"/>
        </w:rPr>
        <w:t>ensure that each approved instructor meets the requirements of Rule .0302 of this Subchapter;</w:t>
      </w:r>
    </w:p>
    <w:p w14:paraId="79DD9CE7" w14:textId="77777777" w:rsidR="00E91AE1" w:rsidRPr="000220CF" w:rsidRDefault="00E91AE1" w:rsidP="001D2CEB">
      <w:pPr>
        <w:pStyle w:val="SubParagraph"/>
        <w:tabs>
          <w:tab w:val="clear" w:pos="1800"/>
        </w:tabs>
      </w:pPr>
      <w:r w:rsidRPr="000220CF">
        <w:rPr>
          <w:u w:val="single"/>
        </w:rPr>
        <w:t>(3)</w:t>
      </w:r>
      <w:r w:rsidRPr="000220CF">
        <w:tab/>
      </w:r>
      <w:r w:rsidRPr="000220CF">
        <w:rPr>
          <w:u w:val="single"/>
        </w:rPr>
        <w:t>ensure that each continuing education elective course instructor meets the requirements of Rule .0402(a)(5) of this Subchapter;</w:t>
      </w:r>
    </w:p>
    <w:p w14:paraId="45D94EBA" w14:textId="77777777" w:rsidR="00E91AE1" w:rsidRPr="000220CF" w:rsidRDefault="00E91AE1" w:rsidP="001D2CEB">
      <w:pPr>
        <w:pStyle w:val="SubParagraph"/>
        <w:tabs>
          <w:tab w:val="clear" w:pos="1800"/>
        </w:tabs>
      </w:pPr>
      <w:r w:rsidRPr="000220CF">
        <w:rPr>
          <w:u w:val="single"/>
        </w:rPr>
        <w:t>(4)</w:t>
      </w:r>
      <w:r w:rsidRPr="000220CF">
        <w:tab/>
      </w:r>
      <w:r w:rsidRPr="000220CF">
        <w:rPr>
          <w:u w:val="single"/>
        </w:rPr>
        <w:t>ensure each course utilizes course materials pursuant to Rule .0205 of this Section;</w:t>
      </w:r>
    </w:p>
    <w:p w14:paraId="3CAE2118" w14:textId="77777777" w:rsidR="00E91AE1" w:rsidRPr="000220CF" w:rsidRDefault="00E91AE1" w:rsidP="001D2CEB">
      <w:pPr>
        <w:pStyle w:val="SubParagraph"/>
        <w:tabs>
          <w:tab w:val="clear" w:pos="1800"/>
        </w:tabs>
      </w:pPr>
      <w:r w:rsidRPr="000220CF">
        <w:rPr>
          <w:u w:val="single"/>
        </w:rPr>
        <w:t>(5)</w:t>
      </w:r>
      <w:r w:rsidRPr="000220CF">
        <w:tab/>
      </w:r>
      <w:r w:rsidRPr="000220CF">
        <w:rPr>
          <w:u w:val="single"/>
        </w:rPr>
        <w:t>sign course completion certificates;</w:t>
      </w:r>
    </w:p>
    <w:p w14:paraId="7F38624B" w14:textId="77777777" w:rsidR="00E91AE1" w:rsidRPr="000220CF" w:rsidRDefault="00E91AE1" w:rsidP="001D2CEB">
      <w:pPr>
        <w:pStyle w:val="SubParagraph"/>
        <w:tabs>
          <w:tab w:val="clear" w:pos="1800"/>
        </w:tabs>
      </w:pPr>
      <w:r w:rsidRPr="000220CF">
        <w:rPr>
          <w:u w:val="single"/>
        </w:rPr>
        <w:t>(6)</w:t>
      </w:r>
      <w:r w:rsidRPr="000220CF">
        <w:tab/>
      </w:r>
      <w:r w:rsidRPr="000220CF">
        <w:rPr>
          <w:u w:val="single"/>
        </w:rPr>
        <w:t>submit to the Commission all required fees, rosters, reports, and other information;</w:t>
      </w:r>
    </w:p>
    <w:p w14:paraId="311FC983" w14:textId="77777777" w:rsidR="00E91AE1" w:rsidRPr="000220CF" w:rsidRDefault="00E91AE1" w:rsidP="001D2CEB">
      <w:pPr>
        <w:pStyle w:val="SubParagraph"/>
        <w:tabs>
          <w:tab w:val="clear" w:pos="1800"/>
        </w:tabs>
      </w:pPr>
      <w:r w:rsidRPr="000220CF">
        <w:rPr>
          <w:u w:val="single"/>
        </w:rPr>
        <w:t>(7)</w:t>
      </w:r>
      <w:r w:rsidRPr="000220CF">
        <w:tab/>
      </w:r>
      <w:r w:rsidRPr="000220CF">
        <w:rPr>
          <w:u w:val="single"/>
        </w:rPr>
        <w:t>submit to the Commission the name and the instructor number of each course instructor within 10 days of employment;</w:t>
      </w:r>
    </w:p>
    <w:p w14:paraId="2B828095" w14:textId="77777777" w:rsidR="00E91AE1" w:rsidRPr="000220CF" w:rsidRDefault="00E91AE1" w:rsidP="001D2CEB">
      <w:pPr>
        <w:pStyle w:val="SubParagraph"/>
        <w:tabs>
          <w:tab w:val="clear" w:pos="1800"/>
        </w:tabs>
      </w:pPr>
      <w:r w:rsidRPr="000220CF">
        <w:rPr>
          <w:u w:val="single"/>
        </w:rPr>
        <w:t>(8)</w:t>
      </w:r>
      <w:r w:rsidRPr="000220CF">
        <w:tab/>
      </w:r>
      <w:r w:rsidRPr="000220CF">
        <w:rPr>
          <w:u w:val="single"/>
        </w:rPr>
        <w:t>ensure compliance with all statutory and rule requirements governing the certification and operation of the education provider;</w:t>
      </w:r>
    </w:p>
    <w:p w14:paraId="488B8D60" w14:textId="77777777" w:rsidR="00E91AE1" w:rsidRPr="000220CF" w:rsidRDefault="00E91AE1" w:rsidP="001D2CEB">
      <w:pPr>
        <w:pStyle w:val="SubParagraph"/>
        <w:tabs>
          <w:tab w:val="clear" w:pos="1800"/>
        </w:tabs>
      </w:pPr>
      <w:r w:rsidRPr="000220CF">
        <w:rPr>
          <w:u w:val="single"/>
        </w:rPr>
        <w:t>(9)</w:t>
      </w:r>
      <w:r w:rsidRPr="000220CF">
        <w:tab/>
      </w:r>
      <w:proofErr w:type="gramStart"/>
      <w:r w:rsidRPr="000220CF">
        <w:rPr>
          <w:u w:val="single"/>
        </w:rPr>
        <w:t>take steps to protect the security and integrity of course examinations at all times</w:t>
      </w:r>
      <w:proofErr w:type="gramEnd"/>
      <w:r w:rsidRPr="000220CF">
        <w:rPr>
          <w:u w:val="single"/>
        </w:rPr>
        <w:t>; and</w:t>
      </w:r>
    </w:p>
    <w:p w14:paraId="2CBB6D06" w14:textId="77777777" w:rsidR="00E91AE1" w:rsidRPr="000220CF" w:rsidRDefault="00E91AE1" w:rsidP="001D2CEB">
      <w:pPr>
        <w:pStyle w:val="SubParagraph"/>
        <w:tabs>
          <w:tab w:val="clear" w:pos="1800"/>
        </w:tabs>
      </w:pPr>
      <w:r w:rsidRPr="000220CF">
        <w:rPr>
          <w:u w:val="single"/>
        </w:rPr>
        <w:t>(10)</w:t>
      </w:r>
      <w:r w:rsidRPr="000220CF">
        <w:tab/>
      </w:r>
      <w:r w:rsidRPr="000220CF">
        <w:rPr>
          <w:u w:val="single"/>
        </w:rPr>
        <w:t>act as the education provider's liaison to the Commission.</w:t>
      </w:r>
    </w:p>
    <w:p w14:paraId="2D524E28" w14:textId="77777777" w:rsidR="00E91AE1" w:rsidRPr="000220CF" w:rsidRDefault="00E91AE1" w:rsidP="001D2CEB">
      <w:pPr>
        <w:pStyle w:val="Paragraph"/>
      </w:pPr>
      <w:r w:rsidRPr="000220CF">
        <w:rPr>
          <w:u w:val="single"/>
        </w:rPr>
        <w:t>(b)  Public education providers shall designate one permanent employee to serve as the education director.</w:t>
      </w:r>
    </w:p>
    <w:p w14:paraId="498D193E" w14:textId="77777777" w:rsidR="00E91AE1" w:rsidRPr="000220CF" w:rsidRDefault="00E91AE1" w:rsidP="001D2CEB">
      <w:pPr>
        <w:pStyle w:val="Paragraph"/>
      </w:pPr>
      <w:r w:rsidRPr="000220CF">
        <w:rPr>
          <w:u w:val="single"/>
        </w:rPr>
        <w:t xml:space="preserve">(c)  The education director shall approve a guest lecturer prior to the guest lecturer teaching a course session. Education directors shall ensure that all guest lecturers possess experience related to the </w:t>
      </w:r>
      <w:proofErr w:type="gramStart"/>
      <w:r w:rsidRPr="000220CF">
        <w:rPr>
          <w:u w:val="single"/>
        </w:rPr>
        <w:t>particular subject</w:t>
      </w:r>
      <w:proofErr w:type="gramEnd"/>
      <w:r w:rsidRPr="000220CF">
        <w:rPr>
          <w:u w:val="single"/>
        </w:rPr>
        <w:t xml:space="preserve"> area the guest lecturer is teaching. Guest lecturers may be utilized to teach collectively up to one-fourth of any Prelicensing or Postlicensing course.</w:t>
      </w:r>
    </w:p>
    <w:p w14:paraId="450E28A7" w14:textId="77777777" w:rsidR="00E91AE1" w:rsidRPr="000220CF" w:rsidRDefault="00E91AE1" w:rsidP="001D2CEB">
      <w:pPr>
        <w:pStyle w:val="Paragraph"/>
      </w:pPr>
      <w:r w:rsidRPr="000220CF">
        <w:rPr>
          <w:u w:val="single"/>
        </w:rPr>
        <w:t xml:space="preserve">(d)  The education director shall ensure all instructors that teach Prelicensing or Postlicensing courses by methods other than distance education are observed at least once annually for a minimum of one hour of live uninterrupted instruction by either the education director or a Commission-approved Prelicensing or Postlicensing instructor present in the classroom. Education directors who are also instructors may, upon written request to the Commission, be evaluated by a Commission monitor. The evaluation shall be based on the instructor's teaching abilities pursuant to Rule .0304 of this Subchapter. The instructor shall </w:t>
      </w:r>
      <w:r w:rsidRPr="000220CF">
        <w:rPr>
          <w:u w:val="single"/>
        </w:rPr>
        <w:lastRenderedPageBreak/>
        <w:t>receive the written evaluation of his or her instructional performance within 30 days of observation.</w:t>
      </w:r>
    </w:p>
    <w:p w14:paraId="4B3A734C" w14:textId="77777777" w:rsidR="00E91AE1" w:rsidRPr="000220CF" w:rsidRDefault="00E91AE1" w:rsidP="001D2CEB">
      <w:pPr>
        <w:pStyle w:val="Paragraph"/>
      </w:pPr>
      <w:r w:rsidRPr="000220CF">
        <w:rPr>
          <w:u w:val="single"/>
        </w:rPr>
        <w:t>(e)  The education director for any education provider shall view the Commission's Education Director video electronically within 30 days of initial designation and annually within 45 days immediately preceding expiration of education provider certification.</w:t>
      </w:r>
    </w:p>
    <w:p w14:paraId="1C660247" w14:textId="77777777" w:rsidR="00E91AE1" w:rsidRPr="000220CF" w:rsidRDefault="00E91AE1" w:rsidP="001D2CEB">
      <w:pPr>
        <w:pStyle w:val="Paragraph"/>
      </w:pPr>
      <w:r w:rsidRPr="000220CF">
        <w:rPr>
          <w:u w:val="single"/>
        </w:rPr>
        <w:t>(f)  Education providers shall notify the Commission within 10 days of any change in education director during the certification period.</w:t>
      </w:r>
    </w:p>
    <w:p w14:paraId="10722534" w14:textId="77777777" w:rsidR="00E91AE1" w:rsidRPr="000220CF" w:rsidRDefault="00E91AE1" w:rsidP="001D2CEB">
      <w:pPr>
        <w:pStyle w:val="Paragraph"/>
      </w:pPr>
      <w:r w:rsidRPr="000220CF">
        <w:rPr>
          <w:u w:val="single"/>
        </w:rPr>
        <w:t>(g)  The education director shall admit any Commission authorized representative to monitor any class or provide access to a distance education course without prior notice. Such representatives shall not be required to register or pay any fee and shall not be reported as having completed the course.</w:t>
      </w:r>
    </w:p>
    <w:p w14:paraId="0609F357" w14:textId="77777777" w:rsidR="00E91AE1" w:rsidRPr="000220CF" w:rsidRDefault="00E91AE1" w:rsidP="001D2CEB">
      <w:pPr>
        <w:pStyle w:val="Paragraph"/>
      </w:pPr>
      <w:r w:rsidRPr="000220CF">
        <w:rPr>
          <w:u w:val="single"/>
        </w:rPr>
        <w:t>(h)  An education director shall dismiss a student from the course who is found to have cheated in any manner on a course examination and shall not award a passing grade or any partial completion of the course. The education director shall report the cheating incident in writing to the Commission within 10 days.</w:t>
      </w:r>
    </w:p>
    <w:p w14:paraId="46C913F7" w14:textId="77777777" w:rsidR="00E91AE1" w:rsidRPr="000220CF" w:rsidRDefault="00E91AE1" w:rsidP="001D2CEB">
      <w:pPr>
        <w:pStyle w:val="Base"/>
      </w:pPr>
    </w:p>
    <w:p w14:paraId="2B0FCFE3" w14:textId="65AD0C70" w:rsidR="00E91AE1" w:rsidRPr="000220CF" w:rsidRDefault="00E91AE1" w:rsidP="00E91AE1">
      <w:pPr>
        <w:pStyle w:val="HistoryAuthority"/>
      </w:pPr>
      <w:r w:rsidRPr="000220CF">
        <w:t>Authority G.S. 93A-4; 93A-33; 93A-34</w:t>
      </w:r>
      <w:r>
        <w:t>.</w:t>
      </w:r>
    </w:p>
    <w:p w14:paraId="4D677112" w14:textId="77777777" w:rsidR="00E91AE1" w:rsidRPr="000220CF" w:rsidRDefault="00E91AE1" w:rsidP="001D2CEB">
      <w:pPr>
        <w:pStyle w:val="Base"/>
      </w:pPr>
    </w:p>
    <w:p w14:paraId="1469909D" w14:textId="77777777" w:rsidR="00E91AE1" w:rsidRPr="00510FA5" w:rsidRDefault="00E91AE1" w:rsidP="001D2CEB">
      <w:pPr>
        <w:pStyle w:val="Rule"/>
      </w:pPr>
      <w:r w:rsidRPr="00510FA5">
        <w:t>21 NCAC 58H .0204</w:t>
      </w:r>
      <w:r w:rsidRPr="00510FA5">
        <w:tab/>
      </w:r>
      <w:r w:rsidRPr="00510FA5">
        <w:rPr>
          <w:strike/>
        </w:rPr>
        <w:t>School DIRECTOR</w:t>
      </w:r>
      <w:r w:rsidRPr="00510FA5">
        <w:t xml:space="preserve"> </w:t>
      </w:r>
      <w:r w:rsidRPr="00510FA5">
        <w:rPr>
          <w:u w:val="single"/>
        </w:rPr>
        <w:t>Policies and PRocedures Disclosure</w:t>
      </w:r>
    </w:p>
    <w:p w14:paraId="30DD9F0B" w14:textId="77777777" w:rsidR="00E91AE1" w:rsidRPr="00510FA5" w:rsidRDefault="00E91AE1" w:rsidP="001D2CEB">
      <w:pPr>
        <w:pStyle w:val="Paragraph"/>
      </w:pPr>
      <w:r w:rsidRPr="00510FA5">
        <w:rPr>
          <w:strike/>
        </w:rPr>
        <w:t>(a)  All schools shall designate a school director, who shall</w:t>
      </w:r>
    </w:p>
    <w:p w14:paraId="412B31D4" w14:textId="77777777" w:rsidR="00E91AE1" w:rsidRPr="00510FA5" w:rsidRDefault="00E91AE1" w:rsidP="001D2CEB">
      <w:pPr>
        <w:pStyle w:val="SubParagraph"/>
        <w:tabs>
          <w:tab w:val="clear" w:pos="1800"/>
        </w:tabs>
      </w:pPr>
      <w:r w:rsidRPr="00510FA5">
        <w:rPr>
          <w:strike/>
        </w:rPr>
        <w:t>(1)</w:t>
      </w:r>
      <w:r w:rsidRPr="00510FA5">
        <w:tab/>
      </w:r>
      <w:r w:rsidRPr="00510FA5">
        <w:rPr>
          <w:strike/>
        </w:rPr>
        <w:t>supervise all school operations related to the conduct of Prelicensing and Postlicensing courses;</w:t>
      </w:r>
    </w:p>
    <w:p w14:paraId="31235AC6" w14:textId="77777777" w:rsidR="00E91AE1" w:rsidRPr="00510FA5" w:rsidRDefault="00E91AE1" w:rsidP="001D2CEB">
      <w:pPr>
        <w:pStyle w:val="SubParagraph"/>
        <w:tabs>
          <w:tab w:val="clear" w:pos="1800"/>
        </w:tabs>
      </w:pPr>
      <w:r w:rsidRPr="00510FA5">
        <w:rPr>
          <w:strike/>
        </w:rPr>
        <w:t>(2)</w:t>
      </w:r>
      <w:r w:rsidRPr="00510FA5">
        <w:tab/>
      </w:r>
      <w:r w:rsidRPr="00510FA5">
        <w:rPr>
          <w:strike/>
        </w:rPr>
        <w:t>ensure compliance with all statutory and rule requirements governing the licensing and operation of the school; and</w:t>
      </w:r>
    </w:p>
    <w:p w14:paraId="345E1FB8" w14:textId="77777777" w:rsidR="00E91AE1" w:rsidRPr="00510FA5" w:rsidRDefault="00E91AE1" w:rsidP="001D2CEB">
      <w:pPr>
        <w:pStyle w:val="SubParagraph"/>
        <w:tabs>
          <w:tab w:val="clear" w:pos="1800"/>
        </w:tabs>
      </w:pPr>
      <w:r w:rsidRPr="00510FA5">
        <w:rPr>
          <w:strike/>
        </w:rPr>
        <w:t>(3)</w:t>
      </w:r>
      <w:r w:rsidRPr="00510FA5">
        <w:tab/>
      </w:r>
      <w:r w:rsidRPr="00510FA5">
        <w:rPr>
          <w:strike/>
        </w:rPr>
        <w:t>act as the school's liaison to the Commission.</w:t>
      </w:r>
    </w:p>
    <w:p w14:paraId="19F39BC1" w14:textId="77777777" w:rsidR="00E91AE1" w:rsidRPr="00510FA5" w:rsidRDefault="00E91AE1" w:rsidP="001D2CEB">
      <w:pPr>
        <w:pStyle w:val="Paragraph"/>
      </w:pPr>
      <w:r w:rsidRPr="00510FA5">
        <w:rPr>
          <w:strike/>
        </w:rPr>
        <w:t>(b)  Public real estate schools shall designate one permanent employee to serve as the school director.</w:t>
      </w:r>
    </w:p>
    <w:p w14:paraId="31AB00A6" w14:textId="77777777" w:rsidR="00E91AE1" w:rsidRPr="00510FA5" w:rsidRDefault="00E91AE1" w:rsidP="001D2CEB">
      <w:pPr>
        <w:pStyle w:val="Paragraph"/>
      </w:pPr>
      <w:r w:rsidRPr="00510FA5">
        <w:rPr>
          <w:strike/>
        </w:rPr>
        <w:t>(c)  The school director for a private real estate school shall satisfy one of the following qualification standards:</w:t>
      </w:r>
    </w:p>
    <w:p w14:paraId="0844A95D" w14:textId="77777777" w:rsidR="00E91AE1" w:rsidRPr="00510FA5" w:rsidRDefault="00E91AE1" w:rsidP="001D2CEB">
      <w:pPr>
        <w:pStyle w:val="SubParagraph"/>
        <w:tabs>
          <w:tab w:val="clear" w:pos="1800"/>
        </w:tabs>
      </w:pPr>
      <w:r w:rsidRPr="00510FA5">
        <w:rPr>
          <w:strike/>
        </w:rPr>
        <w:t>(1)</w:t>
      </w:r>
      <w:r w:rsidRPr="00510FA5">
        <w:tab/>
      </w:r>
      <w:r w:rsidRPr="00510FA5">
        <w:rPr>
          <w:strike/>
        </w:rPr>
        <w:t>hold a baccalaureate or higher degree;</w:t>
      </w:r>
    </w:p>
    <w:p w14:paraId="4D220C15" w14:textId="77777777" w:rsidR="00E91AE1" w:rsidRPr="00510FA5" w:rsidRDefault="00E91AE1" w:rsidP="001D2CEB">
      <w:pPr>
        <w:pStyle w:val="SubParagraph"/>
        <w:tabs>
          <w:tab w:val="clear" w:pos="1800"/>
        </w:tabs>
      </w:pPr>
      <w:r w:rsidRPr="00510FA5">
        <w:rPr>
          <w:strike/>
        </w:rPr>
        <w:t>(2)</w:t>
      </w:r>
      <w:r w:rsidRPr="00510FA5">
        <w:tab/>
      </w:r>
      <w:r w:rsidRPr="00510FA5">
        <w:rPr>
          <w:strike/>
        </w:rPr>
        <w:t>have at least two years full-time experience within the past 10 years as an instructor or school administrator; or</w:t>
      </w:r>
    </w:p>
    <w:p w14:paraId="2E365D6B" w14:textId="77777777" w:rsidR="00E91AE1" w:rsidRPr="00510FA5" w:rsidRDefault="00E91AE1" w:rsidP="001D2CEB">
      <w:pPr>
        <w:pStyle w:val="SubParagraph"/>
        <w:tabs>
          <w:tab w:val="clear" w:pos="1800"/>
        </w:tabs>
      </w:pPr>
      <w:r w:rsidRPr="00510FA5">
        <w:rPr>
          <w:strike/>
        </w:rPr>
        <w:t>(3)</w:t>
      </w:r>
      <w:r w:rsidRPr="00510FA5">
        <w:tab/>
      </w:r>
      <w:r w:rsidRPr="00510FA5">
        <w:rPr>
          <w:strike/>
        </w:rPr>
        <w:t>possess qualifications that the Commission finds to be equivalent to those described in Subparagraph (1) or (2) of this Rule, such as:</w:t>
      </w:r>
    </w:p>
    <w:p w14:paraId="76AA98E6" w14:textId="77777777" w:rsidR="00E91AE1" w:rsidRPr="00510FA5" w:rsidRDefault="00E91AE1" w:rsidP="001D2CEB">
      <w:pPr>
        <w:pStyle w:val="Part"/>
        <w:tabs>
          <w:tab w:val="clear" w:pos="2520"/>
        </w:tabs>
      </w:pPr>
      <w:r w:rsidRPr="00510FA5">
        <w:rPr>
          <w:strike/>
        </w:rPr>
        <w:t>(A)</w:t>
      </w:r>
      <w:r w:rsidRPr="00510FA5">
        <w:tab/>
      </w:r>
      <w:r w:rsidRPr="00510FA5">
        <w:rPr>
          <w:strike/>
        </w:rPr>
        <w:t>a transcript demonstrating completion of 120 semester hours of education at an institution accredited by any college accrediting body recognized by the U. S. Department of Education;</w:t>
      </w:r>
    </w:p>
    <w:p w14:paraId="09B8B741" w14:textId="77777777" w:rsidR="00E91AE1" w:rsidRPr="00510FA5" w:rsidRDefault="00E91AE1" w:rsidP="001D2CEB">
      <w:pPr>
        <w:pStyle w:val="Part"/>
        <w:tabs>
          <w:tab w:val="clear" w:pos="2520"/>
        </w:tabs>
      </w:pPr>
      <w:r w:rsidRPr="00510FA5">
        <w:rPr>
          <w:strike/>
        </w:rPr>
        <w:t>(B)</w:t>
      </w:r>
      <w:r w:rsidRPr="00510FA5">
        <w:tab/>
      </w:r>
      <w:r w:rsidRPr="00510FA5">
        <w:rPr>
          <w:strike/>
        </w:rPr>
        <w:t>currently holding or having held within the past 15 years a military pay grade of an E-8 level, O-1 level, or higher; or</w:t>
      </w:r>
    </w:p>
    <w:p w14:paraId="0E5AEA4B" w14:textId="77777777" w:rsidR="00E91AE1" w:rsidRPr="00510FA5" w:rsidRDefault="00E91AE1" w:rsidP="001D2CEB">
      <w:pPr>
        <w:pStyle w:val="Part"/>
        <w:tabs>
          <w:tab w:val="clear" w:pos="2520"/>
        </w:tabs>
      </w:pPr>
      <w:r w:rsidRPr="00510FA5">
        <w:rPr>
          <w:strike/>
        </w:rPr>
        <w:t>(C)</w:t>
      </w:r>
      <w:r w:rsidRPr="00510FA5">
        <w:tab/>
      </w:r>
      <w:r w:rsidRPr="00510FA5">
        <w:rPr>
          <w:strike/>
        </w:rPr>
        <w:t>a current Distinguished Real Estate Instructor (DREI) designation granted by the Real Estate Educators' Association.</w:t>
      </w:r>
    </w:p>
    <w:p w14:paraId="50DB0321" w14:textId="77777777" w:rsidR="00E91AE1" w:rsidRPr="00510FA5" w:rsidRDefault="00E91AE1" w:rsidP="001D2CEB">
      <w:pPr>
        <w:pStyle w:val="Paragraph"/>
      </w:pPr>
      <w:r w:rsidRPr="00510FA5">
        <w:rPr>
          <w:strike/>
        </w:rPr>
        <w:t xml:space="preserve">(d)  The school director shall approve a guest lecturer prior to the guest lecturer teaching a course session. School directors shall </w:t>
      </w:r>
      <w:r w:rsidRPr="00510FA5">
        <w:rPr>
          <w:strike/>
        </w:rPr>
        <w:t xml:space="preserve">ensure that all guest lecturers possess experience related to the </w:t>
      </w:r>
      <w:proofErr w:type="gramStart"/>
      <w:r w:rsidRPr="00510FA5">
        <w:rPr>
          <w:strike/>
        </w:rPr>
        <w:t>particular subject</w:t>
      </w:r>
      <w:proofErr w:type="gramEnd"/>
      <w:r w:rsidRPr="00510FA5">
        <w:rPr>
          <w:strike/>
        </w:rPr>
        <w:t xml:space="preserve"> area the guest lecturer is teaching. Guest lecturers may be utilized to teach collectively up to one-fourth of any Prelicensing or Postlicensing course.</w:t>
      </w:r>
    </w:p>
    <w:p w14:paraId="7D13F88E" w14:textId="77777777" w:rsidR="00E91AE1" w:rsidRPr="00510FA5" w:rsidRDefault="00E91AE1" w:rsidP="001D2CEB">
      <w:pPr>
        <w:pStyle w:val="Paragraph"/>
      </w:pPr>
      <w:r w:rsidRPr="00510FA5">
        <w:rPr>
          <w:strike/>
        </w:rPr>
        <w:t>(e)  The school director shall ensure that each instructor meets the requirements of Rule .0302 of this Subchapter.</w:t>
      </w:r>
    </w:p>
    <w:p w14:paraId="02334B30" w14:textId="77777777" w:rsidR="00E91AE1" w:rsidRPr="00510FA5" w:rsidRDefault="00E91AE1" w:rsidP="001D2CEB">
      <w:pPr>
        <w:pStyle w:val="Paragraph"/>
      </w:pPr>
      <w:r w:rsidRPr="00510FA5">
        <w:rPr>
          <w:strike/>
        </w:rPr>
        <w:t>(f)  The school director shall ensure each course utilizes a textbook currently approved by the Commission pursuant to Rule .0206 of this Section.</w:t>
      </w:r>
    </w:p>
    <w:p w14:paraId="04D81DA0" w14:textId="77777777" w:rsidR="00E91AE1" w:rsidRPr="00510FA5" w:rsidRDefault="00E91AE1" w:rsidP="001D2CEB">
      <w:pPr>
        <w:pStyle w:val="Paragraph"/>
      </w:pPr>
      <w:r w:rsidRPr="00510FA5">
        <w:rPr>
          <w:strike/>
        </w:rPr>
        <w:t>(g)  Schools shall notify the Commission within 10 days of any change in school director during the licensing period.</w:t>
      </w:r>
    </w:p>
    <w:p w14:paraId="71F5248B" w14:textId="77777777" w:rsidR="00E91AE1" w:rsidRPr="00510FA5" w:rsidRDefault="00E91AE1" w:rsidP="001D2CEB">
      <w:pPr>
        <w:pStyle w:val="Paragraph"/>
      </w:pPr>
      <w:r w:rsidRPr="00510FA5">
        <w:rPr>
          <w:u w:val="single"/>
        </w:rPr>
        <w:t>(a)  An education provider shall publish a Policies and Procedures Disclosure.</w:t>
      </w:r>
    </w:p>
    <w:p w14:paraId="6487D9C7" w14:textId="77777777" w:rsidR="00E91AE1" w:rsidRPr="00510FA5" w:rsidRDefault="00E91AE1" w:rsidP="001D2CEB">
      <w:pPr>
        <w:pStyle w:val="Paragraph"/>
      </w:pPr>
      <w:r w:rsidRPr="00510FA5">
        <w:rPr>
          <w:u w:val="single"/>
        </w:rPr>
        <w:t>(b)  In addition to the information required by G.S. 93A</w:t>
      </w:r>
      <w:r w:rsidRPr="00510FA5">
        <w:rPr>
          <w:u w:val="single"/>
        </w:rPr>
        <w:noBreakHyphen/>
        <w:t>34(c)(5), an education provider's Policies and Procedures Disclosure shall include:</w:t>
      </w:r>
    </w:p>
    <w:p w14:paraId="4ABA8A93" w14:textId="77777777" w:rsidR="00E91AE1" w:rsidRPr="00510FA5" w:rsidRDefault="00E91AE1" w:rsidP="001D2CEB">
      <w:pPr>
        <w:pStyle w:val="SubParagraph"/>
        <w:tabs>
          <w:tab w:val="clear" w:pos="1800"/>
        </w:tabs>
      </w:pPr>
      <w:r w:rsidRPr="00510FA5">
        <w:rPr>
          <w:u w:val="single"/>
        </w:rPr>
        <w:t>(1)</w:t>
      </w:r>
      <w:r w:rsidRPr="00510FA5">
        <w:tab/>
      </w:r>
      <w:r w:rsidRPr="00510FA5">
        <w:rPr>
          <w:u w:val="single"/>
        </w:rPr>
        <w:t xml:space="preserve">the name and address of the Commission, along with a statement that any complaints concerning the education </w:t>
      </w:r>
      <w:proofErr w:type="gramStart"/>
      <w:r w:rsidRPr="00510FA5">
        <w:rPr>
          <w:u w:val="single"/>
        </w:rPr>
        <w:t>provider</w:t>
      </w:r>
      <w:proofErr w:type="gramEnd"/>
      <w:r w:rsidRPr="00510FA5">
        <w:rPr>
          <w:u w:val="single"/>
        </w:rPr>
        <w:t xml:space="preserve"> or its instructors should be directed to the Commission;</w:t>
      </w:r>
    </w:p>
    <w:p w14:paraId="7162F6BA" w14:textId="77777777" w:rsidR="00E91AE1" w:rsidRPr="00510FA5" w:rsidRDefault="00E91AE1" w:rsidP="001D2CEB">
      <w:pPr>
        <w:pStyle w:val="SubParagraph"/>
        <w:tabs>
          <w:tab w:val="clear" w:pos="1800"/>
        </w:tabs>
      </w:pPr>
      <w:r w:rsidRPr="00510FA5">
        <w:rPr>
          <w:u w:val="single"/>
        </w:rPr>
        <w:t>(2)</w:t>
      </w:r>
      <w:r w:rsidRPr="00510FA5">
        <w:tab/>
      </w:r>
      <w:r w:rsidRPr="00510FA5">
        <w:rPr>
          <w:u w:val="single"/>
        </w:rPr>
        <w:t xml:space="preserve">a statement that the education provider shall not discriminate in its admissions policy or practice against any person </w:t>
      </w:r>
      <w:proofErr w:type="gramStart"/>
      <w:r w:rsidRPr="00510FA5">
        <w:rPr>
          <w:u w:val="single"/>
        </w:rPr>
        <w:t>on the basis of</w:t>
      </w:r>
      <w:proofErr w:type="gramEnd"/>
      <w:r w:rsidRPr="00510FA5">
        <w:rPr>
          <w:u w:val="single"/>
        </w:rPr>
        <w:t xml:space="preserve"> age, sex, race, color, national origin, familial status, handicap status, or religion;</w:t>
      </w:r>
    </w:p>
    <w:p w14:paraId="7CA028CA" w14:textId="77777777" w:rsidR="00E91AE1" w:rsidRPr="00510FA5" w:rsidRDefault="00E91AE1" w:rsidP="001D2CEB">
      <w:pPr>
        <w:pStyle w:val="SubParagraph"/>
        <w:tabs>
          <w:tab w:val="clear" w:pos="1800"/>
        </w:tabs>
      </w:pPr>
      <w:r w:rsidRPr="00510FA5">
        <w:rPr>
          <w:u w:val="single"/>
        </w:rPr>
        <w:t>(3)</w:t>
      </w:r>
      <w:r w:rsidRPr="00510FA5">
        <w:tab/>
      </w:r>
      <w:r w:rsidRPr="00510FA5">
        <w:rPr>
          <w:u w:val="single"/>
        </w:rPr>
        <w:t>the education provider's most recent annual License Examination Performance Record and the Annual Summary Report data as published by the Commission;</w:t>
      </w:r>
    </w:p>
    <w:p w14:paraId="2749CAE4" w14:textId="77777777" w:rsidR="00E91AE1" w:rsidRPr="00510FA5" w:rsidRDefault="00E91AE1" w:rsidP="001D2CEB">
      <w:pPr>
        <w:pStyle w:val="SubParagraph"/>
        <w:tabs>
          <w:tab w:val="clear" w:pos="1800"/>
        </w:tabs>
      </w:pPr>
      <w:r w:rsidRPr="00510FA5">
        <w:rPr>
          <w:u w:val="single"/>
        </w:rPr>
        <w:t>(4)</w:t>
      </w:r>
      <w:r w:rsidRPr="00510FA5">
        <w:tab/>
      </w:r>
      <w:r w:rsidRPr="00510FA5">
        <w:rPr>
          <w:u w:val="single"/>
        </w:rPr>
        <w:t xml:space="preserve">the all-inclusive tuition and fees for a </w:t>
      </w:r>
      <w:proofErr w:type="gramStart"/>
      <w:r w:rsidRPr="00510FA5">
        <w:rPr>
          <w:u w:val="single"/>
        </w:rPr>
        <w:t>particular course</w:t>
      </w:r>
      <w:proofErr w:type="gramEnd"/>
      <w:r w:rsidRPr="00510FA5">
        <w:rPr>
          <w:u w:val="single"/>
        </w:rPr>
        <w:t>;</w:t>
      </w:r>
    </w:p>
    <w:p w14:paraId="54F949E5" w14:textId="77777777" w:rsidR="00E91AE1" w:rsidRPr="00510FA5" w:rsidRDefault="00E91AE1" w:rsidP="001D2CEB">
      <w:pPr>
        <w:pStyle w:val="SubParagraph"/>
        <w:tabs>
          <w:tab w:val="clear" w:pos="1800"/>
        </w:tabs>
      </w:pPr>
      <w:r w:rsidRPr="00510FA5">
        <w:rPr>
          <w:u w:val="single"/>
        </w:rPr>
        <w:t>(5)</w:t>
      </w:r>
      <w:r w:rsidRPr="00510FA5">
        <w:tab/>
      </w:r>
      <w:r w:rsidRPr="00510FA5">
        <w:rPr>
          <w:u w:val="single"/>
        </w:rPr>
        <w:t>a written course cancellation and refund policy; and</w:t>
      </w:r>
    </w:p>
    <w:p w14:paraId="7A94B173" w14:textId="77777777" w:rsidR="00E91AE1" w:rsidRPr="00510FA5" w:rsidRDefault="00E91AE1" w:rsidP="001D2CEB">
      <w:pPr>
        <w:pStyle w:val="SubParagraph"/>
        <w:tabs>
          <w:tab w:val="clear" w:pos="1800"/>
        </w:tabs>
      </w:pPr>
      <w:r w:rsidRPr="00510FA5">
        <w:rPr>
          <w:u w:val="single"/>
        </w:rPr>
        <w:t>(6)</w:t>
      </w:r>
      <w:r w:rsidRPr="00510FA5">
        <w:tab/>
      </w:r>
      <w:r w:rsidRPr="00510FA5">
        <w:rPr>
          <w:u w:val="single"/>
        </w:rPr>
        <w:t>a signed certification acknowledging the student's receipt of the Policies and Procedures Disclosure prior to payment of any portion of tuition or registration fee without the right to a full refund.</w:t>
      </w:r>
    </w:p>
    <w:p w14:paraId="3568921F" w14:textId="77777777" w:rsidR="00E91AE1" w:rsidRPr="00510FA5" w:rsidRDefault="00E91AE1" w:rsidP="001D2CEB">
      <w:pPr>
        <w:pStyle w:val="Base"/>
      </w:pPr>
    </w:p>
    <w:p w14:paraId="07BA8728" w14:textId="5EA057F8" w:rsidR="00E91AE1" w:rsidRPr="00510FA5" w:rsidRDefault="00E91AE1" w:rsidP="00E91AE1">
      <w:pPr>
        <w:pStyle w:val="HistoryAuthority"/>
      </w:pPr>
      <w:r w:rsidRPr="00510FA5">
        <w:t>Authority G.S. 93A-4; 93A-33; 93A-34</w:t>
      </w:r>
      <w:r>
        <w:t>.</w:t>
      </w:r>
    </w:p>
    <w:p w14:paraId="1A9C13D7" w14:textId="77777777" w:rsidR="00E91AE1" w:rsidRPr="00510FA5" w:rsidRDefault="00E91AE1" w:rsidP="001D2CEB">
      <w:pPr>
        <w:pStyle w:val="Base"/>
      </w:pPr>
    </w:p>
    <w:p w14:paraId="70B1D354" w14:textId="77777777" w:rsidR="00E91AE1" w:rsidRPr="005B6375" w:rsidRDefault="00E91AE1" w:rsidP="001D2CEB">
      <w:pPr>
        <w:pStyle w:val="Rule"/>
      </w:pPr>
      <w:r w:rsidRPr="005B6375">
        <w:t>21 NCAC 58H .0205</w:t>
      </w:r>
      <w:r w:rsidRPr="005B6375">
        <w:tab/>
      </w:r>
      <w:r w:rsidRPr="005B6375">
        <w:rPr>
          <w:strike/>
        </w:rPr>
        <w:t>Private Real estate school BULLETIN</w:t>
      </w:r>
      <w:r w:rsidRPr="005B6375">
        <w:t xml:space="preserve"> </w:t>
      </w:r>
      <w:r w:rsidRPr="005B6375">
        <w:rPr>
          <w:u w:val="single"/>
        </w:rPr>
        <w:t>course materials</w:t>
      </w:r>
    </w:p>
    <w:p w14:paraId="71052E81" w14:textId="77777777" w:rsidR="00E91AE1" w:rsidRPr="005B6375" w:rsidRDefault="00E91AE1" w:rsidP="001D2CEB">
      <w:pPr>
        <w:pStyle w:val="Paragraph"/>
      </w:pPr>
      <w:r w:rsidRPr="005B6375">
        <w:rPr>
          <w:strike/>
        </w:rPr>
        <w:t>(a)  A private real estate school shall publish a single bulletin addressing Prelicensing and Postlicensing courses offered. The same bulletin shall be used by all locations of a private real estate school.</w:t>
      </w:r>
    </w:p>
    <w:p w14:paraId="6ED607C4" w14:textId="77777777" w:rsidR="00E91AE1" w:rsidRPr="005B6375" w:rsidRDefault="00E91AE1" w:rsidP="001D2CEB">
      <w:pPr>
        <w:pStyle w:val="Paragraph"/>
      </w:pPr>
      <w:r w:rsidRPr="005B6375">
        <w:rPr>
          <w:strike/>
        </w:rPr>
        <w:t>(b)  In addition to the information required by G.S. 93A</w:t>
      </w:r>
      <w:r w:rsidRPr="005B6375">
        <w:rPr>
          <w:strike/>
        </w:rPr>
        <w:noBreakHyphen/>
        <w:t>34(c)(5), a school's bulletin shall:</w:t>
      </w:r>
    </w:p>
    <w:p w14:paraId="23F4E29D" w14:textId="77777777" w:rsidR="00E91AE1" w:rsidRPr="005B6375" w:rsidRDefault="00E91AE1" w:rsidP="001D2CEB">
      <w:pPr>
        <w:pStyle w:val="SubParagraph"/>
        <w:tabs>
          <w:tab w:val="clear" w:pos="1800"/>
        </w:tabs>
      </w:pPr>
      <w:r w:rsidRPr="005B6375">
        <w:rPr>
          <w:strike/>
        </w:rPr>
        <w:t>(1)</w:t>
      </w:r>
      <w:r w:rsidRPr="005B6375">
        <w:tab/>
      </w:r>
      <w:r w:rsidRPr="005B6375">
        <w:rPr>
          <w:strike/>
        </w:rPr>
        <w:t>describe the purpose of Prelicensing and Postlicensing courses;</w:t>
      </w:r>
    </w:p>
    <w:p w14:paraId="04A676FB" w14:textId="77777777" w:rsidR="00E91AE1" w:rsidRPr="005B6375" w:rsidRDefault="00E91AE1" w:rsidP="001D2CEB">
      <w:pPr>
        <w:pStyle w:val="SubParagraph"/>
        <w:tabs>
          <w:tab w:val="clear" w:pos="1800"/>
        </w:tabs>
      </w:pPr>
      <w:r w:rsidRPr="005B6375">
        <w:rPr>
          <w:strike/>
        </w:rPr>
        <w:t>(2)</w:t>
      </w:r>
      <w:r w:rsidRPr="005B6375">
        <w:tab/>
      </w:r>
      <w:r w:rsidRPr="005B6375">
        <w:rPr>
          <w:strike/>
        </w:rPr>
        <w:t>describe the school's policies and procedures;</w:t>
      </w:r>
    </w:p>
    <w:p w14:paraId="012F3BC7" w14:textId="77777777" w:rsidR="00E91AE1" w:rsidRPr="005B6375" w:rsidRDefault="00E91AE1" w:rsidP="001D2CEB">
      <w:pPr>
        <w:pStyle w:val="SubParagraph"/>
        <w:tabs>
          <w:tab w:val="clear" w:pos="1800"/>
        </w:tabs>
      </w:pPr>
      <w:r w:rsidRPr="005B6375">
        <w:rPr>
          <w:strike/>
        </w:rPr>
        <w:t>(3)</w:t>
      </w:r>
      <w:r w:rsidRPr="005B6375">
        <w:tab/>
      </w:r>
      <w:r w:rsidRPr="005B6375">
        <w:rPr>
          <w:strike/>
        </w:rPr>
        <w:t xml:space="preserve">include the name and address of the Commission, along with a statement that any complaints concerning the </w:t>
      </w:r>
      <w:proofErr w:type="gramStart"/>
      <w:r w:rsidRPr="005B6375">
        <w:rPr>
          <w:strike/>
        </w:rPr>
        <w:t>school</w:t>
      </w:r>
      <w:proofErr w:type="gramEnd"/>
      <w:r w:rsidRPr="005B6375">
        <w:rPr>
          <w:strike/>
        </w:rPr>
        <w:t xml:space="preserve"> or its instructors should be directed to the Commission;</w:t>
      </w:r>
    </w:p>
    <w:p w14:paraId="0C14E470" w14:textId="77777777" w:rsidR="00E91AE1" w:rsidRPr="005B6375" w:rsidRDefault="00E91AE1" w:rsidP="001D2CEB">
      <w:pPr>
        <w:pStyle w:val="SubParagraph"/>
        <w:tabs>
          <w:tab w:val="clear" w:pos="1800"/>
        </w:tabs>
      </w:pPr>
      <w:r w:rsidRPr="005B6375">
        <w:rPr>
          <w:strike/>
        </w:rPr>
        <w:lastRenderedPageBreak/>
        <w:t>(4)</w:t>
      </w:r>
      <w:r w:rsidRPr="005B6375">
        <w:tab/>
      </w:r>
      <w:r w:rsidRPr="005B6375">
        <w:rPr>
          <w:strike/>
        </w:rPr>
        <w:t xml:space="preserve">include a statement that the school shall not discriminate in its admissions policy or practice against any person </w:t>
      </w:r>
      <w:proofErr w:type="gramStart"/>
      <w:r w:rsidRPr="005B6375">
        <w:rPr>
          <w:strike/>
        </w:rPr>
        <w:t>on the basis of</w:t>
      </w:r>
      <w:proofErr w:type="gramEnd"/>
      <w:r w:rsidRPr="005B6375">
        <w:rPr>
          <w:strike/>
        </w:rPr>
        <w:t xml:space="preserve"> age, sex, race, color, national origin, familial status, handicap status, or religion;</w:t>
      </w:r>
    </w:p>
    <w:p w14:paraId="188C576F" w14:textId="77777777" w:rsidR="00E91AE1" w:rsidRPr="005B6375" w:rsidRDefault="00E91AE1" w:rsidP="001D2CEB">
      <w:pPr>
        <w:pStyle w:val="SubParagraph"/>
        <w:tabs>
          <w:tab w:val="clear" w:pos="1800"/>
        </w:tabs>
      </w:pPr>
      <w:r w:rsidRPr="005B6375">
        <w:rPr>
          <w:strike/>
        </w:rPr>
        <w:t>(5)</w:t>
      </w:r>
      <w:r w:rsidRPr="005B6375">
        <w:tab/>
      </w:r>
      <w:r w:rsidRPr="005B6375">
        <w:rPr>
          <w:strike/>
        </w:rPr>
        <w:t>contain the following prescribed text: "NOTICE: Pursuant to North Carolina Real Estate Commission Rule 21 NCAC 58A .1904, the Commission may deny or withdraw credit for a Postlicensing course that a provisional broker begins taking while already enrolled in another Postlicensing course at the same school or a different school if participating in the two courses concurrently results in the provisional broker attending Postlicensing course sessions that total more than 30 instructional hours in any given seven-day period;" and</w:t>
      </w:r>
    </w:p>
    <w:p w14:paraId="5B030BE3" w14:textId="77777777" w:rsidR="00E91AE1" w:rsidRPr="005B6375" w:rsidRDefault="00E91AE1" w:rsidP="001D2CEB">
      <w:pPr>
        <w:pStyle w:val="SubParagraph"/>
        <w:tabs>
          <w:tab w:val="clear" w:pos="1800"/>
        </w:tabs>
      </w:pPr>
      <w:r w:rsidRPr="005B6375">
        <w:rPr>
          <w:strike/>
        </w:rPr>
        <w:t>(6)</w:t>
      </w:r>
      <w:r w:rsidRPr="005B6375">
        <w:tab/>
      </w:r>
      <w:r w:rsidRPr="005B6375">
        <w:rPr>
          <w:strike/>
        </w:rPr>
        <w:t>include a signed certification that a student received a copy of the bulletin prior to payment of any portion of tuition or registration fee without the right to a full refund.</w:t>
      </w:r>
    </w:p>
    <w:p w14:paraId="1EEBDB65" w14:textId="77777777" w:rsidR="00E91AE1" w:rsidRPr="005B6375" w:rsidRDefault="00E91AE1" w:rsidP="001D2CEB">
      <w:pPr>
        <w:pStyle w:val="Paragraph"/>
      </w:pPr>
      <w:r w:rsidRPr="005B6375">
        <w:rPr>
          <w:strike/>
        </w:rPr>
        <w:t>(c)  A private real estate school may provide in its bulletin information about courses that are not approved by the Commission and shall state that such courses are not approved or sanctioned by the Commission.</w:t>
      </w:r>
    </w:p>
    <w:p w14:paraId="594C7E44" w14:textId="77777777" w:rsidR="00E91AE1" w:rsidRPr="005B6375" w:rsidRDefault="00E91AE1" w:rsidP="001D2CEB">
      <w:pPr>
        <w:pStyle w:val="Paragraph"/>
      </w:pPr>
      <w:r w:rsidRPr="005B6375">
        <w:rPr>
          <w:strike/>
        </w:rPr>
        <w:t xml:space="preserve">(d)  A private real estate school may not include in its bulletin any promotional information for a </w:t>
      </w:r>
      <w:proofErr w:type="gramStart"/>
      <w:r w:rsidRPr="005B6375">
        <w:rPr>
          <w:strike/>
        </w:rPr>
        <w:t>particular real</w:t>
      </w:r>
      <w:proofErr w:type="gramEnd"/>
      <w:r w:rsidRPr="005B6375">
        <w:rPr>
          <w:strike/>
        </w:rPr>
        <w:t xml:space="preserve"> estate broker, firm, franchise, or association, even if the entity being promoted owns the school.</w:t>
      </w:r>
    </w:p>
    <w:p w14:paraId="6694E8F7" w14:textId="77777777" w:rsidR="00E91AE1" w:rsidRPr="005B6375" w:rsidRDefault="00E91AE1" w:rsidP="001D2CEB">
      <w:pPr>
        <w:pStyle w:val="Paragraph"/>
      </w:pPr>
      <w:r w:rsidRPr="005B6375">
        <w:rPr>
          <w:strike/>
        </w:rPr>
        <w:t>(e)  A private real estate school shall retain the signed certification required by Paragraph (b)(6) of this Rule pursuant to Rule .0212 of this Section. The certification shall include:</w:t>
      </w:r>
    </w:p>
    <w:p w14:paraId="79BA4C01" w14:textId="77777777" w:rsidR="00E91AE1" w:rsidRPr="005B6375" w:rsidRDefault="00E91AE1" w:rsidP="001D2CEB">
      <w:pPr>
        <w:pStyle w:val="SubParagraph"/>
        <w:tabs>
          <w:tab w:val="clear" w:pos="1800"/>
        </w:tabs>
      </w:pPr>
      <w:r w:rsidRPr="005B6375">
        <w:rPr>
          <w:strike/>
        </w:rPr>
        <w:t>(1)</w:t>
      </w:r>
      <w:r w:rsidRPr="005B6375">
        <w:tab/>
      </w:r>
      <w:r w:rsidRPr="005B6375">
        <w:rPr>
          <w:strike/>
        </w:rPr>
        <w:t>the student's name;</w:t>
      </w:r>
    </w:p>
    <w:p w14:paraId="7B02C15D" w14:textId="77777777" w:rsidR="00E91AE1" w:rsidRPr="005B6375" w:rsidRDefault="00E91AE1" w:rsidP="001D2CEB">
      <w:pPr>
        <w:pStyle w:val="SubParagraph"/>
        <w:tabs>
          <w:tab w:val="clear" w:pos="1800"/>
        </w:tabs>
      </w:pPr>
      <w:r w:rsidRPr="005B6375">
        <w:rPr>
          <w:strike/>
        </w:rPr>
        <w:t>(2)</w:t>
      </w:r>
      <w:r w:rsidRPr="005B6375">
        <w:tab/>
      </w:r>
      <w:r w:rsidRPr="005B6375">
        <w:rPr>
          <w:strike/>
        </w:rPr>
        <w:t>the date;</w:t>
      </w:r>
    </w:p>
    <w:p w14:paraId="33C1087E" w14:textId="77777777" w:rsidR="00E91AE1" w:rsidRPr="005B6375" w:rsidRDefault="00E91AE1" w:rsidP="001D2CEB">
      <w:pPr>
        <w:pStyle w:val="SubParagraph"/>
        <w:tabs>
          <w:tab w:val="clear" w:pos="1800"/>
        </w:tabs>
      </w:pPr>
      <w:r w:rsidRPr="005B6375">
        <w:rPr>
          <w:strike/>
        </w:rPr>
        <w:t>(3)</w:t>
      </w:r>
      <w:r w:rsidRPr="005B6375">
        <w:tab/>
      </w:r>
      <w:r w:rsidRPr="005B6375">
        <w:rPr>
          <w:strike/>
        </w:rPr>
        <w:t>the title of the course(s) for which the student is enrolling;</w:t>
      </w:r>
    </w:p>
    <w:p w14:paraId="0F6F9F6B" w14:textId="77777777" w:rsidR="00E91AE1" w:rsidRPr="005B6375" w:rsidRDefault="00E91AE1" w:rsidP="001D2CEB">
      <w:pPr>
        <w:pStyle w:val="SubParagraph"/>
        <w:tabs>
          <w:tab w:val="clear" w:pos="1800"/>
        </w:tabs>
      </w:pPr>
      <w:r w:rsidRPr="005B6375">
        <w:rPr>
          <w:strike/>
        </w:rPr>
        <w:t>(4)</w:t>
      </w:r>
      <w:r w:rsidRPr="005B6375">
        <w:tab/>
      </w:r>
      <w:r w:rsidRPr="005B6375">
        <w:rPr>
          <w:strike/>
        </w:rPr>
        <w:t>the course schedule, including the beginning and end date, and meeting days and times;</w:t>
      </w:r>
    </w:p>
    <w:p w14:paraId="484396F3" w14:textId="77777777" w:rsidR="00E91AE1" w:rsidRPr="005B6375" w:rsidRDefault="00E91AE1" w:rsidP="001D2CEB">
      <w:pPr>
        <w:pStyle w:val="SubParagraph"/>
        <w:tabs>
          <w:tab w:val="clear" w:pos="1800"/>
        </w:tabs>
      </w:pPr>
      <w:r w:rsidRPr="005B6375">
        <w:rPr>
          <w:strike/>
        </w:rPr>
        <w:t>(5)</w:t>
      </w:r>
      <w:r w:rsidRPr="005B6375">
        <w:tab/>
      </w:r>
      <w:r w:rsidRPr="005B6375">
        <w:rPr>
          <w:strike/>
        </w:rPr>
        <w:t xml:space="preserve">the amount of tuition and other required fees being paid by the </w:t>
      </w:r>
      <w:proofErr w:type="gramStart"/>
      <w:r w:rsidRPr="005B6375">
        <w:rPr>
          <w:strike/>
        </w:rPr>
        <w:t>particular student</w:t>
      </w:r>
      <w:proofErr w:type="gramEnd"/>
      <w:r w:rsidRPr="005B6375">
        <w:rPr>
          <w:strike/>
        </w:rPr>
        <w:t>;</w:t>
      </w:r>
    </w:p>
    <w:p w14:paraId="6402C244" w14:textId="77777777" w:rsidR="00E91AE1" w:rsidRPr="005B6375" w:rsidRDefault="00E91AE1" w:rsidP="001D2CEB">
      <w:pPr>
        <w:pStyle w:val="SubParagraph"/>
        <w:tabs>
          <w:tab w:val="clear" w:pos="1800"/>
        </w:tabs>
      </w:pPr>
      <w:r w:rsidRPr="005B6375">
        <w:rPr>
          <w:strike/>
        </w:rPr>
        <w:t>(6)</w:t>
      </w:r>
      <w:r w:rsidRPr="005B6375">
        <w:tab/>
      </w:r>
      <w:r w:rsidRPr="005B6375">
        <w:rPr>
          <w:strike/>
        </w:rPr>
        <w:t>a provision whereby the school certifies that the school's bulletin has been provided to the student and that the student acknowledges receipt of the bulletin;</w:t>
      </w:r>
    </w:p>
    <w:p w14:paraId="58E38A4F" w14:textId="77777777" w:rsidR="00E91AE1" w:rsidRPr="005B6375" w:rsidRDefault="00E91AE1" w:rsidP="001D2CEB">
      <w:pPr>
        <w:pStyle w:val="SubParagraph"/>
        <w:tabs>
          <w:tab w:val="clear" w:pos="1800"/>
        </w:tabs>
      </w:pPr>
      <w:r w:rsidRPr="005B6375">
        <w:rPr>
          <w:strike/>
        </w:rPr>
        <w:t>(7)</w:t>
      </w:r>
      <w:r w:rsidRPr="005B6375">
        <w:tab/>
      </w:r>
      <w:r w:rsidRPr="005B6375">
        <w:rPr>
          <w:strike/>
        </w:rPr>
        <w:t xml:space="preserve">any provisions needed to address special accommodations or arrangements applicable to a </w:t>
      </w:r>
      <w:proofErr w:type="gramStart"/>
      <w:r w:rsidRPr="005B6375">
        <w:rPr>
          <w:strike/>
        </w:rPr>
        <w:t>particular student</w:t>
      </w:r>
      <w:proofErr w:type="gramEnd"/>
      <w:r w:rsidRPr="005B6375">
        <w:rPr>
          <w:strike/>
        </w:rPr>
        <w:t>; and</w:t>
      </w:r>
    </w:p>
    <w:p w14:paraId="2C3DF036" w14:textId="77777777" w:rsidR="00E91AE1" w:rsidRPr="005B6375" w:rsidRDefault="00E91AE1" w:rsidP="001D2CEB">
      <w:pPr>
        <w:pStyle w:val="SubParagraph"/>
        <w:tabs>
          <w:tab w:val="clear" w:pos="1800"/>
        </w:tabs>
      </w:pPr>
      <w:r w:rsidRPr="005B6375">
        <w:rPr>
          <w:strike/>
        </w:rPr>
        <w:t>(8)</w:t>
      </w:r>
      <w:r w:rsidRPr="005B6375">
        <w:tab/>
      </w:r>
      <w:r w:rsidRPr="005B6375">
        <w:rPr>
          <w:strike/>
        </w:rPr>
        <w:t>the signatures of both the student and a school official.</w:t>
      </w:r>
    </w:p>
    <w:p w14:paraId="5F351697" w14:textId="77777777" w:rsidR="00E91AE1" w:rsidRPr="005B6375" w:rsidRDefault="00E91AE1" w:rsidP="001D2CEB">
      <w:pPr>
        <w:pStyle w:val="Paragraph"/>
      </w:pPr>
      <w:r w:rsidRPr="005B6375">
        <w:rPr>
          <w:u w:val="single"/>
        </w:rPr>
        <w:t>(a)  Course materials shall cover current North Carolina real estate related laws, rules, and practices.</w:t>
      </w:r>
      <w:r>
        <w:rPr>
          <w:u w:val="single"/>
        </w:rPr>
        <w:t xml:space="preserve"> </w:t>
      </w:r>
      <w:r w:rsidRPr="005B6375">
        <w:rPr>
          <w:u w:val="single"/>
        </w:rPr>
        <w:t>The nature and depth of subject matter coverage shall be consistent with the competency and instructional levels prescribed by the Commission for the course for which approval is sought.</w:t>
      </w:r>
    </w:p>
    <w:p w14:paraId="12B089EE" w14:textId="77777777" w:rsidR="00E91AE1" w:rsidRPr="005B6375" w:rsidRDefault="00E91AE1" w:rsidP="001D2CEB">
      <w:pPr>
        <w:pStyle w:val="Paragraph"/>
      </w:pPr>
      <w:r w:rsidRPr="005B6375">
        <w:rPr>
          <w:u w:val="single"/>
        </w:rPr>
        <w:t>(b)  Postlicensing courses shall utilize the current edition of the North Carolina Real Estate Manual.</w:t>
      </w:r>
    </w:p>
    <w:p w14:paraId="19A83898" w14:textId="77777777" w:rsidR="00E91AE1" w:rsidRPr="005B6375" w:rsidRDefault="00E91AE1" w:rsidP="001D2CEB">
      <w:pPr>
        <w:pStyle w:val="Base"/>
      </w:pPr>
    </w:p>
    <w:p w14:paraId="658FDD7B" w14:textId="36424CF5" w:rsidR="00E91AE1" w:rsidRPr="005B6375" w:rsidRDefault="00E91AE1" w:rsidP="00E91AE1">
      <w:pPr>
        <w:pStyle w:val="HistoryAuthority"/>
      </w:pPr>
      <w:r w:rsidRPr="005B6375">
        <w:t xml:space="preserve">Authority G.S. </w:t>
      </w:r>
      <w:r w:rsidRPr="005B6375">
        <w:rPr>
          <w:strike/>
        </w:rPr>
        <w:t>93A</w:t>
      </w:r>
      <w:r w:rsidRPr="005B6375">
        <w:rPr>
          <w:strike/>
        </w:rPr>
        <w:noBreakHyphen/>
        <w:t>4(a);</w:t>
      </w:r>
      <w:r w:rsidRPr="005B6375">
        <w:t xml:space="preserve"> 93A-4(d); 93A</w:t>
      </w:r>
      <w:r w:rsidRPr="005B6375">
        <w:noBreakHyphen/>
        <w:t>33; 93A-34</w:t>
      </w:r>
      <w:r>
        <w:t>.</w:t>
      </w:r>
    </w:p>
    <w:p w14:paraId="0A3A8647" w14:textId="77777777" w:rsidR="00E91AE1" w:rsidRPr="005B6375" w:rsidRDefault="00E91AE1" w:rsidP="001D2CEB">
      <w:pPr>
        <w:pStyle w:val="Base"/>
      </w:pPr>
    </w:p>
    <w:p w14:paraId="023E1528" w14:textId="77777777" w:rsidR="00E91AE1" w:rsidRPr="00DA6EB7" w:rsidRDefault="00E91AE1" w:rsidP="001D2CEB">
      <w:pPr>
        <w:pStyle w:val="Rule"/>
      </w:pPr>
      <w:r w:rsidRPr="00DA6EB7">
        <w:t>21 NCAC 58H .0206</w:t>
      </w:r>
      <w:r w:rsidRPr="00DA6EB7">
        <w:tab/>
      </w:r>
      <w:r w:rsidRPr="00DA6EB7">
        <w:rPr>
          <w:strike/>
        </w:rPr>
        <w:t>APPROVAL OF TEXTBOOKS</w:t>
      </w:r>
      <w:r w:rsidRPr="00DA6EB7">
        <w:t xml:space="preserve"> </w:t>
      </w:r>
      <w:r w:rsidRPr="00DA6EB7">
        <w:rPr>
          <w:u w:val="single"/>
        </w:rPr>
        <w:t>ADVERTISING and RECRUITMENT ACTIVITIES</w:t>
      </w:r>
    </w:p>
    <w:p w14:paraId="22BE5E53" w14:textId="77777777" w:rsidR="00E91AE1" w:rsidRPr="00DA6EB7" w:rsidRDefault="00E91AE1" w:rsidP="001D2CEB">
      <w:pPr>
        <w:pStyle w:val="Paragraph"/>
      </w:pPr>
      <w:r w:rsidRPr="00DA6EB7">
        <w:rPr>
          <w:strike/>
        </w:rPr>
        <w:t>(a)  A request for approval of a proposed textbook shall be submitted in writing to the Commission along with two copies of the proposed textbook. The criteria for approval shall be:</w:t>
      </w:r>
    </w:p>
    <w:p w14:paraId="7C3551DF" w14:textId="77777777" w:rsidR="00E91AE1" w:rsidRPr="00DA6EB7" w:rsidRDefault="00E91AE1" w:rsidP="001D2CEB">
      <w:pPr>
        <w:pStyle w:val="SubParagraph"/>
        <w:tabs>
          <w:tab w:val="clear" w:pos="1800"/>
        </w:tabs>
      </w:pPr>
      <w:r w:rsidRPr="00DA6EB7">
        <w:rPr>
          <w:strike/>
        </w:rPr>
        <w:t>(1)</w:t>
      </w:r>
      <w:r w:rsidRPr="00DA6EB7">
        <w:tab/>
      </w:r>
      <w:r w:rsidRPr="00DA6EB7">
        <w:rPr>
          <w:strike/>
        </w:rPr>
        <w:t>the textbook shall cover current North Carolina real estate related laws, rules, and practices;</w:t>
      </w:r>
    </w:p>
    <w:p w14:paraId="2492BFF0" w14:textId="77777777" w:rsidR="00E91AE1" w:rsidRPr="00DA6EB7" w:rsidRDefault="00E91AE1" w:rsidP="001D2CEB">
      <w:pPr>
        <w:pStyle w:val="SubParagraph"/>
        <w:tabs>
          <w:tab w:val="clear" w:pos="1800"/>
        </w:tabs>
      </w:pPr>
      <w:r w:rsidRPr="00DA6EB7">
        <w:rPr>
          <w:strike/>
        </w:rPr>
        <w:t>(2)</w:t>
      </w:r>
      <w:r w:rsidRPr="00DA6EB7">
        <w:tab/>
      </w:r>
      <w:r w:rsidRPr="00DA6EB7">
        <w:rPr>
          <w:strike/>
        </w:rPr>
        <w:t>the text shall be grammatically correct; and</w:t>
      </w:r>
    </w:p>
    <w:p w14:paraId="2CDA31A1" w14:textId="77777777" w:rsidR="00E91AE1" w:rsidRPr="00DA6EB7" w:rsidRDefault="00E91AE1" w:rsidP="001D2CEB">
      <w:pPr>
        <w:pStyle w:val="SubParagraph"/>
        <w:tabs>
          <w:tab w:val="clear" w:pos="1800"/>
        </w:tabs>
      </w:pPr>
      <w:r w:rsidRPr="00DA6EB7">
        <w:rPr>
          <w:strike/>
        </w:rPr>
        <w:t>(3)</w:t>
      </w:r>
      <w:r w:rsidRPr="00DA6EB7">
        <w:tab/>
      </w:r>
      <w:r w:rsidRPr="00DA6EB7">
        <w:rPr>
          <w:strike/>
        </w:rPr>
        <w:t>the nature and depth of subject matter coverage shall be consistent with the competency and instructional levels prescribed by the Commission for the course for which approval is sought.</w:t>
      </w:r>
    </w:p>
    <w:p w14:paraId="49AEC65A" w14:textId="77777777" w:rsidR="00E91AE1" w:rsidRPr="00DA6EB7" w:rsidRDefault="00E91AE1" w:rsidP="001D2CEB">
      <w:pPr>
        <w:pStyle w:val="Paragraph"/>
      </w:pPr>
      <w:r w:rsidRPr="00DA6EB7">
        <w:rPr>
          <w:strike/>
        </w:rPr>
        <w:t>(b)  Approval of a textbook shall only apply to the edition reviewed by the Commission. A request for approval of a new or updated edition of a previously approved textbook shall be submitted in writing to the Commission, along with two copies of the proposed textbook, and shall include a list with specific page references of all significant changes from the previously approved edition.</w:t>
      </w:r>
    </w:p>
    <w:p w14:paraId="50FC54DE" w14:textId="77777777" w:rsidR="00E91AE1" w:rsidRPr="00DA6EB7" w:rsidRDefault="00E91AE1" w:rsidP="001D2CEB">
      <w:pPr>
        <w:pStyle w:val="Paragraph"/>
      </w:pPr>
      <w:r w:rsidRPr="00DA6EB7">
        <w:rPr>
          <w:strike/>
        </w:rPr>
        <w:t>(c)  Approval of a textbook shall terminate four years after the initial approval or upon the approval of a new edition of a previously approved textbook.</w:t>
      </w:r>
    </w:p>
    <w:p w14:paraId="7B50B13F" w14:textId="77777777" w:rsidR="00E91AE1" w:rsidRPr="00DA6EB7" w:rsidRDefault="00E91AE1" w:rsidP="001D2CEB">
      <w:pPr>
        <w:pStyle w:val="Paragraph"/>
      </w:pPr>
      <w:r w:rsidRPr="00DA6EB7">
        <w:rPr>
          <w:u w:val="single"/>
        </w:rPr>
        <w:t>(a)  Any education provider utilizing its License Examination Performance Record or Annual Summary Report for advertising or promotional purposes shall only use the most recent annual License Examination Performance Record or Annual Summary Report as published on the Commission's website in a manner that is not misleading or false.</w:t>
      </w:r>
    </w:p>
    <w:p w14:paraId="61ACAD9A" w14:textId="77777777" w:rsidR="00E91AE1" w:rsidRPr="00DA6EB7" w:rsidRDefault="00E91AE1" w:rsidP="001D2CEB">
      <w:pPr>
        <w:pStyle w:val="Paragraph"/>
      </w:pPr>
      <w:r w:rsidRPr="00DA6EB7">
        <w:rPr>
          <w:u w:val="single"/>
        </w:rPr>
        <w:t>(b)  Education providers shall not make or publish, by way of advertising or otherwise, any false or misleading statement regarding employment opportunities that may be available as a result of completion of a course offered by that education provider or acquisition of a real estate license.</w:t>
      </w:r>
    </w:p>
    <w:p w14:paraId="388CE68E" w14:textId="77777777" w:rsidR="00E91AE1" w:rsidRPr="00DA6EB7" w:rsidRDefault="00E91AE1" w:rsidP="001D2CEB">
      <w:pPr>
        <w:pStyle w:val="Paragraph"/>
      </w:pPr>
      <w:r w:rsidRPr="00DA6EB7">
        <w:rPr>
          <w:u w:val="single"/>
        </w:rPr>
        <w:t>(c)  Education providers shall not use endorsements or recommendations of any person or organization for advertising or otherwise unless such person or organization has consented in writing to the use of the endorsement or recommendation. In no case shall any person or organization be compensated for an endorsement or recommendation.</w:t>
      </w:r>
    </w:p>
    <w:p w14:paraId="1075A7DC" w14:textId="77777777" w:rsidR="00E91AE1" w:rsidRPr="00DA6EB7" w:rsidRDefault="00E91AE1" w:rsidP="001D2CEB">
      <w:pPr>
        <w:pStyle w:val="Paragraph"/>
      </w:pPr>
      <w:r w:rsidRPr="00DA6EB7">
        <w:rPr>
          <w:u w:val="single"/>
        </w:rPr>
        <w:t xml:space="preserve">(d)  Education providers shall not offer Postlicensing courses only for brokers affiliated with a </w:t>
      </w:r>
      <w:proofErr w:type="gramStart"/>
      <w:r w:rsidRPr="00DA6EB7">
        <w:rPr>
          <w:u w:val="single"/>
        </w:rPr>
        <w:t>particular real</w:t>
      </w:r>
      <w:proofErr w:type="gramEnd"/>
      <w:r w:rsidRPr="00DA6EB7">
        <w:rPr>
          <w:u w:val="single"/>
        </w:rPr>
        <w:t xml:space="preserve"> estate broker, firm, franchise, or association.</w:t>
      </w:r>
    </w:p>
    <w:p w14:paraId="0CB56756" w14:textId="77777777" w:rsidR="00E91AE1" w:rsidRPr="00DA6EB7" w:rsidRDefault="00E91AE1" w:rsidP="001D2CEB">
      <w:pPr>
        <w:pStyle w:val="Paragraph"/>
      </w:pPr>
      <w:r w:rsidRPr="00DA6EB7">
        <w:rPr>
          <w:u w:val="single"/>
        </w:rPr>
        <w:t xml:space="preserve">(e)  Education providers may offer and advertise courses in addition to those approved by the Commission pursuant to this Subchapter </w:t>
      </w:r>
      <w:proofErr w:type="gramStart"/>
      <w:r w:rsidRPr="00DA6EB7">
        <w:rPr>
          <w:u w:val="single"/>
        </w:rPr>
        <w:t>provided that</w:t>
      </w:r>
      <w:proofErr w:type="gramEnd"/>
      <w:r w:rsidRPr="00DA6EB7">
        <w:rPr>
          <w:u w:val="single"/>
        </w:rPr>
        <w:t xml:space="preserve"> references to such courses are not made or published in a manner that implies approval by the Commission.</w:t>
      </w:r>
    </w:p>
    <w:p w14:paraId="2649FB80" w14:textId="77777777" w:rsidR="00E91AE1" w:rsidRPr="00DA6EB7" w:rsidRDefault="00E91AE1" w:rsidP="001D2CEB">
      <w:pPr>
        <w:pStyle w:val="Paragraph"/>
      </w:pPr>
      <w:r w:rsidRPr="00DA6EB7">
        <w:rPr>
          <w:u w:val="single"/>
        </w:rPr>
        <w:t>(f)  Instructional time and materials shall be utilized for instructional purposes only.</w:t>
      </w:r>
    </w:p>
    <w:p w14:paraId="7F422C3F" w14:textId="77777777" w:rsidR="00E91AE1" w:rsidRPr="00DA6EB7" w:rsidRDefault="00E91AE1" w:rsidP="001D2CEB">
      <w:pPr>
        <w:pStyle w:val="Paragraph"/>
      </w:pPr>
      <w:r w:rsidRPr="00DA6EB7">
        <w:rPr>
          <w:u w:val="single"/>
        </w:rPr>
        <w:t>(g)  All Continuing Education course advertisements and promotional materials shall specify the number of Continuing Education credit hours to be awarded by the Commission for the course.</w:t>
      </w:r>
    </w:p>
    <w:p w14:paraId="28A8696B" w14:textId="77777777" w:rsidR="00E91AE1" w:rsidRPr="00DA6EB7" w:rsidRDefault="00E91AE1" w:rsidP="001D2CEB">
      <w:pPr>
        <w:pStyle w:val="Paragraph"/>
      </w:pPr>
      <w:r w:rsidRPr="00DA6EB7">
        <w:rPr>
          <w:u w:val="single"/>
        </w:rPr>
        <w:t>(h)  The education provider name shall be used in all publications and advertising.</w:t>
      </w:r>
    </w:p>
    <w:p w14:paraId="5FE10383" w14:textId="77777777" w:rsidR="00E91AE1" w:rsidRPr="00DA6EB7" w:rsidRDefault="00E91AE1" w:rsidP="001D2CEB">
      <w:pPr>
        <w:pStyle w:val="Base"/>
      </w:pPr>
    </w:p>
    <w:p w14:paraId="5650AA08" w14:textId="1320EABF" w:rsidR="00E91AE1" w:rsidRPr="00DA6EB7" w:rsidRDefault="00E91AE1" w:rsidP="00E91AE1">
      <w:pPr>
        <w:pStyle w:val="HistoryAuthority"/>
      </w:pPr>
      <w:r w:rsidRPr="00DA6EB7">
        <w:t>Authority G.S. 93A-4; 93A</w:t>
      </w:r>
      <w:r w:rsidRPr="00DA6EB7">
        <w:noBreakHyphen/>
        <w:t>33</w:t>
      </w:r>
      <w:r>
        <w:t>.</w:t>
      </w:r>
    </w:p>
    <w:p w14:paraId="5FB6B79E" w14:textId="77777777" w:rsidR="00E91AE1" w:rsidRPr="00DA6EB7" w:rsidRDefault="00E91AE1" w:rsidP="001D2CEB">
      <w:pPr>
        <w:pStyle w:val="Base"/>
      </w:pPr>
    </w:p>
    <w:p w14:paraId="7FAF1DBC" w14:textId="77777777" w:rsidR="00E91AE1" w:rsidRPr="00D4296F" w:rsidRDefault="00E91AE1" w:rsidP="001D2CEB">
      <w:pPr>
        <w:pStyle w:val="Rule"/>
      </w:pPr>
      <w:r w:rsidRPr="00D4296F">
        <w:lastRenderedPageBreak/>
        <w:t>21 NCAC 58H .0207</w:t>
      </w:r>
      <w:r w:rsidRPr="00D4296F">
        <w:tab/>
      </w:r>
      <w:r w:rsidRPr="00D4296F">
        <w:rPr>
          <w:strike/>
        </w:rPr>
        <w:t>school ADVERTISING and RECRUITMENT ACTIVITIES</w:t>
      </w:r>
      <w:r w:rsidRPr="00D4296F">
        <w:t xml:space="preserve"> </w:t>
      </w:r>
      <w:r w:rsidRPr="00D4296F">
        <w:rPr>
          <w:u w:val="single"/>
        </w:rPr>
        <w:t>course completion certificates and reports</w:t>
      </w:r>
    </w:p>
    <w:p w14:paraId="7C14A05E" w14:textId="77777777" w:rsidR="00E91AE1" w:rsidRPr="00D4296F" w:rsidRDefault="00E91AE1" w:rsidP="001D2CEB">
      <w:pPr>
        <w:pStyle w:val="Paragraph"/>
      </w:pPr>
      <w:r w:rsidRPr="00D4296F">
        <w:rPr>
          <w:strike/>
        </w:rPr>
        <w:t>(a)  Any school utilizing its license examination performance record for advertising or promotional purposes shall only use data that:</w:t>
      </w:r>
    </w:p>
    <w:p w14:paraId="3E5925B8" w14:textId="77777777" w:rsidR="00E91AE1" w:rsidRPr="00D4296F" w:rsidRDefault="00E91AE1" w:rsidP="001D2CEB">
      <w:pPr>
        <w:pStyle w:val="SubParagraph"/>
        <w:tabs>
          <w:tab w:val="clear" w:pos="1800"/>
        </w:tabs>
      </w:pPr>
      <w:r w:rsidRPr="00D4296F">
        <w:rPr>
          <w:strike/>
        </w:rPr>
        <w:t>(1)</w:t>
      </w:r>
      <w:r w:rsidRPr="00D4296F">
        <w:tab/>
      </w:r>
      <w:r w:rsidRPr="00D4296F">
        <w:rPr>
          <w:strike/>
        </w:rPr>
        <w:t xml:space="preserve">are limited to the annual examination performance data for the </w:t>
      </w:r>
      <w:proofErr w:type="gramStart"/>
      <w:r w:rsidRPr="00D4296F">
        <w:rPr>
          <w:strike/>
        </w:rPr>
        <w:t>particular school</w:t>
      </w:r>
      <w:proofErr w:type="gramEnd"/>
      <w:r w:rsidRPr="00D4296F">
        <w:rPr>
          <w:strike/>
        </w:rPr>
        <w:t xml:space="preserve"> and for all examination candidates in the State;</w:t>
      </w:r>
    </w:p>
    <w:p w14:paraId="7D08C926" w14:textId="77777777" w:rsidR="00E91AE1" w:rsidRPr="00D4296F" w:rsidRDefault="00E91AE1" w:rsidP="001D2CEB">
      <w:pPr>
        <w:pStyle w:val="SubParagraph"/>
        <w:tabs>
          <w:tab w:val="clear" w:pos="1800"/>
        </w:tabs>
      </w:pPr>
      <w:r w:rsidRPr="00D4296F">
        <w:rPr>
          <w:strike/>
        </w:rPr>
        <w:t>(2)</w:t>
      </w:r>
      <w:r w:rsidRPr="00D4296F">
        <w:tab/>
      </w:r>
      <w:r w:rsidRPr="00D4296F">
        <w:rPr>
          <w:strike/>
        </w:rPr>
        <w:t>include the time period covered, the number of first-time candidates examined, and either the number or percentage of first-time candidates passing the examination; and</w:t>
      </w:r>
    </w:p>
    <w:p w14:paraId="5519B7AE" w14:textId="77777777" w:rsidR="00E91AE1" w:rsidRPr="00D4296F" w:rsidRDefault="00E91AE1" w:rsidP="001D2CEB">
      <w:pPr>
        <w:pStyle w:val="SubParagraph"/>
        <w:tabs>
          <w:tab w:val="clear" w:pos="1800"/>
        </w:tabs>
      </w:pPr>
      <w:r w:rsidRPr="00D4296F">
        <w:rPr>
          <w:strike/>
        </w:rPr>
        <w:t>(3)</w:t>
      </w:r>
      <w:r w:rsidRPr="00D4296F">
        <w:tab/>
      </w:r>
      <w:r w:rsidRPr="00D4296F">
        <w:rPr>
          <w:strike/>
        </w:rPr>
        <w:t>are presented in a manner that is not misleading or false.</w:t>
      </w:r>
    </w:p>
    <w:p w14:paraId="56A8783C" w14:textId="77777777" w:rsidR="00E91AE1" w:rsidRPr="00D4296F" w:rsidRDefault="00E91AE1" w:rsidP="001D2CEB">
      <w:pPr>
        <w:pStyle w:val="Paragraph"/>
      </w:pPr>
      <w:r w:rsidRPr="00D4296F">
        <w:rPr>
          <w:strike/>
        </w:rPr>
        <w:t>(b)  Schools shall not make or publish, by way of advertising or otherwise, any false or misleading statement regarding employment opportunities that may be available as a result of completion of a course offered by that school or acquisition of a real estate license.</w:t>
      </w:r>
    </w:p>
    <w:p w14:paraId="18197076" w14:textId="77777777" w:rsidR="00E91AE1" w:rsidRPr="00D4296F" w:rsidRDefault="00E91AE1" w:rsidP="001D2CEB">
      <w:pPr>
        <w:pStyle w:val="Paragraph"/>
      </w:pPr>
      <w:r w:rsidRPr="00D4296F">
        <w:rPr>
          <w:strike/>
        </w:rPr>
        <w:t>(c)  Schools shall not use endorsements or recommendations of any person or organization of advertising or otherwise unless such person or organization has consented in writing to the use of the endorsement or recommendation. In no case shall any person or organization be compensated for an endorsement or recommendation.</w:t>
      </w:r>
    </w:p>
    <w:p w14:paraId="22FC3077" w14:textId="77777777" w:rsidR="00E91AE1" w:rsidRPr="00D4296F" w:rsidRDefault="00E91AE1" w:rsidP="001D2CEB">
      <w:pPr>
        <w:pStyle w:val="Paragraph"/>
      </w:pPr>
      <w:r w:rsidRPr="00D4296F">
        <w:rPr>
          <w:strike/>
        </w:rPr>
        <w:t xml:space="preserve">(d)  Schools may offer and advertise courses in addition to those approved by the Commission pursuant to this Subchapter </w:t>
      </w:r>
      <w:proofErr w:type="gramStart"/>
      <w:r w:rsidRPr="00D4296F">
        <w:rPr>
          <w:strike/>
        </w:rPr>
        <w:t>provided that</w:t>
      </w:r>
      <w:proofErr w:type="gramEnd"/>
      <w:r w:rsidRPr="00D4296F">
        <w:rPr>
          <w:strike/>
        </w:rPr>
        <w:t xml:space="preserve"> references to such courses are not made or published in a manner that implies approval by the Commission.</w:t>
      </w:r>
    </w:p>
    <w:p w14:paraId="3FDC17A7" w14:textId="77777777" w:rsidR="00E91AE1" w:rsidRPr="00D4296F" w:rsidRDefault="00E91AE1" w:rsidP="001D2CEB">
      <w:pPr>
        <w:pStyle w:val="Paragraph"/>
      </w:pPr>
      <w:r w:rsidRPr="00D4296F">
        <w:rPr>
          <w:strike/>
        </w:rPr>
        <w:t>(e)  Instructional time and materials may be utilized for instructional purposes only.</w:t>
      </w:r>
    </w:p>
    <w:p w14:paraId="79843403" w14:textId="77777777" w:rsidR="00E91AE1" w:rsidRPr="00D4296F" w:rsidRDefault="00E91AE1" w:rsidP="001D2CEB">
      <w:pPr>
        <w:pStyle w:val="Paragraph"/>
      </w:pPr>
      <w:r w:rsidRPr="00D4296F">
        <w:rPr>
          <w:strike/>
        </w:rPr>
        <w:t xml:space="preserve">(f)  Schools shall not offer Postlicensing courses only for brokers affiliated with a </w:t>
      </w:r>
      <w:proofErr w:type="gramStart"/>
      <w:r w:rsidRPr="00D4296F">
        <w:rPr>
          <w:strike/>
        </w:rPr>
        <w:t>particular real</w:t>
      </w:r>
      <w:proofErr w:type="gramEnd"/>
      <w:r w:rsidRPr="00D4296F">
        <w:rPr>
          <w:strike/>
        </w:rPr>
        <w:t xml:space="preserve"> estate broker, firm, franchise, or association, even if the entity whose affiliated brokers would benefit from the closed course is the school owner.</w:t>
      </w:r>
    </w:p>
    <w:p w14:paraId="5FCC48D4" w14:textId="77777777" w:rsidR="00E91AE1" w:rsidRPr="00D4296F" w:rsidRDefault="00E91AE1" w:rsidP="001D2CEB">
      <w:pPr>
        <w:pStyle w:val="Paragraph"/>
      </w:pPr>
      <w:r w:rsidRPr="00D4296F">
        <w:rPr>
          <w:u w:val="single"/>
        </w:rPr>
        <w:t>(a)  For each Prelicensing course taught, an education provider shall provide a course completion certificate signed by the education director to each student that:</w:t>
      </w:r>
    </w:p>
    <w:p w14:paraId="3B12E307" w14:textId="77777777" w:rsidR="00E91AE1" w:rsidRPr="00D4296F" w:rsidRDefault="00E91AE1" w:rsidP="001D2CEB">
      <w:pPr>
        <w:pStyle w:val="SubParagraph"/>
        <w:tabs>
          <w:tab w:val="clear" w:pos="1800"/>
        </w:tabs>
      </w:pPr>
      <w:r w:rsidRPr="00D4296F">
        <w:rPr>
          <w:u w:val="single"/>
        </w:rPr>
        <w:t>(1)</w:t>
      </w:r>
      <w:r w:rsidRPr="00D4296F">
        <w:tab/>
      </w:r>
      <w:r w:rsidRPr="00D4296F">
        <w:rPr>
          <w:u w:val="single"/>
        </w:rPr>
        <w:t xml:space="preserve">attends at least </w:t>
      </w:r>
      <w:r>
        <w:rPr>
          <w:u w:val="single"/>
        </w:rPr>
        <w:t>80</w:t>
      </w:r>
      <w:r w:rsidRPr="00D4296F">
        <w:rPr>
          <w:u w:val="single"/>
        </w:rPr>
        <w:t xml:space="preserve"> percent of all scheduled instructional hours; and</w:t>
      </w:r>
    </w:p>
    <w:p w14:paraId="5E9C609A" w14:textId="77777777" w:rsidR="00E91AE1" w:rsidRPr="00D4296F" w:rsidRDefault="00E91AE1" w:rsidP="001D2CEB">
      <w:pPr>
        <w:pStyle w:val="SubParagraph"/>
        <w:tabs>
          <w:tab w:val="clear" w:pos="1800"/>
        </w:tabs>
      </w:pPr>
      <w:r w:rsidRPr="00D4296F">
        <w:rPr>
          <w:u w:val="single"/>
        </w:rPr>
        <w:t>(2)</w:t>
      </w:r>
      <w:r w:rsidRPr="00D4296F">
        <w:tab/>
      </w:r>
      <w:r w:rsidRPr="00D4296F">
        <w:rPr>
          <w:u w:val="single"/>
        </w:rPr>
        <w:t xml:space="preserve">obtains a grade of at least a </w:t>
      </w:r>
      <w:r>
        <w:rPr>
          <w:u w:val="single"/>
        </w:rPr>
        <w:t>75</w:t>
      </w:r>
      <w:r w:rsidRPr="00D4296F">
        <w:rPr>
          <w:u w:val="single"/>
        </w:rPr>
        <w:t xml:space="preserve"> percent on the end-of-course examination.</w:t>
      </w:r>
    </w:p>
    <w:p w14:paraId="3032E4B7" w14:textId="77777777" w:rsidR="00E91AE1" w:rsidRPr="00D4296F" w:rsidRDefault="00E91AE1" w:rsidP="001D2CEB">
      <w:pPr>
        <w:pStyle w:val="Paragraph"/>
      </w:pPr>
      <w:r w:rsidRPr="00D4296F">
        <w:rPr>
          <w:u w:val="single"/>
        </w:rPr>
        <w:t>(b)  For each Postlicensing course taught, an education provider shall provide a course completion certificate signed by the education director to each student that:</w:t>
      </w:r>
    </w:p>
    <w:p w14:paraId="2B7D021F" w14:textId="77777777" w:rsidR="00E91AE1" w:rsidRPr="00D4296F" w:rsidRDefault="00E91AE1" w:rsidP="001D2CEB">
      <w:pPr>
        <w:pStyle w:val="SubParagraph"/>
        <w:tabs>
          <w:tab w:val="clear" w:pos="1800"/>
        </w:tabs>
      </w:pPr>
      <w:r w:rsidRPr="00D4296F">
        <w:rPr>
          <w:u w:val="single"/>
        </w:rPr>
        <w:t>(1)</w:t>
      </w:r>
      <w:r w:rsidRPr="00D4296F">
        <w:tab/>
      </w:r>
      <w:r w:rsidRPr="00D4296F">
        <w:rPr>
          <w:u w:val="single"/>
        </w:rPr>
        <w:t>attends at least ninety percent of all scheduled instructional hours; and</w:t>
      </w:r>
    </w:p>
    <w:p w14:paraId="75C7173B" w14:textId="77777777" w:rsidR="00E91AE1" w:rsidRPr="00D4296F" w:rsidRDefault="00E91AE1" w:rsidP="001D2CEB">
      <w:pPr>
        <w:pStyle w:val="SubParagraph"/>
        <w:tabs>
          <w:tab w:val="clear" w:pos="1800"/>
        </w:tabs>
      </w:pPr>
      <w:r w:rsidRPr="00D4296F">
        <w:rPr>
          <w:u w:val="single"/>
        </w:rPr>
        <w:t>(2)</w:t>
      </w:r>
      <w:r w:rsidRPr="00D4296F">
        <w:tab/>
      </w:r>
      <w:r w:rsidRPr="00D4296F">
        <w:rPr>
          <w:u w:val="single"/>
        </w:rPr>
        <w:t xml:space="preserve">obtains a grade of at least a </w:t>
      </w:r>
      <w:r>
        <w:rPr>
          <w:u w:val="single"/>
        </w:rPr>
        <w:t>75</w:t>
      </w:r>
      <w:r w:rsidRPr="00D4296F">
        <w:rPr>
          <w:u w:val="single"/>
        </w:rPr>
        <w:t xml:space="preserve"> percent on the end-of-course examination.</w:t>
      </w:r>
    </w:p>
    <w:p w14:paraId="71D32692" w14:textId="77777777" w:rsidR="00E91AE1" w:rsidRPr="00D4296F" w:rsidRDefault="00E91AE1" w:rsidP="001D2CEB">
      <w:pPr>
        <w:pStyle w:val="Paragraph"/>
      </w:pPr>
      <w:r w:rsidRPr="00D4296F">
        <w:rPr>
          <w:u w:val="single"/>
        </w:rPr>
        <w:t>(c)  The end-of-course examination shall be proctored. Students shall not use textbooks or notes on the end-of-course examination.</w:t>
      </w:r>
    </w:p>
    <w:p w14:paraId="4C7B9DDC" w14:textId="77777777" w:rsidR="00E91AE1" w:rsidRPr="00D4296F" w:rsidRDefault="00E91AE1" w:rsidP="001D2CEB">
      <w:pPr>
        <w:pStyle w:val="Paragraph"/>
      </w:pPr>
      <w:r w:rsidRPr="00D4296F">
        <w:rPr>
          <w:u w:val="single"/>
        </w:rPr>
        <w:t>(d)  For each Continuing Education course taught, an education provider shall provide a course completion certificate signed by the education director to each student that meets the requirements of 21 NCAC 58A .1705.</w:t>
      </w:r>
    </w:p>
    <w:p w14:paraId="3D63CD46" w14:textId="77777777" w:rsidR="00E91AE1" w:rsidRPr="00D4296F" w:rsidRDefault="00E91AE1" w:rsidP="001D2CEB">
      <w:pPr>
        <w:pStyle w:val="Paragraph"/>
      </w:pPr>
      <w:r w:rsidRPr="00D4296F">
        <w:rPr>
          <w:u w:val="single"/>
        </w:rPr>
        <w:t>(e)  The course completion certificate shall identify the course, date of completion, student, and instructor.</w:t>
      </w:r>
    </w:p>
    <w:p w14:paraId="38C6D3CB" w14:textId="77777777" w:rsidR="00E91AE1" w:rsidRPr="00D4296F" w:rsidRDefault="00E91AE1" w:rsidP="001D2CEB">
      <w:pPr>
        <w:pStyle w:val="Paragraph"/>
      </w:pPr>
      <w:r w:rsidRPr="00D4296F">
        <w:rPr>
          <w:u w:val="single"/>
        </w:rPr>
        <w:t>(f)  An education director shall submit a Course Completion Report within seven calendar days of any student completing any real estate course pursuant to the education provider's Policies and Procedures Disclosure. The Course Completion Report shall include:</w:t>
      </w:r>
    </w:p>
    <w:p w14:paraId="3EB7D2A9" w14:textId="77777777" w:rsidR="00E91AE1" w:rsidRPr="00D4296F" w:rsidRDefault="00E91AE1" w:rsidP="001D2CEB">
      <w:pPr>
        <w:pStyle w:val="SubParagraph"/>
        <w:tabs>
          <w:tab w:val="clear" w:pos="1800"/>
        </w:tabs>
      </w:pPr>
      <w:r w:rsidRPr="00D4296F">
        <w:rPr>
          <w:u w:val="single"/>
        </w:rPr>
        <w:t>(1)</w:t>
      </w:r>
      <w:r w:rsidRPr="00D4296F">
        <w:tab/>
      </w:r>
      <w:r w:rsidRPr="00D4296F">
        <w:rPr>
          <w:u w:val="single"/>
        </w:rPr>
        <w:t>each student's legal name;</w:t>
      </w:r>
    </w:p>
    <w:p w14:paraId="2D1974EA" w14:textId="77777777" w:rsidR="00E91AE1" w:rsidRPr="00D4296F" w:rsidRDefault="00E91AE1" w:rsidP="001D2CEB">
      <w:pPr>
        <w:pStyle w:val="SubParagraph"/>
        <w:tabs>
          <w:tab w:val="clear" w:pos="1800"/>
        </w:tabs>
      </w:pPr>
      <w:r w:rsidRPr="00D4296F">
        <w:rPr>
          <w:u w:val="single"/>
        </w:rPr>
        <w:t>(2)</w:t>
      </w:r>
      <w:r w:rsidRPr="00D4296F">
        <w:tab/>
      </w:r>
      <w:r w:rsidRPr="00D4296F">
        <w:rPr>
          <w:u w:val="single"/>
        </w:rPr>
        <w:t>each student's email address and telephone number;</w:t>
      </w:r>
    </w:p>
    <w:p w14:paraId="44A6EE7A" w14:textId="77777777" w:rsidR="00E91AE1" w:rsidRPr="00D4296F" w:rsidRDefault="00E91AE1" w:rsidP="001D2CEB">
      <w:pPr>
        <w:pStyle w:val="SubParagraph"/>
        <w:tabs>
          <w:tab w:val="clear" w:pos="1800"/>
        </w:tabs>
      </w:pPr>
      <w:r w:rsidRPr="00D4296F">
        <w:rPr>
          <w:u w:val="single"/>
        </w:rPr>
        <w:t>(3)</w:t>
      </w:r>
      <w:r w:rsidRPr="00D4296F">
        <w:tab/>
      </w:r>
      <w:r w:rsidRPr="00D4296F">
        <w:rPr>
          <w:u w:val="single"/>
        </w:rPr>
        <w:t>each student's unique identification number, if reporting a Prelicensing course;</w:t>
      </w:r>
    </w:p>
    <w:p w14:paraId="5317A45F" w14:textId="77777777" w:rsidR="00E91AE1" w:rsidRPr="00D4296F" w:rsidRDefault="00E91AE1" w:rsidP="001D2CEB">
      <w:pPr>
        <w:pStyle w:val="SubParagraph"/>
        <w:tabs>
          <w:tab w:val="clear" w:pos="1800"/>
        </w:tabs>
      </w:pPr>
      <w:r w:rsidRPr="00D4296F">
        <w:rPr>
          <w:u w:val="single"/>
        </w:rPr>
        <w:t>(4)</w:t>
      </w:r>
      <w:r w:rsidRPr="00D4296F">
        <w:tab/>
      </w:r>
      <w:r w:rsidRPr="00D4296F">
        <w:rPr>
          <w:u w:val="single"/>
        </w:rPr>
        <w:t>each student's real estate broker license number, if applicable;</w:t>
      </w:r>
    </w:p>
    <w:p w14:paraId="4D09B97C" w14:textId="77777777" w:rsidR="00E91AE1" w:rsidRPr="00D4296F" w:rsidRDefault="00E91AE1" w:rsidP="001D2CEB">
      <w:pPr>
        <w:pStyle w:val="SubParagraph"/>
        <w:tabs>
          <w:tab w:val="clear" w:pos="1800"/>
        </w:tabs>
      </w:pPr>
      <w:r w:rsidRPr="00D4296F">
        <w:rPr>
          <w:u w:val="single"/>
        </w:rPr>
        <w:t>(5)</w:t>
      </w:r>
      <w:r w:rsidRPr="00D4296F">
        <w:tab/>
      </w:r>
      <w:r w:rsidRPr="00D4296F">
        <w:rPr>
          <w:u w:val="single"/>
        </w:rPr>
        <w:t>the course completion date;</w:t>
      </w:r>
    </w:p>
    <w:p w14:paraId="091DB63F" w14:textId="77777777" w:rsidR="00E91AE1" w:rsidRPr="00D4296F" w:rsidRDefault="00E91AE1" w:rsidP="001D2CEB">
      <w:pPr>
        <w:pStyle w:val="SubParagraph"/>
        <w:tabs>
          <w:tab w:val="clear" w:pos="1800"/>
        </w:tabs>
      </w:pPr>
      <w:r w:rsidRPr="00D4296F">
        <w:rPr>
          <w:u w:val="single"/>
        </w:rPr>
        <w:t>(6)</w:t>
      </w:r>
      <w:r w:rsidRPr="00D4296F">
        <w:tab/>
      </w:r>
      <w:r w:rsidRPr="00D4296F">
        <w:rPr>
          <w:u w:val="single"/>
        </w:rPr>
        <w:t>the education provider's name and number;</w:t>
      </w:r>
    </w:p>
    <w:p w14:paraId="53E54D73" w14:textId="77777777" w:rsidR="00E91AE1" w:rsidRPr="00D4296F" w:rsidRDefault="00E91AE1" w:rsidP="001D2CEB">
      <w:pPr>
        <w:pStyle w:val="SubParagraph"/>
        <w:tabs>
          <w:tab w:val="clear" w:pos="1800"/>
        </w:tabs>
      </w:pPr>
      <w:r w:rsidRPr="00D4296F">
        <w:rPr>
          <w:u w:val="single"/>
        </w:rPr>
        <w:t>(7)</w:t>
      </w:r>
      <w:r w:rsidRPr="00D4296F">
        <w:tab/>
      </w:r>
      <w:r w:rsidRPr="00D4296F">
        <w:rPr>
          <w:u w:val="single"/>
        </w:rPr>
        <w:t>the course number; and</w:t>
      </w:r>
    </w:p>
    <w:p w14:paraId="1ED92852" w14:textId="77777777" w:rsidR="00E91AE1" w:rsidRPr="00D4296F" w:rsidRDefault="00E91AE1" w:rsidP="001D2CEB">
      <w:pPr>
        <w:pStyle w:val="SubParagraph"/>
        <w:tabs>
          <w:tab w:val="clear" w:pos="1800"/>
        </w:tabs>
      </w:pPr>
      <w:r w:rsidRPr="00D4296F">
        <w:rPr>
          <w:u w:val="single"/>
        </w:rPr>
        <w:t>(8)</w:t>
      </w:r>
      <w:r w:rsidRPr="00D4296F">
        <w:tab/>
      </w:r>
      <w:r w:rsidRPr="00D4296F">
        <w:rPr>
          <w:u w:val="single"/>
        </w:rPr>
        <w:t>the instructor's name and number;</w:t>
      </w:r>
    </w:p>
    <w:p w14:paraId="0BEC88B7" w14:textId="77777777" w:rsidR="00E91AE1" w:rsidRPr="00D4296F" w:rsidRDefault="00E91AE1" w:rsidP="001D2CEB">
      <w:pPr>
        <w:pStyle w:val="Paragraph"/>
      </w:pPr>
      <w:r w:rsidRPr="00D4296F">
        <w:rPr>
          <w:u w:val="single"/>
        </w:rPr>
        <w:t>(g)  For each Prelicensing or Postlicensing course taught, an education director shall submit a Summary Report no later than the fifth day of the month. The Summary Report shall contain the previous month's data. The Summary Report shall include the:</w:t>
      </w:r>
    </w:p>
    <w:p w14:paraId="0C458D6E" w14:textId="77777777" w:rsidR="00E91AE1" w:rsidRPr="00D4296F" w:rsidRDefault="00E91AE1" w:rsidP="001D2CEB">
      <w:pPr>
        <w:pStyle w:val="SubParagraph"/>
        <w:tabs>
          <w:tab w:val="clear" w:pos="1800"/>
        </w:tabs>
      </w:pPr>
      <w:r w:rsidRPr="00D4296F">
        <w:rPr>
          <w:u w:val="single"/>
        </w:rPr>
        <w:t>(1)</w:t>
      </w:r>
      <w:r w:rsidRPr="00D4296F">
        <w:tab/>
      </w:r>
      <w:r w:rsidRPr="00D4296F">
        <w:rPr>
          <w:u w:val="single"/>
        </w:rPr>
        <w:t>name of the instructor(s);</w:t>
      </w:r>
    </w:p>
    <w:p w14:paraId="634F6A3C" w14:textId="77777777" w:rsidR="00E91AE1" w:rsidRPr="00D4296F" w:rsidRDefault="00E91AE1" w:rsidP="001D2CEB">
      <w:pPr>
        <w:pStyle w:val="SubParagraph"/>
        <w:tabs>
          <w:tab w:val="clear" w:pos="1800"/>
        </w:tabs>
      </w:pPr>
      <w:r w:rsidRPr="00D4296F">
        <w:rPr>
          <w:u w:val="single"/>
        </w:rPr>
        <w:t>(2)</w:t>
      </w:r>
      <w:r w:rsidRPr="00D4296F">
        <w:tab/>
      </w:r>
      <w:r w:rsidRPr="00D4296F">
        <w:rPr>
          <w:u w:val="single"/>
        </w:rPr>
        <w:t>title of course(s);</w:t>
      </w:r>
    </w:p>
    <w:p w14:paraId="78AB5F41" w14:textId="77777777" w:rsidR="00E91AE1" w:rsidRPr="00D4296F" w:rsidRDefault="00E91AE1" w:rsidP="001D2CEB">
      <w:pPr>
        <w:pStyle w:val="SubParagraph"/>
        <w:tabs>
          <w:tab w:val="clear" w:pos="1800"/>
        </w:tabs>
      </w:pPr>
      <w:r w:rsidRPr="00D4296F">
        <w:rPr>
          <w:u w:val="single"/>
        </w:rPr>
        <w:t>(3)</w:t>
      </w:r>
      <w:r w:rsidRPr="00D4296F">
        <w:tab/>
      </w:r>
      <w:r w:rsidRPr="00D4296F">
        <w:rPr>
          <w:u w:val="single"/>
        </w:rPr>
        <w:t>number of students who paid tuition in each course and did not receive a refund;</w:t>
      </w:r>
    </w:p>
    <w:p w14:paraId="61722A2F" w14:textId="77777777" w:rsidR="00E91AE1" w:rsidRPr="00D4296F" w:rsidRDefault="00E91AE1" w:rsidP="001D2CEB">
      <w:pPr>
        <w:pStyle w:val="SubParagraph"/>
        <w:tabs>
          <w:tab w:val="clear" w:pos="1800"/>
        </w:tabs>
      </w:pPr>
      <w:r w:rsidRPr="00D4296F">
        <w:rPr>
          <w:u w:val="single"/>
        </w:rPr>
        <w:t>(4)</w:t>
      </w:r>
      <w:r w:rsidRPr="00D4296F">
        <w:tab/>
      </w:r>
      <w:r w:rsidRPr="00D4296F">
        <w:rPr>
          <w:u w:val="single"/>
        </w:rPr>
        <w:t>number of students who met all course requirements pursuant to Paragraph (a) and (b) of this Rule; and</w:t>
      </w:r>
    </w:p>
    <w:p w14:paraId="73C94ABA" w14:textId="77777777" w:rsidR="00E91AE1" w:rsidRPr="00D4296F" w:rsidRDefault="00E91AE1" w:rsidP="001D2CEB">
      <w:pPr>
        <w:pStyle w:val="SubParagraph"/>
        <w:tabs>
          <w:tab w:val="clear" w:pos="1800"/>
        </w:tabs>
      </w:pPr>
      <w:r w:rsidRPr="00D4296F">
        <w:rPr>
          <w:u w:val="single"/>
        </w:rPr>
        <w:t>(5)</w:t>
      </w:r>
      <w:r w:rsidRPr="00D4296F">
        <w:tab/>
      </w:r>
      <w:r w:rsidRPr="00D4296F">
        <w:rPr>
          <w:u w:val="single"/>
        </w:rPr>
        <w:t xml:space="preserve">number of students who satisfied </w:t>
      </w:r>
      <w:r>
        <w:rPr>
          <w:u w:val="single"/>
        </w:rPr>
        <w:t>Subp</w:t>
      </w:r>
      <w:r w:rsidRPr="00D4296F">
        <w:rPr>
          <w:u w:val="single"/>
        </w:rPr>
        <w:t xml:space="preserve">aragraph (a)(1) and (b)(1) of this Rule but did not satisfy </w:t>
      </w:r>
      <w:r>
        <w:rPr>
          <w:u w:val="single"/>
        </w:rPr>
        <w:t>Subp</w:t>
      </w:r>
      <w:r w:rsidRPr="00D4296F">
        <w:rPr>
          <w:u w:val="single"/>
        </w:rPr>
        <w:t>aragraph (a)(2) and (b)(2) of this Rule.</w:t>
      </w:r>
    </w:p>
    <w:p w14:paraId="0C44B2DE" w14:textId="77777777" w:rsidR="00E91AE1" w:rsidRPr="00D4296F" w:rsidRDefault="00E91AE1" w:rsidP="001D2CEB">
      <w:pPr>
        <w:pStyle w:val="Paragraph"/>
      </w:pPr>
      <w:r w:rsidRPr="00D4296F">
        <w:rPr>
          <w:u w:val="single"/>
        </w:rPr>
        <w:t>(h)  Education providers shall electronically submit the per student fee prescribed by G.S. 93A-4(a2) and G.S. 93A-38.5(d).</w:t>
      </w:r>
    </w:p>
    <w:p w14:paraId="428E9456" w14:textId="77777777" w:rsidR="00E91AE1" w:rsidRPr="00D4296F" w:rsidRDefault="00E91AE1" w:rsidP="001D2CEB">
      <w:pPr>
        <w:pStyle w:val="Base"/>
      </w:pPr>
    </w:p>
    <w:p w14:paraId="72DD8F17" w14:textId="06293911" w:rsidR="00E91AE1" w:rsidRPr="00D4296F" w:rsidRDefault="00E91AE1" w:rsidP="00E91AE1">
      <w:pPr>
        <w:pStyle w:val="HistoryAuthority"/>
      </w:pPr>
      <w:r w:rsidRPr="00D4296F">
        <w:t>Authority G.S. 93A-4(d); 93A</w:t>
      </w:r>
      <w:r w:rsidRPr="00D4296F">
        <w:noBreakHyphen/>
        <w:t>33; 93A-34</w:t>
      </w:r>
      <w:r>
        <w:t>.</w:t>
      </w:r>
    </w:p>
    <w:p w14:paraId="6A699ECC" w14:textId="77777777" w:rsidR="00E91AE1" w:rsidRPr="00D4296F" w:rsidRDefault="00E91AE1" w:rsidP="001D2CEB">
      <w:pPr>
        <w:pStyle w:val="Base"/>
      </w:pPr>
    </w:p>
    <w:p w14:paraId="70FDDFBC" w14:textId="77777777" w:rsidR="00E91AE1" w:rsidRPr="00AA72EE" w:rsidRDefault="00E91AE1" w:rsidP="001D2CEB">
      <w:pPr>
        <w:pStyle w:val="Rule"/>
      </w:pPr>
      <w:r w:rsidRPr="00AA72EE">
        <w:t>21 NCAC 58H .0208</w:t>
      </w:r>
      <w:r w:rsidRPr="00AA72EE">
        <w:tab/>
      </w:r>
      <w:r w:rsidRPr="00AA72EE">
        <w:rPr>
          <w:strike/>
        </w:rPr>
        <w:t>Prelicensing and Postlicensing COURSE SCHEDULING and notification</w:t>
      </w:r>
      <w:r w:rsidRPr="00AA72EE">
        <w:t xml:space="preserve"> </w:t>
      </w:r>
      <w:r w:rsidRPr="00AA72EE">
        <w:rPr>
          <w:u w:val="single"/>
        </w:rPr>
        <w:t>Education provider RECORDS</w:t>
      </w:r>
    </w:p>
    <w:p w14:paraId="567D1127" w14:textId="77777777" w:rsidR="00E91AE1" w:rsidRPr="00AA72EE" w:rsidRDefault="00E91AE1" w:rsidP="001D2CEB">
      <w:pPr>
        <w:pStyle w:val="Paragraph"/>
      </w:pPr>
      <w:r w:rsidRPr="00AA72EE">
        <w:rPr>
          <w:strike/>
        </w:rPr>
        <w:t>(a)  All Prelicensing and Postlicensing courses shall have fixed beginning and ending dates. Schools shall not utilize a scheduling system that allows students to enroll late for a course and then complete their course work in a subsequently scheduled course. Late enrollment shall be permitted only if the enrolling student can satisfy the minimum attendance requirement set forth in Rule .0210 of this Section.</w:t>
      </w:r>
    </w:p>
    <w:p w14:paraId="1707E7B4" w14:textId="77777777" w:rsidR="00E91AE1" w:rsidRPr="00AA72EE" w:rsidRDefault="00E91AE1" w:rsidP="001D2CEB">
      <w:pPr>
        <w:pStyle w:val="Paragraph"/>
      </w:pPr>
      <w:r w:rsidRPr="00AA72EE">
        <w:rPr>
          <w:strike/>
        </w:rPr>
        <w:t>(b)  Schools shall notify the Commission of all scheduled Prelicensing and Postlicensing course offerings not later than 10 days prior to a scheduled course beginning date.</w:t>
      </w:r>
    </w:p>
    <w:p w14:paraId="25509266" w14:textId="77777777" w:rsidR="00E91AE1" w:rsidRPr="00AA72EE" w:rsidRDefault="00E91AE1" w:rsidP="001D2CEB">
      <w:pPr>
        <w:pStyle w:val="Paragraph"/>
      </w:pPr>
      <w:r w:rsidRPr="00AA72EE">
        <w:rPr>
          <w:strike/>
        </w:rPr>
        <w:t>(c)  The notice required by Paragraph (b) of this Rule shall include:</w:t>
      </w:r>
    </w:p>
    <w:p w14:paraId="1F0D1AC3" w14:textId="77777777" w:rsidR="00E91AE1" w:rsidRPr="00AA72EE" w:rsidRDefault="00E91AE1" w:rsidP="001D2CEB">
      <w:pPr>
        <w:pStyle w:val="SubParagraph"/>
        <w:tabs>
          <w:tab w:val="clear" w:pos="1800"/>
        </w:tabs>
      </w:pPr>
      <w:r w:rsidRPr="00AA72EE">
        <w:rPr>
          <w:strike/>
        </w:rPr>
        <w:t>(1)</w:t>
      </w:r>
      <w:r w:rsidRPr="00AA72EE">
        <w:tab/>
      </w:r>
      <w:r w:rsidRPr="00AA72EE">
        <w:rPr>
          <w:strike/>
        </w:rPr>
        <w:t>the school name;</w:t>
      </w:r>
    </w:p>
    <w:p w14:paraId="54C87E29" w14:textId="77777777" w:rsidR="00E91AE1" w:rsidRPr="00AA72EE" w:rsidRDefault="00E91AE1" w:rsidP="001D2CEB">
      <w:pPr>
        <w:pStyle w:val="SubParagraph"/>
        <w:tabs>
          <w:tab w:val="clear" w:pos="1800"/>
        </w:tabs>
      </w:pPr>
      <w:r w:rsidRPr="00AA72EE">
        <w:rPr>
          <w:strike/>
        </w:rPr>
        <w:t>(2)</w:t>
      </w:r>
      <w:r w:rsidRPr="00AA72EE">
        <w:tab/>
      </w:r>
      <w:r w:rsidRPr="00AA72EE">
        <w:rPr>
          <w:strike/>
        </w:rPr>
        <w:t>the school code number; and</w:t>
      </w:r>
    </w:p>
    <w:p w14:paraId="2A9CC423" w14:textId="77777777" w:rsidR="00E91AE1" w:rsidRPr="00AA72EE" w:rsidRDefault="00E91AE1" w:rsidP="001D2CEB">
      <w:pPr>
        <w:pStyle w:val="SubParagraph"/>
        <w:tabs>
          <w:tab w:val="clear" w:pos="1800"/>
        </w:tabs>
      </w:pPr>
      <w:r w:rsidRPr="00AA72EE">
        <w:rPr>
          <w:strike/>
        </w:rPr>
        <w:t>(3)</w:t>
      </w:r>
      <w:r w:rsidRPr="00AA72EE">
        <w:tab/>
      </w:r>
      <w:r w:rsidRPr="00AA72EE">
        <w:rPr>
          <w:strike/>
        </w:rPr>
        <w:t>for each scheduled course:</w:t>
      </w:r>
    </w:p>
    <w:p w14:paraId="5B1D3301" w14:textId="77777777" w:rsidR="00E91AE1" w:rsidRPr="00AA72EE" w:rsidRDefault="00E91AE1" w:rsidP="001D2CEB">
      <w:pPr>
        <w:pStyle w:val="Part"/>
        <w:tabs>
          <w:tab w:val="clear" w:pos="2520"/>
        </w:tabs>
      </w:pPr>
      <w:r w:rsidRPr="00AA72EE">
        <w:rPr>
          <w:strike/>
        </w:rPr>
        <w:t>(A)</w:t>
      </w:r>
      <w:r w:rsidRPr="00AA72EE">
        <w:tab/>
      </w:r>
      <w:r w:rsidRPr="00AA72EE">
        <w:rPr>
          <w:strike/>
        </w:rPr>
        <w:t>the name and course code number;</w:t>
      </w:r>
    </w:p>
    <w:p w14:paraId="0A3A815D" w14:textId="77777777" w:rsidR="00E91AE1" w:rsidRPr="00AA72EE" w:rsidRDefault="00E91AE1" w:rsidP="001D2CEB">
      <w:pPr>
        <w:pStyle w:val="Part"/>
        <w:tabs>
          <w:tab w:val="clear" w:pos="2520"/>
        </w:tabs>
      </w:pPr>
      <w:r w:rsidRPr="00AA72EE">
        <w:rPr>
          <w:strike/>
        </w:rPr>
        <w:t>(B)</w:t>
      </w:r>
      <w:r w:rsidRPr="00AA72EE">
        <w:tab/>
      </w:r>
      <w:r w:rsidRPr="00AA72EE">
        <w:rPr>
          <w:strike/>
        </w:rPr>
        <w:t>the scheduled beginning and ending dates;</w:t>
      </w:r>
    </w:p>
    <w:p w14:paraId="018171A7" w14:textId="77777777" w:rsidR="00E91AE1" w:rsidRPr="00AA72EE" w:rsidRDefault="00E91AE1" w:rsidP="001D2CEB">
      <w:pPr>
        <w:pStyle w:val="Part"/>
        <w:tabs>
          <w:tab w:val="clear" w:pos="2520"/>
        </w:tabs>
      </w:pPr>
      <w:r w:rsidRPr="00AA72EE">
        <w:rPr>
          <w:strike/>
        </w:rPr>
        <w:t>(C)</w:t>
      </w:r>
      <w:r w:rsidRPr="00AA72EE">
        <w:tab/>
      </w:r>
      <w:r w:rsidRPr="00AA72EE">
        <w:rPr>
          <w:strike/>
        </w:rPr>
        <w:t>the course meeting days and times, including any scheduled lunch breaks; and</w:t>
      </w:r>
    </w:p>
    <w:p w14:paraId="5DF1D53B" w14:textId="77777777" w:rsidR="00E91AE1" w:rsidRPr="00AA72EE" w:rsidRDefault="00E91AE1" w:rsidP="001D2CEB">
      <w:pPr>
        <w:pStyle w:val="Part"/>
        <w:tabs>
          <w:tab w:val="clear" w:pos="2520"/>
        </w:tabs>
      </w:pPr>
      <w:r w:rsidRPr="00AA72EE">
        <w:rPr>
          <w:strike/>
        </w:rPr>
        <w:lastRenderedPageBreak/>
        <w:t>(D)</w:t>
      </w:r>
      <w:r w:rsidRPr="00AA72EE">
        <w:tab/>
      </w:r>
      <w:r w:rsidRPr="00AA72EE">
        <w:rPr>
          <w:strike/>
        </w:rPr>
        <w:t>the name of the instructor and instructor number.</w:t>
      </w:r>
    </w:p>
    <w:p w14:paraId="218E0FCE" w14:textId="77777777" w:rsidR="00E91AE1" w:rsidRPr="00AA72EE" w:rsidRDefault="00E91AE1" w:rsidP="001D2CEB">
      <w:pPr>
        <w:pStyle w:val="Paragraph"/>
      </w:pPr>
      <w:r w:rsidRPr="00AA72EE">
        <w:rPr>
          <w:strike/>
        </w:rPr>
        <w:t>(d)  If there is a change or cancellation within five days of the scheduled course date, then the school director shall provide notice to the Commission within 24 hours of the change or cancellation.</w:t>
      </w:r>
    </w:p>
    <w:p w14:paraId="620108D5" w14:textId="77777777" w:rsidR="00E91AE1" w:rsidRPr="00AA72EE" w:rsidRDefault="00E91AE1" w:rsidP="001D2CEB">
      <w:pPr>
        <w:pStyle w:val="Paragraph"/>
      </w:pPr>
      <w:r w:rsidRPr="00AA72EE">
        <w:rPr>
          <w:strike/>
        </w:rPr>
        <w:t xml:space="preserve">(e)  Class meetings shall not exceed seven and a half instructional hours per day and shall not exceed 30 instructional hours over any </w:t>
      </w:r>
      <w:proofErr w:type="gramStart"/>
      <w:r w:rsidRPr="00AA72EE">
        <w:rPr>
          <w:strike/>
        </w:rPr>
        <w:t>seven day</w:t>
      </w:r>
      <w:proofErr w:type="gramEnd"/>
      <w:r w:rsidRPr="00AA72EE">
        <w:rPr>
          <w:strike/>
        </w:rPr>
        <w:t xml:space="preserve"> period.</w:t>
      </w:r>
    </w:p>
    <w:p w14:paraId="5CBCB9A8" w14:textId="77777777" w:rsidR="00E91AE1" w:rsidRPr="00AA72EE" w:rsidRDefault="00E91AE1" w:rsidP="001D2CEB">
      <w:pPr>
        <w:pStyle w:val="Paragraph"/>
      </w:pPr>
      <w:r w:rsidRPr="00AA72EE">
        <w:rPr>
          <w:u w:val="single"/>
        </w:rPr>
        <w:t>All education provider records shall be retained for three years by the education provider and be made available to the Commission during an investigation or application process. Education provider records shall include:</w:t>
      </w:r>
    </w:p>
    <w:p w14:paraId="4F2B398C" w14:textId="77777777" w:rsidR="00E91AE1" w:rsidRPr="00AA72EE" w:rsidRDefault="00E91AE1" w:rsidP="001D2CEB">
      <w:pPr>
        <w:pStyle w:val="SubParagraph"/>
        <w:tabs>
          <w:tab w:val="clear" w:pos="1800"/>
        </w:tabs>
      </w:pPr>
      <w:r w:rsidRPr="00AA72EE">
        <w:rPr>
          <w:u w:val="single"/>
        </w:rPr>
        <w:t>(1)</w:t>
      </w:r>
      <w:r w:rsidRPr="00AA72EE">
        <w:tab/>
      </w:r>
      <w:r w:rsidRPr="00AA72EE">
        <w:rPr>
          <w:u w:val="single"/>
        </w:rPr>
        <w:t>enrollment and attendance records;</w:t>
      </w:r>
    </w:p>
    <w:p w14:paraId="484B8FB1" w14:textId="77777777" w:rsidR="00E91AE1" w:rsidRPr="00AA72EE" w:rsidRDefault="00E91AE1" w:rsidP="001D2CEB">
      <w:pPr>
        <w:pStyle w:val="SubParagraph"/>
        <w:tabs>
          <w:tab w:val="clear" w:pos="1800"/>
        </w:tabs>
      </w:pPr>
      <w:r w:rsidRPr="00AA72EE">
        <w:rPr>
          <w:u w:val="single"/>
        </w:rPr>
        <w:t>(2)</w:t>
      </w:r>
      <w:r w:rsidRPr="00AA72EE">
        <w:tab/>
      </w:r>
      <w:r w:rsidRPr="00AA72EE">
        <w:rPr>
          <w:u w:val="single"/>
        </w:rPr>
        <w:t>each student's end-of-course examination with grade and graded answer sheet;</w:t>
      </w:r>
    </w:p>
    <w:p w14:paraId="15D45F5B" w14:textId="77777777" w:rsidR="00E91AE1" w:rsidRPr="00AA72EE" w:rsidRDefault="00E91AE1" w:rsidP="001D2CEB">
      <w:pPr>
        <w:pStyle w:val="SubParagraph"/>
        <w:tabs>
          <w:tab w:val="clear" w:pos="1800"/>
        </w:tabs>
      </w:pPr>
      <w:r w:rsidRPr="00AA72EE">
        <w:rPr>
          <w:u w:val="single"/>
        </w:rPr>
        <w:t>(3)</w:t>
      </w:r>
      <w:r w:rsidRPr="00AA72EE">
        <w:tab/>
      </w:r>
      <w:r w:rsidRPr="00AA72EE">
        <w:rPr>
          <w:u w:val="single"/>
        </w:rPr>
        <w:t>a master copy of each end-of-course examination with its answer key, course title, course dates and name of instructor;</w:t>
      </w:r>
    </w:p>
    <w:p w14:paraId="0F5AE8AC" w14:textId="77777777" w:rsidR="00E91AE1" w:rsidRPr="00AA72EE" w:rsidRDefault="00E91AE1" w:rsidP="001D2CEB">
      <w:pPr>
        <w:pStyle w:val="SubParagraph"/>
        <w:tabs>
          <w:tab w:val="clear" w:pos="1800"/>
        </w:tabs>
      </w:pPr>
      <w:r w:rsidRPr="00AA72EE">
        <w:rPr>
          <w:u w:val="single"/>
        </w:rPr>
        <w:t>(4)</w:t>
      </w:r>
      <w:r w:rsidRPr="00AA72EE">
        <w:tab/>
      </w:r>
      <w:r w:rsidRPr="00AA72EE">
        <w:rPr>
          <w:u w:val="single"/>
        </w:rPr>
        <w:t>all instructor evaluations pursuant to Rule .0203(d) of this Section;</w:t>
      </w:r>
    </w:p>
    <w:p w14:paraId="2D9CD452" w14:textId="77777777" w:rsidR="00E91AE1" w:rsidRPr="00AA72EE" w:rsidRDefault="00E91AE1" w:rsidP="001D2CEB">
      <w:pPr>
        <w:pStyle w:val="SubParagraph"/>
        <w:tabs>
          <w:tab w:val="clear" w:pos="1800"/>
        </w:tabs>
      </w:pPr>
      <w:r w:rsidRPr="00AA72EE">
        <w:rPr>
          <w:u w:val="single"/>
        </w:rPr>
        <w:t>(5)</w:t>
      </w:r>
      <w:r w:rsidRPr="00AA72EE">
        <w:tab/>
      </w:r>
      <w:r w:rsidRPr="00AA72EE">
        <w:rPr>
          <w:u w:val="single"/>
        </w:rPr>
        <w:t>advertisements;</w:t>
      </w:r>
    </w:p>
    <w:p w14:paraId="748A0C5A" w14:textId="77777777" w:rsidR="00E91AE1" w:rsidRPr="00AA72EE" w:rsidRDefault="00E91AE1" w:rsidP="001D2CEB">
      <w:pPr>
        <w:pStyle w:val="SubParagraph"/>
        <w:tabs>
          <w:tab w:val="clear" w:pos="1800"/>
        </w:tabs>
      </w:pPr>
      <w:r w:rsidRPr="00AA72EE">
        <w:rPr>
          <w:u w:val="single"/>
        </w:rPr>
        <w:t>(6)</w:t>
      </w:r>
      <w:r w:rsidRPr="00AA72EE">
        <w:tab/>
      </w:r>
      <w:r w:rsidRPr="00AA72EE">
        <w:rPr>
          <w:u w:val="single"/>
        </w:rPr>
        <w:t>ARELLO or IDECC certifications;</w:t>
      </w:r>
    </w:p>
    <w:p w14:paraId="6F08CC3B" w14:textId="77777777" w:rsidR="00E91AE1" w:rsidRPr="00AA72EE" w:rsidRDefault="00E91AE1" w:rsidP="001D2CEB">
      <w:pPr>
        <w:pStyle w:val="SubParagraph"/>
        <w:tabs>
          <w:tab w:val="clear" w:pos="1800"/>
        </w:tabs>
      </w:pPr>
      <w:r w:rsidRPr="00AA72EE">
        <w:rPr>
          <w:u w:val="single"/>
        </w:rPr>
        <w:t>(7)</w:t>
      </w:r>
      <w:r w:rsidRPr="00AA72EE">
        <w:tab/>
      </w:r>
      <w:r w:rsidRPr="00AA72EE">
        <w:rPr>
          <w:u w:val="single"/>
        </w:rPr>
        <w:t>bulletins, catalogues, Policies and Procedures Disclosure, and other official publications;</w:t>
      </w:r>
    </w:p>
    <w:p w14:paraId="3F8FF73C" w14:textId="77777777" w:rsidR="00E91AE1" w:rsidRPr="00AA72EE" w:rsidRDefault="00E91AE1" w:rsidP="001D2CEB">
      <w:pPr>
        <w:pStyle w:val="SubParagraph"/>
        <w:tabs>
          <w:tab w:val="clear" w:pos="1800"/>
        </w:tabs>
      </w:pPr>
      <w:r w:rsidRPr="00AA72EE">
        <w:rPr>
          <w:u w:val="single"/>
        </w:rPr>
        <w:t>(8)</w:t>
      </w:r>
      <w:r w:rsidRPr="00AA72EE">
        <w:tab/>
      </w:r>
      <w:r w:rsidRPr="00AA72EE">
        <w:rPr>
          <w:u w:val="single"/>
        </w:rPr>
        <w:t>course schedules;</w:t>
      </w:r>
    </w:p>
    <w:p w14:paraId="110C7FC2" w14:textId="77777777" w:rsidR="00E91AE1" w:rsidRPr="00AA72EE" w:rsidRDefault="00E91AE1" w:rsidP="001D2CEB">
      <w:pPr>
        <w:pStyle w:val="SubParagraph"/>
        <w:tabs>
          <w:tab w:val="clear" w:pos="1800"/>
        </w:tabs>
      </w:pPr>
      <w:r w:rsidRPr="00AA72EE">
        <w:rPr>
          <w:u w:val="single"/>
        </w:rPr>
        <w:t>(9)</w:t>
      </w:r>
      <w:r w:rsidRPr="00AA72EE">
        <w:tab/>
      </w:r>
      <w:r w:rsidRPr="00AA72EE">
        <w:rPr>
          <w:u w:val="single"/>
        </w:rPr>
        <w:t>student course materials;</w:t>
      </w:r>
    </w:p>
    <w:p w14:paraId="278DE97B" w14:textId="77777777" w:rsidR="00E91AE1" w:rsidRPr="00AA72EE" w:rsidRDefault="00E91AE1" w:rsidP="001D2CEB">
      <w:pPr>
        <w:pStyle w:val="SubParagraph"/>
        <w:tabs>
          <w:tab w:val="clear" w:pos="1800"/>
        </w:tabs>
      </w:pPr>
      <w:r w:rsidRPr="00AA72EE">
        <w:rPr>
          <w:u w:val="single"/>
        </w:rPr>
        <w:t>(10)</w:t>
      </w:r>
      <w:r w:rsidRPr="00AA72EE">
        <w:tab/>
      </w:r>
      <w:r w:rsidRPr="00AA72EE">
        <w:rPr>
          <w:u w:val="single"/>
        </w:rPr>
        <w:t>signed certifications pursuant to Rule .0204(b)(6) of this Section; and</w:t>
      </w:r>
    </w:p>
    <w:p w14:paraId="0A42C969" w14:textId="77777777" w:rsidR="00E91AE1" w:rsidRPr="00AA72EE" w:rsidRDefault="00E91AE1" w:rsidP="001D2CEB">
      <w:pPr>
        <w:pStyle w:val="SubParagraph"/>
        <w:tabs>
          <w:tab w:val="clear" w:pos="1800"/>
        </w:tabs>
      </w:pPr>
      <w:r w:rsidRPr="00AA72EE">
        <w:rPr>
          <w:u w:val="single"/>
        </w:rPr>
        <w:t>(11)</w:t>
      </w:r>
      <w:r w:rsidRPr="00AA72EE">
        <w:tab/>
      </w:r>
      <w:r w:rsidRPr="00AA72EE">
        <w:rPr>
          <w:u w:val="single"/>
        </w:rPr>
        <w:t>statements of consent pursuant to Rule .0206(c) of this Section.</w:t>
      </w:r>
    </w:p>
    <w:p w14:paraId="3F357DB0" w14:textId="77777777" w:rsidR="00E91AE1" w:rsidRPr="00AA72EE" w:rsidRDefault="00E91AE1" w:rsidP="001D2CEB">
      <w:pPr>
        <w:pStyle w:val="Base"/>
      </w:pPr>
    </w:p>
    <w:p w14:paraId="022399CA" w14:textId="4672E24D" w:rsidR="00E91AE1" w:rsidRPr="00AA72EE" w:rsidRDefault="00E91AE1" w:rsidP="00E91AE1">
      <w:pPr>
        <w:pStyle w:val="HistoryAuthority"/>
      </w:pPr>
      <w:r w:rsidRPr="00AA72EE">
        <w:t>Authority G.S. 93A</w:t>
      </w:r>
      <w:r w:rsidRPr="00AA72EE">
        <w:noBreakHyphen/>
        <w:t>4</w:t>
      </w:r>
      <w:r>
        <w:t>.</w:t>
      </w:r>
    </w:p>
    <w:p w14:paraId="2A4A6029" w14:textId="77777777" w:rsidR="00E91AE1" w:rsidRPr="00AA72EE" w:rsidRDefault="00E91AE1" w:rsidP="001D2CEB">
      <w:pPr>
        <w:pStyle w:val="Base"/>
      </w:pPr>
    </w:p>
    <w:p w14:paraId="0257C842" w14:textId="77777777" w:rsidR="00E91AE1" w:rsidRPr="0009789D" w:rsidRDefault="00E91AE1" w:rsidP="001D2CEB">
      <w:pPr>
        <w:pStyle w:val="Rule"/>
      </w:pPr>
      <w:r w:rsidRPr="0009789D">
        <w:t>21 NCAC 58H .0209</w:t>
      </w:r>
      <w:r w:rsidRPr="0009789D">
        <w:tab/>
      </w:r>
      <w:r w:rsidRPr="0009789D">
        <w:rPr>
          <w:strike/>
        </w:rPr>
        <w:t>Postlicensing Course enrollment</w:t>
      </w:r>
      <w:r w:rsidRPr="0009789D">
        <w:t xml:space="preserve"> </w:t>
      </w:r>
      <w:r w:rsidRPr="0009789D">
        <w:rPr>
          <w:u w:val="single"/>
        </w:rPr>
        <w:t>EXPIRATION AND RENEWAL of education provider certification</w:t>
      </w:r>
    </w:p>
    <w:p w14:paraId="7CAA4AC3" w14:textId="77777777" w:rsidR="00E91AE1" w:rsidRPr="0009789D" w:rsidRDefault="00E91AE1" w:rsidP="001D2CEB">
      <w:pPr>
        <w:pStyle w:val="Paragraph"/>
      </w:pPr>
      <w:r w:rsidRPr="0009789D">
        <w:rPr>
          <w:strike/>
        </w:rPr>
        <w:t>A school shall not enroll an individual in a Postlicensing course if:</w:t>
      </w:r>
    </w:p>
    <w:p w14:paraId="2C03234A" w14:textId="77777777" w:rsidR="00E91AE1" w:rsidRPr="0009789D" w:rsidRDefault="00E91AE1" w:rsidP="001D2CEB">
      <w:pPr>
        <w:pStyle w:val="Item"/>
        <w:tabs>
          <w:tab w:val="clear" w:pos="1800"/>
        </w:tabs>
      </w:pPr>
      <w:r w:rsidRPr="0009789D">
        <w:rPr>
          <w:strike/>
        </w:rPr>
        <w:t>(1)</w:t>
      </w:r>
      <w:r w:rsidRPr="0009789D">
        <w:tab/>
      </w:r>
      <w:r w:rsidRPr="0009789D">
        <w:rPr>
          <w:strike/>
        </w:rPr>
        <w:t>the first day of the Postlicensing course occurs while the individual is enrolled in a Prelicensing course; or</w:t>
      </w:r>
    </w:p>
    <w:p w14:paraId="0F6D8F73" w14:textId="77777777" w:rsidR="00E91AE1" w:rsidRPr="0009789D" w:rsidRDefault="00E91AE1" w:rsidP="001D2CEB">
      <w:pPr>
        <w:pStyle w:val="Item"/>
        <w:tabs>
          <w:tab w:val="clear" w:pos="1800"/>
        </w:tabs>
      </w:pPr>
      <w:r w:rsidRPr="0009789D">
        <w:rPr>
          <w:strike/>
        </w:rPr>
        <w:t>(2)</w:t>
      </w:r>
      <w:r w:rsidRPr="0009789D">
        <w:tab/>
      </w:r>
      <w:r w:rsidRPr="0009789D">
        <w:rPr>
          <w:strike/>
        </w:rPr>
        <w:t xml:space="preserve">the first day of the Postlicensing course occurs while the individual is taking another Postlicensing course at the same school or a different school if such enrollment results in the individual being in class for more than 30 instructional hours in any given </w:t>
      </w:r>
      <w:proofErr w:type="gramStart"/>
      <w:r w:rsidRPr="0009789D">
        <w:rPr>
          <w:strike/>
        </w:rPr>
        <w:t>seven day</w:t>
      </w:r>
      <w:proofErr w:type="gramEnd"/>
      <w:r w:rsidRPr="0009789D">
        <w:rPr>
          <w:strike/>
        </w:rPr>
        <w:t xml:space="preserve"> period.</w:t>
      </w:r>
    </w:p>
    <w:p w14:paraId="7924DFC7" w14:textId="77777777" w:rsidR="00E91AE1" w:rsidRPr="0096712F" w:rsidRDefault="00E91AE1" w:rsidP="001D2CEB">
      <w:pPr>
        <w:pStyle w:val="Paragraph"/>
        <w:rPr>
          <w:u w:val="single"/>
        </w:rPr>
      </w:pPr>
      <w:r w:rsidRPr="0096712F">
        <w:rPr>
          <w:u w:val="single"/>
        </w:rPr>
        <w:t>(a)  All education provider and public education provider certifications shall expire annually on June 30 following certification.</w:t>
      </w:r>
    </w:p>
    <w:p w14:paraId="16A9CD8E" w14:textId="77777777" w:rsidR="00E91AE1" w:rsidRPr="0096712F" w:rsidRDefault="00E91AE1" w:rsidP="001D2CEB">
      <w:pPr>
        <w:pStyle w:val="Paragraph"/>
        <w:rPr>
          <w:u w:val="single"/>
        </w:rPr>
      </w:pPr>
      <w:r w:rsidRPr="0096712F">
        <w:rPr>
          <w:u w:val="single"/>
        </w:rPr>
        <w:t>(b)  An education provider or a public education provider shall file an electronic application for renewal of its certification within 45 days immediately preceding expiration of certification on a form available on the Commission's website. The certification renewal application form shall include:</w:t>
      </w:r>
    </w:p>
    <w:p w14:paraId="0B3F8898" w14:textId="77777777" w:rsidR="00E91AE1" w:rsidRPr="0009789D" w:rsidRDefault="00E91AE1" w:rsidP="001D2CEB">
      <w:pPr>
        <w:pStyle w:val="Item"/>
        <w:tabs>
          <w:tab w:val="clear" w:pos="1800"/>
        </w:tabs>
      </w:pPr>
      <w:r w:rsidRPr="0009789D">
        <w:rPr>
          <w:u w:val="single"/>
        </w:rPr>
        <w:t>(1)</w:t>
      </w:r>
      <w:r w:rsidRPr="0009789D">
        <w:tab/>
      </w:r>
      <w:r w:rsidRPr="0009789D">
        <w:rPr>
          <w:u w:val="single"/>
        </w:rPr>
        <w:t>the education provider or public education provider's:</w:t>
      </w:r>
    </w:p>
    <w:p w14:paraId="1F67F80D" w14:textId="77777777" w:rsidR="00E91AE1" w:rsidRPr="0096712F" w:rsidRDefault="00E91AE1" w:rsidP="001D2CEB">
      <w:pPr>
        <w:pStyle w:val="Part"/>
        <w:rPr>
          <w:u w:val="single"/>
        </w:rPr>
      </w:pPr>
      <w:r w:rsidRPr="0096712F">
        <w:rPr>
          <w:u w:val="single"/>
        </w:rPr>
        <w:t>(A)</w:t>
      </w:r>
      <w:r w:rsidRPr="0096712F">
        <w:rPr>
          <w:u w:val="single"/>
        </w:rPr>
        <w:tab/>
        <w:t>name;</w:t>
      </w:r>
    </w:p>
    <w:p w14:paraId="72A3D37A" w14:textId="77777777" w:rsidR="00E91AE1" w:rsidRPr="0096712F" w:rsidRDefault="00E91AE1" w:rsidP="001D2CEB">
      <w:pPr>
        <w:pStyle w:val="Part"/>
        <w:rPr>
          <w:u w:val="single"/>
        </w:rPr>
      </w:pPr>
      <w:r w:rsidRPr="0096712F">
        <w:rPr>
          <w:u w:val="single"/>
        </w:rPr>
        <w:t>(B)</w:t>
      </w:r>
      <w:r w:rsidRPr="0096712F">
        <w:rPr>
          <w:u w:val="single"/>
        </w:rPr>
        <w:tab/>
        <w:t>number;</w:t>
      </w:r>
    </w:p>
    <w:p w14:paraId="11F4D779" w14:textId="77777777" w:rsidR="00E91AE1" w:rsidRPr="0096712F" w:rsidRDefault="00E91AE1" w:rsidP="001D2CEB">
      <w:pPr>
        <w:pStyle w:val="Part"/>
        <w:rPr>
          <w:u w:val="single"/>
        </w:rPr>
      </w:pPr>
      <w:r w:rsidRPr="0096712F">
        <w:rPr>
          <w:u w:val="single"/>
        </w:rPr>
        <w:t>(C)</w:t>
      </w:r>
      <w:r w:rsidRPr="0096712F">
        <w:rPr>
          <w:u w:val="single"/>
        </w:rPr>
        <w:tab/>
        <w:t>mailing address;</w:t>
      </w:r>
    </w:p>
    <w:p w14:paraId="78FB0303" w14:textId="77777777" w:rsidR="00E91AE1" w:rsidRPr="0096712F" w:rsidRDefault="00E91AE1" w:rsidP="001D2CEB">
      <w:pPr>
        <w:pStyle w:val="Part"/>
        <w:rPr>
          <w:u w:val="single"/>
        </w:rPr>
      </w:pPr>
      <w:r w:rsidRPr="0096712F">
        <w:rPr>
          <w:u w:val="single"/>
        </w:rPr>
        <w:t>(D)</w:t>
      </w:r>
      <w:r w:rsidRPr="0096712F">
        <w:rPr>
          <w:u w:val="single"/>
        </w:rPr>
        <w:tab/>
        <w:t>telephone number; and</w:t>
      </w:r>
    </w:p>
    <w:p w14:paraId="50AF83EC" w14:textId="77777777" w:rsidR="00E91AE1" w:rsidRPr="0096712F" w:rsidRDefault="00E91AE1" w:rsidP="001D2CEB">
      <w:pPr>
        <w:pStyle w:val="Part"/>
        <w:rPr>
          <w:u w:val="single"/>
        </w:rPr>
      </w:pPr>
      <w:r w:rsidRPr="0096712F">
        <w:rPr>
          <w:u w:val="single"/>
        </w:rPr>
        <w:t>(E)</w:t>
      </w:r>
      <w:r w:rsidRPr="0096712F">
        <w:rPr>
          <w:u w:val="single"/>
        </w:rPr>
        <w:tab/>
        <w:t>website address, if applicable; and</w:t>
      </w:r>
    </w:p>
    <w:p w14:paraId="7864DC0F" w14:textId="77777777" w:rsidR="00E91AE1" w:rsidRPr="0009789D" w:rsidRDefault="00E91AE1" w:rsidP="001D2CEB">
      <w:pPr>
        <w:pStyle w:val="Item"/>
        <w:tabs>
          <w:tab w:val="clear" w:pos="1800"/>
        </w:tabs>
      </w:pPr>
      <w:r w:rsidRPr="0009789D">
        <w:rPr>
          <w:u w:val="single"/>
        </w:rPr>
        <w:t>(2)</w:t>
      </w:r>
      <w:r w:rsidRPr="0009789D">
        <w:tab/>
      </w:r>
      <w:r w:rsidRPr="0009789D">
        <w:rPr>
          <w:u w:val="single"/>
        </w:rPr>
        <w:t>the education director's name and signature;</w:t>
      </w:r>
    </w:p>
    <w:p w14:paraId="505B17CB" w14:textId="77777777" w:rsidR="00E91AE1" w:rsidRPr="0009789D" w:rsidRDefault="00E91AE1" w:rsidP="001D2CEB">
      <w:pPr>
        <w:pStyle w:val="Item"/>
        <w:tabs>
          <w:tab w:val="clear" w:pos="1800"/>
        </w:tabs>
      </w:pPr>
      <w:r w:rsidRPr="0009789D">
        <w:rPr>
          <w:u w:val="single"/>
        </w:rPr>
        <w:t>(3)</w:t>
      </w:r>
      <w:r w:rsidRPr="0009789D">
        <w:tab/>
      </w:r>
      <w:r w:rsidRPr="0009789D">
        <w:rPr>
          <w:u w:val="single"/>
        </w:rPr>
        <w:t>all approved real estate courses offered;</w:t>
      </w:r>
    </w:p>
    <w:p w14:paraId="51ACB9C3" w14:textId="77777777" w:rsidR="00E91AE1" w:rsidRPr="0009789D" w:rsidRDefault="00E91AE1" w:rsidP="001D2CEB">
      <w:pPr>
        <w:pStyle w:val="Item"/>
        <w:tabs>
          <w:tab w:val="clear" w:pos="1800"/>
        </w:tabs>
      </w:pPr>
      <w:r w:rsidRPr="0009789D">
        <w:rPr>
          <w:u w:val="single"/>
        </w:rPr>
        <w:t>(4)</w:t>
      </w:r>
      <w:r w:rsidRPr="0009789D">
        <w:tab/>
      </w:r>
      <w:r w:rsidRPr="0009789D">
        <w:rPr>
          <w:u w:val="single"/>
        </w:rPr>
        <w:t>a copy of the education provider's Policies and Procedures Disclosure, if applicable;</w:t>
      </w:r>
    </w:p>
    <w:p w14:paraId="6A5F40B5" w14:textId="77777777" w:rsidR="00E91AE1" w:rsidRPr="0009789D" w:rsidRDefault="00E91AE1" w:rsidP="001D2CEB">
      <w:pPr>
        <w:pStyle w:val="Item"/>
        <w:tabs>
          <w:tab w:val="clear" w:pos="1800"/>
        </w:tabs>
      </w:pPr>
      <w:r w:rsidRPr="0009789D">
        <w:rPr>
          <w:u w:val="single"/>
        </w:rPr>
        <w:t>(5)</w:t>
      </w:r>
      <w:r w:rsidRPr="0009789D">
        <w:tab/>
      </w:r>
      <w:r w:rsidRPr="0009789D">
        <w:rPr>
          <w:u w:val="single"/>
        </w:rPr>
        <w:t>proof of bond as required in G.S. 93A-36, if applicable.</w:t>
      </w:r>
    </w:p>
    <w:p w14:paraId="63425BE9" w14:textId="77777777" w:rsidR="00E91AE1" w:rsidRPr="0096712F" w:rsidRDefault="00E91AE1" w:rsidP="001D2CEB">
      <w:pPr>
        <w:pStyle w:val="Paragraph"/>
        <w:rPr>
          <w:u w:val="single"/>
        </w:rPr>
      </w:pPr>
      <w:r w:rsidRPr="0096712F">
        <w:rPr>
          <w:u w:val="single"/>
        </w:rPr>
        <w:t xml:space="preserve">(c) </w:t>
      </w:r>
      <w:r>
        <w:rPr>
          <w:u w:val="single"/>
        </w:rPr>
        <w:t xml:space="preserve"> </w:t>
      </w:r>
      <w:r w:rsidRPr="0096712F">
        <w:rPr>
          <w:u w:val="single"/>
        </w:rPr>
        <w:t>Public education providers shall not be charged any fees to renew the education provider certification or course renewal.</w:t>
      </w:r>
    </w:p>
    <w:p w14:paraId="03CCD2AA" w14:textId="77777777" w:rsidR="00E91AE1" w:rsidRPr="0096712F" w:rsidRDefault="00E91AE1" w:rsidP="001D2CEB">
      <w:pPr>
        <w:pStyle w:val="Paragraph"/>
        <w:rPr>
          <w:u w:val="single"/>
        </w:rPr>
      </w:pPr>
      <w:r w:rsidRPr="0096712F">
        <w:rPr>
          <w:u w:val="single"/>
        </w:rPr>
        <w:t xml:space="preserve">(d) </w:t>
      </w:r>
      <w:r>
        <w:rPr>
          <w:u w:val="single"/>
        </w:rPr>
        <w:t xml:space="preserve"> </w:t>
      </w:r>
      <w:r w:rsidRPr="0096712F">
        <w:rPr>
          <w:u w:val="single"/>
        </w:rPr>
        <w:t>The education provider certification renewal fee shall be one hundred dollars ($100.00) for each education provider location.</w:t>
      </w:r>
    </w:p>
    <w:p w14:paraId="63BA6F24" w14:textId="77777777" w:rsidR="00E91AE1" w:rsidRPr="0096712F" w:rsidRDefault="00E91AE1" w:rsidP="001D2CEB">
      <w:pPr>
        <w:pStyle w:val="Paragraph"/>
        <w:rPr>
          <w:u w:val="single"/>
        </w:rPr>
      </w:pPr>
      <w:r w:rsidRPr="0096712F">
        <w:rPr>
          <w:u w:val="single"/>
        </w:rPr>
        <w:t xml:space="preserve">(e) </w:t>
      </w:r>
      <w:r>
        <w:rPr>
          <w:u w:val="single"/>
        </w:rPr>
        <w:t xml:space="preserve"> </w:t>
      </w:r>
      <w:r w:rsidRPr="0096712F">
        <w:rPr>
          <w:u w:val="single"/>
        </w:rPr>
        <w:t>The renewal fee for an education provider to offer a Prelicensing or Postlicensing course at any of its locations during the licensed period shall be twenty-five dollars ($25.00) per Prelicensing or Postlicensing course.</w:t>
      </w:r>
    </w:p>
    <w:p w14:paraId="02469871" w14:textId="77777777" w:rsidR="00E91AE1" w:rsidRPr="0096712F" w:rsidRDefault="00E91AE1" w:rsidP="001D2CEB">
      <w:pPr>
        <w:pStyle w:val="Paragraph"/>
        <w:rPr>
          <w:u w:val="single"/>
        </w:rPr>
      </w:pPr>
      <w:r w:rsidRPr="0096712F">
        <w:rPr>
          <w:u w:val="single"/>
        </w:rPr>
        <w:t>(f)</w:t>
      </w:r>
      <w:r>
        <w:rPr>
          <w:u w:val="single"/>
        </w:rPr>
        <w:t xml:space="preserve"> </w:t>
      </w:r>
      <w:r w:rsidRPr="0096712F">
        <w:rPr>
          <w:u w:val="single"/>
        </w:rPr>
        <w:t xml:space="preserve"> The renewal fee for an education provider to renew an approved continuing education elective course shall be fifty dollars ($50.00) per elective course.</w:t>
      </w:r>
    </w:p>
    <w:p w14:paraId="6952CACA" w14:textId="77777777" w:rsidR="00E91AE1" w:rsidRPr="0096712F" w:rsidRDefault="00E91AE1" w:rsidP="001D2CEB">
      <w:pPr>
        <w:pStyle w:val="Paragraph"/>
        <w:rPr>
          <w:u w:val="single"/>
        </w:rPr>
      </w:pPr>
      <w:r w:rsidRPr="0096712F">
        <w:rPr>
          <w:u w:val="single"/>
        </w:rPr>
        <w:t>(g)</w:t>
      </w:r>
      <w:r>
        <w:rPr>
          <w:u w:val="single"/>
        </w:rPr>
        <w:t xml:space="preserve"> </w:t>
      </w:r>
      <w:r w:rsidRPr="0096712F">
        <w:rPr>
          <w:u w:val="single"/>
        </w:rPr>
        <w:t xml:space="preserve"> The materials fee for an education provider to renew an Update course approval shall be one hundred dollars ($100.00).</w:t>
      </w:r>
    </w:p>
    <w:p w14:paraId="283A99E1" w14:textId="77777777" w:rsidR="00E91AE1" w:rsidRPr="0096712F" w:rsidRDefault="00E91AE1" w:rsidP="001D2CEB">
      <w:pPr>
        <w:pStyle w:val="Paragraph"/>
        <w:rPr>
          <w:u w:val="single"/>
        </w:rPr>
      </w:pPr>
      <w:r w:rsidRPr="0096712F">
        <w:rPr>
          <w:u w:val="single"/>
        </w:rPr>
        <w:t xml:space="preserve">(h) </w:t>
      </w:r>
      <w:r>
        <w:rPr>
          <w:u w:val="single"/>
        </w:rPr>
        <w:t xml:space="preserve"> </w:t>
      </w:r>
      <w:r w:rsidRPr="0096712F">
        <w:rPr>
          <w:u w:val="single"/>
        </w:rPr>
        <w:t xml:space="preserve">If an education provider or public education provider certification has expired, the education provider shall </w:t>
      </w:r>
      <w:proofErr w:type="gramStart"/>
      <w:r w:rsidRPr="0096712F">
        <w:rPr>
          <w:u w:val="single"/>
        </w:rPr>
        <w:t>submit an application</w:t>
      </w:r>
      <w:proofErr w:type="gramEnd"/>
      <w:r w:rsidRPr="0096712F">
        <w:rPr>
          <w:u w:val="single"/>
        </w:rPr>
        <w:t xml:space="preserve"> for original certification pursuant to Rule .0202 of this Subchapter.</w:t>
      </w:r>
    </w:p>
    <w:p w14:paraId="6B2E05D5" w14:textId="77777777" w:rsidR="00E91AE1" w:rsidRPr="0096712F" w:rsidRDefault="00E91AE1" w:rsidP="001D2CEB">
      <w:pPr>
        <w:pStyle w:val="Paragraph"/>
        <w:rPr>
          <w:u w:val="single"/>
        </w:rPr>
      </w:pPr>
      <w:r w:rsidRPr="0096712F">
        <w:rPr>
          <w:u w:val="single"/>
        </w:rPr>
        <w:t xml:space="preserve">(i) </w:t>
      </w:r>
      <w:r>
        <w:rPr>
          <w:u w:val="single"/>
        </w:rPr>
        <w:t xml:space="preserve"> </w:t>
      </w:r>
      <w:r w:rsidRPr="0096712F">
        <w:rPr>
          <w:u w:val="single"/>
        </w:rPr>
        <w:t>Commission approval of all Continuing Education courses shall expire on June 30. In order to obtain approval for an expired Continuing Education course, an education provider shall submit an original application pursuant to Rule .0401 of this Subchapter.</w:t>
      </w:r>
    </w:p>
    <w:p w14:paraId="5FA2A5F4" w14:textId="77777777" w:rsidR="00E91AE1" w:rsidRPr="0096712F" w:rsidRDefault="00E91AE1" w:rsidP="001D2CEB">
      <w:pPr>
        <w:pStyle w:val="Paragraph"/>
        <w:rPr>
          <w:u w:val="single"/>
        </w:rPr>
      </w:pPr>
      <w:r w:rsidRPr="0096712F">
        <w:rPr>
          <w:u w:val="single"/>
        </w:rPr>
        <w:t xml:space="preserve">(j) </w:t>
      </w:r>
      <w:r>
        <w:rPr>
          <w:u w:val="single"/>
        </w:rPr>
        <w:t xml:space="preserve"> </w:t>
      </w:r>
      <w:r w:rsidRPr="0096712F">
        <w:rPr>
          <w:u w:val="single"/>
        </w:rPr>
        <w:t>If an education provider transfers an aggregate of 50 percent or more of the ownership interest, the education provider shall notify the Commission in writing within 10 days of the transfer.</w:t>
      </w:r>
    </w:p>
    <w:p w14:paraId="7DC558EE" w14:textId="77777777" w:rsidR="00E91AE1" w:rsidRPr="0009789D" w:rsidRDefault="00E91AE1" w:rsidP="001D2CEB">
      <w:pPr>
        <w:pStyle w:val="Base"/>
      </w:pPr>
    </w:p>
    <w:p w14:paraId="16F193C1" w14:textId="364E3206" w:rsidR="00E91AE1" w:rsidRPr="0009789D" w:rsidRDefault="00E91AE1" w:rsidP="00E91AE1">
      <w:pPr>
        <w:pStyle w:val="HistoryAuthority"/>
      </w:pPr>
      <w:r w:rsidRPr="0009789D">
        <w:t xml:space="preserve">Authority G.S. </w:t>
      </w:r>
      <w:r w:rsidRPr="0009789D">
        <w:rPr>
          <w:strike/>
        </w:rPr>
        <w:t>93A-4(a1);</w:t>
      </w:r>
      <w:r w:rsidRPr="0009789D">
        <w:t xml:space="preserve"> </w:t>
      </w:r>
      <w:r w:rsidRPr="0009789D">
        <w:rPr>
          <w:u w:val="single"/>
        </w:rPr>
        <w:t>93A-4;</w:t>
      </w:r>
      <w:r w:rsidRPr="0009789D">
        <w:t xml:space="preserve"> 93A-33; </w:t>
      </w:r>
      <w:r w:rsidRPr="0009789D">
        <w:rPr>
          <w:u w:val="single"/>
        </w:rPr>
        <w:t>93A-34(b); 93A-35(b); 93A-36</w:t>
      </w:r>
      <w:r>
        <w:rPr>
          <w:u w:val="single"/>
        </w:rPr>
        <w:t>.</w:t>
      </w:r>
    </w:p>
    <w:p w14:paraId="09C5E093" w14:textId="77777777" w:rsidR="00E91AE1" w:rsidRPr="0009789D" w:rsidRDefault="00E91AE1" w:rsidP="001D2CEB">
      <w:pPr>
        <w:pStyle w:val="Base"/>
      </w:pPr>
    </w:p>
    <w:p w14:paraId="0745170F" w14:textId="77777777" w:rsidR="00E91AE1" w:rsidRPr="00031476" w:rsidRDefault="00E91AE1" w:rsidP="001D2CEB">
      <w:pPr>
        <w:pStyle w:val="Rule"/>
      </w:pPr>
      <w:r w:rsidRPr="00031476">
        <w:t>21 ncac 58H .0210</w:t>
      </w:r>
      <w:r w:rsidRPr="00031476">
        <w:tab/>
      </w:r>
      <w:r w:rsidRPr="00031476">
        <w:rPr>
          <w:strike/>
        </w:rPr>
        <w:t>Prelicensing and Postlicensing COURSE COMPLETION STANDARDS</w:t>
      </w:r>
      <w:r w:rsidRPr="00031476">
        <w:t xml:space="preserve"> </w:t>
      </w:r>
      <w:r w:rsidRPr="00031476">
        <w:rPr>
          <w:u w:val="single"/>
        </w:rPr>
        <w:t>DENIAL, WITHDRAWAL, or termination OF education provider certification</w:t>
      </w:r>
    </w:p>
    <w:p w14:paraId="00926203" w14:textId="77777777" w:rsidR="00E91AE1" w:rsidRPr="00031476" w:rsidRDefault="00E91AE1" w:rsidP="001D2CEB">
      <w:pPr>
        <w:pStyle w:val="Paragraph"/>
      </w:pPr>
      <w:r w:rsidRPr="00031476">
        <w:rPr>
          <w:strike/>
        </w:rPr>
        <w:t>(a)  To complete a Prelicensing course, a student shall, at a minimum:</w:t>
      </w:r>
    </w:p>
    <w:p w14:paraId="0AC6AC1D" w14:textId="77777777" w:rsidR="00E91AE1" w:rsidRPr="00031476" w:rsidRDefault="00E91AE1" w:rsidP="001D2CEB">
      <w:pPr>
        <w:pStyle w:val="SubParagraph"/>
        <w:tabs>
          <w:tab w:val="clear" w:pos="1800"/>
        </w:tabs>
      </w:pPr>
      <w:r w:rsidRPr="00031476">
        <w:rPr>
          <w:strike/>
        </w:rPr>
        <w:t>(1)</w:t>
      </w:r>
      <w:r w:rsidRPr="00031476">
        <w:tab/>
      </w:r>
      <w:r w:rsidRPr="00031476">
        <w:rPr>
          <w:strike/>
        </w:rPr>
        <w:t>attend at least eighty percent of all scheduled credit hours for the course; and</w:t>
      </w:r>
    </w:p>
    <w:p w14:paraId="02C58FA9" w14:textId="77777777" w:rsidR="00E91AE1" w:rsidRPr="00031476" w:rsidRDefault="00E91AE1" w:rsidP="001D2CEB">
      <w:pPr>
        <w:pStyle w:val="SubParagraph"/>
        <w:tabs>
          <w:tab w:val="clear" w:pos="1800"/>
        </w:tabs>
      </w:pPr>
      <w:r w:rsidRPr="00031476">
        <w:rPr>
          <w:strike/>
        </w:rPr>
        <w:t>(2)</w:t>
      </w:r>
      <w:r w:rsidRPr="00031476">
        <w:tab/>
      </w:r>
      <w:r w:rsidRPr="00031476">
        <w:rPr>
          <w:strike/>
        </w:rPr>
        <w:t>obtain a grade of at least seventy-five percent on the end-of-course examination.</w:t>
      </w:r>
    </w:p>
    <w:p w14:paraId="7024EB12" w14:textId="77777777" w:rsidR="00E91AE1" w:rsidRPr="00031476" w:rsidRDefault="00E91AE1" w:rsidP="001D2CEB">
      <w:pPr>
        <w:pStyle w:val="Paragraph"/>
      </w:pPr>
      <w:r w:rsidRPr="00031476">
        <w:rPr>
          <w:strike/>
        </w:rPr>
        <w:t>(b)  To complete a Postlicensing course, a student shall, at a minimum:</w:t>
      </w:r>
    </w:p>
    <w:p w14:paraId="535AFB3A" w14:textId="77777777" w:rsidR="00E91AE1" w:rsidRPr="00031476" w:rsidRDefault="00E91AE1" w:rsidP="001D2CEB">
      <w:pPr>
        <w:pStyle w:val="SubParagraph"/>
        <w:tabs>
          <w:tab w:val="clear" w:pos="1800"/>
        </w:tabs>
      </w:pPr>
      <w:r w:rsidRPr="00031476">
        <w:rPr>
          <w:strike/>
        </w:rPr>
        <w:t>(1)</w:t>
      </w:r>
      <w:r w:rsidRPr="00031476">
        <w:tab/>
      </w:r>
      <w:r w:rsidRPr="00031476">
        <w:rPr>
          <w:strike/>
        </w:rPr>
        <w:t>attend at least ninety percent of all scheduled credit hours for the course; and</w:t>
      </w:r>
    </w:p>
    <w:p w14:paraId="6464C599" w14:textId="77777777" w:rsidR="00E91AE1" w:rsidRPr="00031476" w:rsidRDefault="00E91AE1" w:rsidP="001D2CEB">
      <w:pPr>
        <w:pStyle w:val="SubParagraph"/>
        <w:tabs>
          <w:tab w:val="clear" w:pos="1800"/>
        </w:tabs>
      </w:pPr>
      <w:r w:rsidRPr="00031476">
        <w:rPr>
          <w:strike/>
        </w:rPr>
        <w:t>(2)</w:t>
      </w:r>
      <w:r w:rsidRPr="00031476">
        <w:tab/>
      </w:r>
      <w:r w:rsidRPr="00031476">
        <w:rPr>
          <w:strike/>
        </w:rPr>
        <w:t>obtain a grade of at least seventy-five percent on the end-of-course examination.</w:t>
      </w:r>
    </w:p>
    <w:p w14:paraId="08FD5D25" w14:textId="77777777" w:rsidR="00E91AE1" w:rsidRPr="00031476" w:rsidRDefault="00E91AE1" w:rsidP="001D2CEB">
      <w:pPr>
        <w:pStyle w:val="Paragraph"/>
      </w:pPr>
      <w:r w:rsidRPr="00031476">
        <w:rPr>
          <w:strike/>
        </w:rPr>
        <w:t xml:space="preserve">(c)  The end-of-course examination shall be completed in the classroom and proctored by the instructor or another school staff </w:t>
      </w:r>
      <w:r w:rsidRPr="00031476">
        <w:rPr>
          <w:strike/>
        </w:rPr>
        <w:lastRenderedPageBreak/>
        <w:t>member. Students shall not use textbooks or notes on the end-of-course examination.</w:t>
      </w:r>
    </w:p>
    <w:p w14:paraId="7AEB10C1" w14:textId="77777777" w:rsidR="00E91AE1" w:rsidRPr="00031476" w:rsidRDefault="00E91AE1" w:rsidP="001D2CEB">
      <w:pPr>
        <w:pStyle w:val="Paragraph"/>
      </w:pPr>
      <w:r w:rsidRPr="00031476">
        <w:rPr>
          <w:strike/>
        </w:rPr>
        <w:t>(d)  Prelicensing end-of-course examinations may be provided by the Commission for use by a licensed or approved school. If the Commission does not provide such end-of-course examination, or if a school elects not to use a Commission-provided examination, the school shall use an examination that tests students' knowledge and mastery of the course subject matter. Upon the request of the Commission during an application or investigation, the school shall provide a copy of its end-of-course examination.</w:t>
      </w:r>
    </w:p>
    <w:p w14:paraId="26EEC4C9" w14:textId="77777777" w:rsidR="00E91AE1" w:rsidRPr="00031476" w:rsidRDefault="00E91AE1" w:rsidP="001D2CEB">
      <w:pPr>
        <w:pStyle w:val="Paragraph"/>
      </w:pPr>
      <w:r w:rsidRPr="00031476">
        <w:rPr>
          <w:strike/>
        </w:rPr>
        <w:t>(e)  Postlicensing end-of-course examinations shall be provided by the Commission for use by a licensed or approved school.</w:t>
      </w:r>
    </w:p>
    <w:p w14:paraId="3100127C" w14:textId="77777777" w:rsidR="00E91AE1" w:rsidRPr="00031476" w:rsidRDefault="00E91AE1" w:rsidP="001D2CEB">
      <w:pPr>
        <w:pStyle w:val="Paragraph"/>
      </w:pPr>
      <w:r w:rsidRPr="00031476">
        <w:rPr>
          <w:strike/>
        </w:rPr>
        <w:t>(f)  A school may, within 30 days of the course ending date, allow a Prelicensing or Postlicensing course student opportunities to make-up a missed end-of-course examination or to retake a failed end-of-course examination without repeating the course. Postlicensing students shall be allowed at least one retake examination opportunity. Any make-up or repeat end-of-course examination shall consist of a different form of the examination than any previously administered in the student's course. If the examination used is not provided by the Commission, at least seventy-five percent of the questions shall be different from those previously included on any end-of-course examination used earlier in the student's course.</w:t>
      </w:r>
    </w:p>
    <w:p w14:paraId="6AD1F31D" w14:textId="77777777" w:rsidR="00E91AE1" w:rsidRPr="00031476" w:rsidRDefault="00E91AE1" w:rsidP="001D2CEB">
      <w:pPr>
        <w:pStyle w:val="Paragraph"/>
      </w:pPr>
      <w:r w:rsidRPr="00031476">
        <w:rPr>
          <w:strike/>
        </w:rPr>
        <w:t xml:space="preserve">(g)  Schools, school directors, and instructors </w:t>
      </w:r>
      <w:proofErr w:type="gramStart"/>
      <w:r w:rsidRPr="00031476">
        <w:rPr>
          <w:strike/>
        </w:rPr>
        <w:t>shall take steps to protect the security and integrity of course examinations at all times</w:t>
      </w:r>
      <w:proofErr w:type="gramEnd"/>
      <w:r w:rsidRPr="00031476">
        <w:rPr>
          <w:strike/>
        </w:rPr>
        <w:t>. These steps shall include:</w:t>
      </w:r>
    </w:p>
    <w:p w14:paraId="13689819" w14:textId="77777777" w:rsidR="00E91AE1" w:rsidRPr="00031476" w:rsidRDefault="00E91AE1" w:rsidP="001D2CEB">
      <w:pPr>
        <w:pStyle w:val="SubParagraph"/>
        <w:tabs>
          <w:tab w:val="clear" w:pos="1800"/>
        </w:tabs>
      </w:pPr>
      <w:r w:rsidRPr="00031476">
        <w:rPr>
          <w:strike/>
        </w:rPr>
        <w:t>(1)</w:t>
      </w:r>
      <w:r w:rsidRPr="00031476">
        <w:tab/>
      </w:r>
      <w:r w:rsidRPr="00031476">
        <w:rPr>
          <w:strike/>
        </w:rPr>
        <w:t>maintaining examinations and answer keys in a secure place, such as a locked area, accessible only to the instructor or school officials;</w:t>
      </w:r>
    </w:p>
    <w:p w14:paraId="2E9FB499" w14:textId="77777777" w:rsidR="00E91AE1" w:rsidRPr="00031476" w:rsidRDefault="00E91AE1" w:rsidP="001D2CEB">
      <w:pPr>
        <w:pStyle w:val="SubParagraph"/>
        <w:tabs>
          <w:tab w:val="clear" w:pos="1800"/>
        </w:tabs>
      </w:pPr>
      <w:r w:rsidRPr="00031476">
        <w:rPr>
          <w:strike/>
        </w:rPr>
        <w:t>(2)</w:t>
      </w:r>
      <w:r w:rsidRPr="00031476">
        <w:tab/>
      </w:r>
      <w:r w:rsidRPr="00031476">
        <w:rPr>
          <w:strike/>
        </w:rPr>
        <w:t>prohibiting students from retaining copies of examinations, answer sheets, and scratch paper containing notes or calculations, or any material that may jeopardize examination security;</w:t>
      </w:r>
    </w:p>
    <w:p w14:paraId="3FE0304B" w14:textId="77777777" w:rsidR="00E91AE1" w:rsidRPr="00031476" w:rsidRDefault="00E91AE1" w:rsidP="001D2CEB">
      <w:pPr>
        <w:pStyle w:val="SubParagraph"/>
        <w:tabs>
          <w:tab w:val="clear" w:pos="1800"/>
        </w:tabs>
      </w:pPr>
      <w:r w:rsidRPr="00031476">
        <w:rPr>
          <w:strike/>
        </w:rPr>
        <w:t>(3)</w:t>
      </w:r>
      <w:r w:rsidRPr="00031476">
        <w:tab/>
      </w:r>
      <w:r w:rsidRPr="00031476">
        <w:rPr>
          <w:strike/>
        </w:rPr>
        <w:t xml:space="preserve">monitoring students </w:t>
      </w:r>
      <w:proofErr w:type="gramStart"/>
      <w:r w:rsidRPr="00031476">
        <w:rPr>
          <w:strike/>
        </w:rPr>
        <w:t>at all times</w:t>
      </w:r>
      <w:proofErr w:type="gramEnd"/>
      <w:r w:rsidRPr="00031476">
        <w:rPr>
          <w:strike/>
        </w:rPr>
        <w:t xml:space="preserve"> when examinations are being administered; and</w:t>
      </w:r>
    </w:p>
    <w:p w14:paraId="16A97781" w14:textId="77777777" w:rsidR="00E91AE1" w:rsidRPr="00031476" w:rsidRDefault="00E91AE1" w:rsidP="001D2CEB">
      <w:pPr>
        <w:pStyle w:val="SubParagraph"/>
        <w:tabs>
          <w:tab w:val="clear" w:pos="1800"/>
        </w:tabs>
      </w:pPr>
      <w:r w:rsidRPr="00031476">
        <w:rPr>
          <w:strike/>
        </w:rPr>
        <w:t>(4)</w:t>
      </w:r>
      <w:r w:rsidRPr="00031476">
        <w:tab/>
      </w:r>
      <w:r w:rsidRPr="00031476">
        <w:rPr>
          <w:strike/>
        </w:rPr>
        <w:t>prohibiting students from reviewing examinations, answer sheets, scratch paper, or any material used during the examination after students have completed the examination.</w:t>
      </w:r>
    </w:p>
    <w:p w14:paraId="7E5A438F" w14:textId="77777777" w:rsidR="00E91AE1" w:rsidRPr="00031476" w:rsidRDefault="00E91AE1" w:rsidP="001D2CEB">
      <w:pPr>
        <w:pStyle w:val="Paragraph"/>
      </w:pPr>
      <w:r w:rsidRPr="00031476">
        <w:rPr>
          <w:strike/>
        </w:rPr>
        <w:t>(h)  Any student who is found to have cheated in any manner on any course examination shall be dismissed from the course and shall not be awarded a passing grade for the course or any credit for partial completion of the course. The school shall report the cheating incident in writing to the Commission within 10 days.</w:t>
      </w:r>
    </w:p>
    <w:p w14:paraId="67DED1E3" w14:textId="77777777" w:rsidR="00E91AE1" w:rsidRPr="00031476" w:rsidRDefault="00E91AE1" w:rsidP="001D2CEB">
      <w:pPr>
        <w:pStyle w:val="Paragraph"/>
      </w:pPr>
      <w:r w:rsidRPr="00031476">
        <w:rPr>
          <w:u w:val="single"/>
        </w:rPr>
        <w:t>(a)  The Commission may deny or withdraw certification of an education provider or suspend, revoke, or deny renewal of the certification of an education provider upon finding that an education provider:</w:t>
      </w:r>
    </w:p>
    <w:p w14:paraId="6A26E4ED" w14:textId="77777777" w:rsidR="00E91AE1" w:rsidRPr="00031476" w:rsidRDefault="00E91AE1" w:rsidP="001D2CEB">
      <w:pPr>
        <w:pStyle w:val="SubParagraph"/>
        <w:tabs>
          <w:tab w:val="clear" w:pos="1800"/>
        </w:tabs>
      </w:pPr>
      <w:r w:rsidRPr="00031476">
        <w:rPr>
          <w:u w:val="single"/>
        </w:rPr>
        <w:t>(1)</w:t>
      </w:r>
      <w:r w:rsidRPr="00031476">
        <w:tab/>
      </w:r>
      <w:r w:rsidRPr="00031476">
        <w:rPr>
          <w:u w:val="single"/>
        </w:rPr>
        <w:t>official was found by a court or government agency of competent jurisdiction to have violated any state or federal law;</w:t>
      </w:r>
    </w:p>
    <w:p w14:paraId="712954C7" w14:textId="77777777" w:rsidR="00E91AE1" w:rsidRPr="00031476" w:rsidRDefault="00E91AE1" w:rsidP="001D2CEB">
      <w:pPr>
        <w:pStyle w:val="SubParagraph"/>
        <w:tabs>
          <w:tab w:val="clear" w:pos="1800"/>
        </w:tabs>
      </w:pPr>
      <w:r w:rsidRPr="00031476">
        <w:rPr>
          <w:u w:val="single"/>
        </w:rPr>
        <w:t>(2)</w:t>
      </w:r>
      <w:r w:rsidRPr="00031476">
        <w:tab/>
      </w:r>
      <w:r w:rsidRPr="00031476">
        <w:rPr>
          <w:u w:val="single"/>
        </w:rPr>
        <w:t>made any false statements or presented any false, incomplete, or incorrect information in connection with an application;</w:t>
      </w:r>
    </w:p>
    <w:p w14:paraId="59A639B9" w14:textId="77777777" w:rsidR="00E91AE1" w:rsidRPr="00031476" w:rsidRDefault="00E91AE1" w:rsidP="001D2CEB">
      <w:pPr>
        <w:pStyle w:val="SubParagraph"/>
        <w:tabs>
          <w:tab w:val="clear" w:pos="1800"/>
        </w:tabs>
      </w:pPr>
      <w:r w:rsidRPr="00031476">
        <w:rPr>
          <w:u w:val="single"/>
        </w:rPr>
        <w:t>(3)</w:t>
      </w:r>
      <w:r w:rsidRPr="00031476">
        <w:tab/>
      </w:r>
      <w:r w:rsidRPr="00031476">
        <w:rPr>
          <w:u w:val="single"/>
        </w:rPr>
        <w:t>failed to provide or provided false, incomplete, or incorrect information in connection with any report the education provider is required to submit to the Commission;</w:t>
      </w:r>
    </w:p>
    <w:p w14:paraId="5901498B" w14:textId="77777777" w:rsidR="00E91AE1" w:rsidRPr="00031476" w:rsidRDefault="00E91AE1" w:rsidP="001D2CEB">
      <w:pPr>
        <w:pStyle w:val="SubParagraph"/>
        <w:tabs>
          <w:tab w:val="clear" w:pos="1800"/>
        </w:tabs>
      </w:pPr>
      <w:r w:rsidRPr="00031476">
        <w:rPr>
          <w:u w:val="single"/>
        </w:rPr>
        <w:t>(4)</w:t>
      </w:r>
      <w:r w:rsidRPr="00031476">
        <w:tab/>
      </w:r>
      <w:r w:rsidRPr="00031476">
        <w:rPr>
          <w:u w:val="single"/>
        </w:rPr>
        <w:t>presented to its students or prospective students false or misleading information relating to its instructional program, to the instructional programs of other institutions, or related to employment opportunities;</w:t>
      </w:r>
    </w:p>
    <w:p w14:paraId="216F4372" w14:textId="77777777" w:rsidR="00E91AE1" w:rsidRPr="00031476" w:rsidRDefault="00E91AE1" w:rsidP="001D2CEB">
      <w:pPr>
        <w:pStyle w:val="SubParagraph"/>
        <w:tabs>
          <w:tab w:val="clear" w:pos="1800"/>
        </w:tabs>
      </w:pPr>
      <w:r w:rsidRPr="00031476">
        <w:rPr>
          <w:u w:val="single"/>
        </w:rPr>
        <w:t>(5)</w:t>
      </w:r>
      <w:r w:rsidRPr="00031476">
        <w:tab/>
      </w:r>
      <w:r w:rsidRPr="00031476">
        <w:rPr>
          <w:u w:val="single"/>
        </w:rPr>
        <w:t>collected money from students but refused or failed to provide the promised instruction;</w:t>
      </w:r>
    </w:p>
    <w:p w14:paraId="447B401C" w14:textId="77777777" w:rsidR="00E91AE1" w:rsidRPr="00031476" w:rsidRDefault="00E91AE1" w:rsidP="001D2CEB">
      <w:pPr>
        <w:pStyle w:val="SubParagraph"/>
        <w:tabs>
          <w:tab w:val="clear" w:pos="1800"/>
        </w:tabs>
      </w:pPr>
      <w:r w:rsidRPr="00031476">
        <w:rPr>
          <w:u w:val="single"/>
        </w:rPr>
        <w:t>(6)</w:t>
      </w:r>
      <w:r w:rsidRPr="00031476">
        <w:tab/>
      </w:r>
      <w:r w:rsidRPr="00031476">
        <w:rPr>
          <w:u w:val="single"/>
        </w:rPr>
        <w:t>failed to submit the per student fee as required by G.S. 93A-4(a2) or 93A-38.5(d);</w:t>
      </w:r>
    </w:p>
    <w:p w14:paraId="475747E4" w14:textId="77777777" w:rsidR="00E91AE1" w:rsidRPr="00031476" w:rsidRDefault="00E91AE1" w:rsidP="001D2CEB">
      <w:pPr>
        <w:pStyle w:val="SubParagraph"/>
        <w:tabs>
          <w:tab w:val="clear" w:pos="1800"/>
        </w:tabs>
      </w:pPr>
      <w:r w:rsidRPr="00031476">
        <w:rPr>
          <w:u w:val="single"/>
        </w:rPr>
        <w:t>(7)</w:t>
      </w:r>
      <w:r w:rsidRPr="00031476">
        <w:tab/>
      </w:r>
      <w:r w:rsidRPr="00031476">
        <w:rPr>
          <w:u w:val="single"/>
        </w:rPr>
        <w:t>refused at any time to permit authorized representatives of the Commission to inspect the education provider's facilities or audit its courses;</w:t>
      </w:r>
    </w:p>
    <w:p w14:paraId="7A6DC7DF" w14:textId="77777777" w:rsidR="00E91AE1" w:rsidRPr="00031476" w:rsidRDefault="00E91AE1" w:rsidP="001D2CEB">
      <w:pPr>
        <w:pStyle w:val="SubParagraph"/>
        <w:tabs>
          <w:tab w:val="clear" w:pos="1800"/>
        </w:tabs>
      </w:pPr>
      <w:r w:rsidRPr="00031476">
        <w:rPr>
          <w:u w:val="single"/>
        </w:rPr>
        <w:t>(8)</w:t>
      </w:r>
      <w:r w:rsidRPr="00031476">
        <w:tab/>
      </w:r>
      <w:r w:rsidRPr="00031476">
        <w:rPr>
          <w:u w:val="single"/>
        </w:rPr>
        <w:t>or education director violated the rules of this Subchapter or was disciplined by the Commission under G.S. 93A-6;</w:t>
      </w:r>
    </w:p>
    <w:p w14:paraId="6099B23E" w14:textId="77777777" w:rsidR="00E91AE1" w:rsidRPr="00031476" w:rsidRDefault="00E91AE1" w:rsidP="001D2CEB">
      <w:pPr>
        <w:pStyle w:val="SubParagraph"/>
        <w:tabs>
          <w:tab w:val="clear" w:pos="1800"/>
        </w:tabs>
      </w:pPr>
      <w:r w:rsidRPr="00031476">
        <w:rPr>
          <w:u w:val="single"/>
        </w:rPr>
        <w:t>(9)</w:t>
      </w:r>
      <w:r w:rsidRPr="00031476">
        <w:tab/>
      </w:r>
      <w:r w:rsidRPr="00031476">
        <w:rPr>
          <w:u w:val="single"/>
        </w:rPr>
        <w:t>obtained or used, or attempted to obtain or use, in any manner or form, North Carolina real estate license examination questions;</w:t>
      </w:r>
    </w:p>
    <w:p w14:paraId="0357D4A9" w14:textId="77777777" w:rsidR="00E91AE1" w:rsidRPr="00031476" w:rsidRDefault="00E91AE1" w:rsidP="001D2CEB">
      <w:pPr>
        <w:pStyle w:val="SubParagraph"/>
        <w:tabs>
          <w:tab w:val="clear" w:pos="1800"/>
        </w:tabs>
      </w:pPr>
      <w:r w:rsidRPr="00031476">
        <w:rPr>
          <w:u w:val="single"/>
        </w:rPr>
        <w:t>(10)</w:t>
      </w:r>
      <w:r w:rsidRPr="00031476">
        <w:tab/>
      </w:r>
      <w:r w:rsidRPr="00031476">
        <w:rPr>
          <w:u w:val="single"/>
        </w:rPr>
        <w:t>failed to provide to the Commission a written plan describing the changes the education provider made or intends to make in its instructional program including instructors, course materials, methods of student evaluation, and completion standards to improve the performance of the education provider's students on the license examination within 30 days of the Commission's request during an investigation or application process;</w:t>
      </w:r>
    </w:p>
    <w:p w14:paraId="5B860C98" w14:textId="77777777" w:rsidR="00E91AE1" w:rsidRPr="00031476" w:rsidRDefault="00E91AE1" w:rsidP="001D2CEB">
      <w:pPr>
        <w:pStyle w:val="SubParagraph"/>
        <w:tabs>
          <w:tab w:val="clear" w:pos="1800"/>
        </w:tabs>
      </w:pPr>
      <w:r w:rsidRPr="00031476">
        <w:rPr>
          <w:u w:val="single"/>
        </w:rPr>
        <w:t>(11)</w:t>
      </w:r>
      <w:r w:rsidRPr="00031476">
        <w:tab/>
      </w:r>
      <w:r w:rsidRPr="00031476">
        <w:rPr>
          <w:u w:val="single"/>
        </w:rPr>
        <w:t>provided the Commission a fee that was dishonored by a bank or returned for insufficient funds;</w:t>
      </w:r>
    </w:p>
    <w:p w14:paraId="409DFBB6" w14:textId="77777777" w:rsidR="00E91AE1" w:rsidRPr="00031476" w:rsidRDefault="00E91AE1" w:rsidP="001D2CEB">
      <w:pPr>
        <w:pStyle w:val="SubParagraph"/>
        <w:tabs>
          <w:tab w:val="clear" w:pos="1800"/>
        </w:tabs>
      </w:pPr>
      <w:r w:rsidRPr="00031476">
        <w:rPr>
          <w:u w:val="single"/>
        </w:rPr>
        <w:t>(12)</w:t>
      </w:r>
      <w:r w:rsidRPr="00031476">
        <w:tab/>
      </w:r>
      <w:r w:rsidRPr="00031476">
        <w:rPr>
          <w:u w:val="single"/>
        </w:rPr>
        <w:t>Certificate of Authority was revoked, subject to a revenue suspension, or subject to administrative dissolution by the NC Secretary of State;</w:t>
      </w:r>
    </w:p>
    <w:p w14:paraId="07CE3C74" w14:textId="77777777" w:rsidR="00E91AE1" w:rsidRPr="00031476" w:rsidRDefault="00E91AE1" w:rsidP="001D2CEB">
      <w:pPr>
        <w:pStyle w:val="SubParagraph"/>
        <w:tabs>
          <w:tab w:val="clear" w:pos="1800"/>
        </w:tabs>
      </w:pPr>
      <w:r w:rsidRPr="00031476">
        <w:rPr>
          <w:u w:val="single"/>
        </w:rPr>
        <w:t>(13)</w:t>
      </w:r>
      <w:r w:rsidRPr="00031476">
        <w:tab/>
      </w:r>
      <w:r w:rsidRPr="00031476">
        <w:rPr>
          <w:u w:val="single"/>
        </w:rPr>
        <w:t>failed to utilize course materials pursuant to Rule .0205 of this Section;</w:t>
      </w:r>
    </w:p>
    <w:p w14:paraId="0DF1DE9F" w14:textId="77777777" w:rsidR="00E91AE1" w:rsidRPr="00031476" w:rsidRDefault="00E91AE1" w:rsidP="001D2CEB">
      <w:pPr>
        <w:pStyle w:val="SubParagraph"/>
        <w:tabs>
          <w:tab w:val="clear" w:pos="1800"/>
        </w:tabs>
      </w:pPr>
      <w:r w:rsidRPr="00031476">
        <w:rPr>
          <w:u w:val="single"/>
        </w:rPr>
        <w:t>(14)</w:t>
      </w:r>
      <w:r w:rsidRPr="00031476">
        <w:tab/>
      </w:r>
      <w:r w:rsidRPr="00031476">
        <w:rPr>
          <w:u w:val="single"/>
        </w:rPr>
        <w:t>failed to submit reports pursuant to Rule .0207 of this Section;</w:t>
      </w:r>
    </w:p>
    <w:p w14:paraId="12F6413F" w14:textId="77777777" w:rsidR="00E91AE1" w:rsidRPr="00031476" w:rsidRDefault="00E91AE1" w:rsidP="001D2CEB">
      <w:pPr>
        <w:pStyle w:val="SubParagraph"/>
        <w:tabs>
          <w:tab w:val="clear" w:pos="1800"/>
        </w:tabs>
      </w:pPr>
      <w:r w:rsidRPr="00031476">
        <w:rPr>
          <w:u w:val="single"/>
        </w:rPr>
        <w:t>(15)</w:t>
      </w:r>
      <w:r w:rsidRPr="00031476">
        <w:tab/>
      </w:r>
      <w:r w:rsidRPr="00031476">
        <w:rPr>
          <w:u w:val="single"/>
        </w:rPr>
        <w:t>provided false, incomplete, or misleading information relating to real estate licensing, education matters, or the broker's education needs or license status; or</w:t>
      </w:r>
    </w:p>
    <w:p w14:paraId="0C31CC4E" w14:textId="77777777" w:rsidR="00E91AE1" w:rsidRPr="00031476" w:rsidRDefault="00E91AE1" w:rsidP="001D2CEB">
      <w:pPr>
        <w:pStyle w:val="SubParagraph"/>
        <w:tabs>
          <w:tab w:val="clear" w:pos="1800"/>
        </w:tabs>
      </w:pPr>
      <w:r w:rsidRPr="00031476">
        <w:rPr>
          <w:u w:val="single"/>
        </w:rPr>
        <w:t>(16)</w:t>
      </w:r>
      <w:r w:rsidRPr="00031476">
        <w:tab/>
      </w:r>
      <w:r w:rsidRPr="00031476">
        <w:rPr>
          <w:u w:val="single"/>
        </w:rPr>
        <w:t>refused or failed to comply with the provisions of this Subchapter.</w:t>
      </w:r>
    </w:p>
    <w:p w14:paraId="6D778B93" w14:textId="77777777" w:rsidR="00E91AE1" w:rsidRPr="00031476" w:rsidRDefault="00E91AE1" w:rsidP="001D2CEB">
      <w:pPr>
        <w:pStyle w:val="Paragraph"/>
      </w:pPr>
      <w:r w:rsidRPr="00031476">
        <w:rPr>
          <w:u w:val="single"/>
        </w:rPr>
        <w:t>(b)  A broker shall be subject to discipline pursuant to G.S. 93A-6 if the broker engages in dishonest, fraudulent, or improper conduct in connection with the operations of an education provider if that broker:</w:t>
      </w:r>
    </w:p>
    <w:p w14:paraId="1E326BEF" w14:textId="77777777" w:rsidR="00E91AE1" w:rsidRPr="00031476" w:rsidRDefault="00E91AE1" w:rsidP="001D2CEB">
      <w:pPr>
        <w:pStyle w:val="SubParagraph"/>
        <w:tabs>
          <w:tab w:val="clear" w:pos="1800"/>
        </w:tabs>
      </w:pPr>
      <w:r w:rsidRPr="00031476">
        <w:rPr>
          <w:u w:val="single"/>
        </w:rPr>
        <w:t>(1)</w:t>
      </w:r>
      <w:r w:rsidRPr="00031476">
        <w:tab/>
      </w:r>
      <w:r w:rsidRPr="00031476">
        <w:rPr>
          <w:u w:val="single"/>
        </w:rPr>
        <w:t>has an ownership interest in the education provider;</w:t>
      </w:r>
    </w:p>
    <w:p w14:paraId="0F636819" w14:textId="77777777" w:rsidR="00E91AE1" w:rsidRPr="00031476" w:rsidRDefault="00E91AE1" w:rsidP="001D2CEB">
      <w:pPr>
        <w:pStyle w:val="SubParagraph"/>
        <w:tabs>
          <w:tab w:val="clear" w:pos="1800"/>
        </w:tabs>
      </w:pPr>
      <w:r w:rsidRPr="00031476">
        <w:rPr>
          <w:u w:val="single"/>
        </w:rPr>
        <w:t>(2)</w:t>
      </w:r>
      <w:r w:rsidRPr="00031476">
        <w:tab/>
      </w:r>
      <w:r w:rsidRPr="00031476">
        <w:rPr>
          <w:u w:val="single"/>
        </w:rPr>
        <w:t>is the education director; or</w:t>
      </w:r>
    </w:p>
    <w:p w14:paraId="739D4A5D" w14:textId="77777777" w:rsidR="00E91AE1" w:rsidRPr="00031476" w:rsidRDefault="00E91AE1" w:rsidP="001D2CEB">
      <w:pPr>
        <w:pStyle w:val="SubParagraph"/>
        <w:tabs>
          <w:tab w:val="clear" w:pos="1800"/>
        </w:tabs>
      </w:pPr>
      <w:r w:rsidRPr="00031476">
        <w:rPr>
          <w:u w:val="single"/>
        </w:rPr>
        <w:t>(3)</w:t>
      </w:r>
      <w:r w:rsidRPr="00031476">
        <w:tab/>
      </w:r>
      <w:r w:rsidRPr="00031476">
        <w:rPr>
          <w:u w:val="single"/>
        </w:rPr>
        <w:t>is an instructor for an education provider.</w:t>
      </w:r>
    </w:p>
    <w:p w14:paraId="743AD655" w14:textId="77777777" w:rsidR="00E91AE1" w:rsidRPr="00031476" w:rsidRDefault="00E91AE1" w:rsidP="001D2CEB">
      <w:pPr>
        <w:pStyle w:val="Paragraph"/>
      </w:pPr>
      <w:r w:rsidRPr="00031476">
        <w:rPr>
          <w:u w:val="single"/>
        </w:rPr>
        <w:t>(c)  The Commission shall withdraw an education provider's certification when its annual License Examination Performance Record fails to exceed 40 percent in each of the previous two license years.</w:t>
      </w:r>
      <w:r>
        <w:rPr>
          <w:u w:val="single"/>
        </w:rPr>
        <w:t xml:space="preserve"> </w:t>
      </w:r>
      <w:r w:rsidRPr="00031476">
        <w:rPr>
          <w:u w:val="single"/>
        </w:rPr>
        <w:t>Following withdrawal, the education provider shall be ineligible to apply for certification for a period of one year.</w:t>
      </w:r>
    </w:p>
    <w:p w14:paraId="103D6129" w14:textId="77777777" w:rsidR="00E91AE1" w:rsidRPr="00031476" w:rsidRDefault="00E91AE1" w:rsidP="001D2CEB">
      <w:pPr>
        <w:pStyle w:val="Paragraph"/>
      </w:pPr>
      <w:r w:rsidRPr="00031476">
        <w:rPr>
          <w:u w:val="single"/>
        </w:rPr>
        <w:lastRenderedPageBreak/>
        <w:t>(d)  When ownership of a certified education provider is transferred and the education provider ceases to operate as the certified entity, the certification is not transferable and shall terminate on the effective date of the transfer. All courses shall be completed by the effective date of the transfer. The transferring owner shall report course completion(s) to the Commission. The new entity shall obtain an original certification for each location where the education provider will conduct courses as required by G.S. 93A-34 and Rule .0202 of this Section prior to advertising courses, registering students, accepting tuition, conducting courses, or otherwise engaging in any education provider operations.</w:t>
      </w:r>
    </w:p>
    <w:p w14:paraId="1DC51320" w14:textId="77777777" w:rsidR="00E91AE1" w:rsidRPr="00031476" w:rsidRDefault="00E91AE1" w:rsidP="001D2CEB">
      <w:pPr>
        <w:pStyle w:val="Base"/>
      </w:pPr>
    </w:p>
    <w:p w14:paraId="2C7B7311" w14:textId="18F0EF0E" w:rsidR="00E91AE1" w:rsidRPr="00031476" w:rsidRDefault="00E91AE1" w:rsidP="00E91AE1">
      <w:pPr>
        <w:pStyle w:val="HistoryAuthority"/>
      </w:pPr>
      <w:r w:rsidRPr="00031476">
        <w:t xml:space="preserve">Authority G.S. </w:t>
      </w:r>
      <w:r w:rsidRPr="00031476">
        <w:rPr>
          <w:strike/>
        </w:rPr>
        <w:t>93A</w:t>
      </w:r>
      <w:r w:rsidRPr="00031476">
        <w:rPr>
          <w:strike/>
        </w:rPr>
        <w:noBreakHyphen/>
        <w:t>4; 93A-33;</w:t>
      </w:r>
      <w:r w:rsidRPr="00031476">
        <w:t xml:space="preserve"> 93A</w:t>
      </w:r>
      <w:r w:rsidRPr="00031476">
        <w:noBreakHyphen/>
        <w:t>4(d); 93A-34(c); 93A-35(c); 93A-38</w:t>
      </w:r>
      <w:r>
        <w:t>.</w:t>
      </w:r>
    </w:p>
    <w:p w14:paraId="365ABD30" w14:textId="77777777" w:rsidR="00E91AE1" w:rsidRPr="00031476" w:rsidRDefault="00E91AE1" w:rsidP="001D2CEB">
      <w:pPr>
        <w:pStyle w:val="Base"/>
      </w:pPr>
    </w:p>
    <w:p w14:paraId="5218AAC3" w14:textId="77777777" w:rsidR="00E91AE1" w:rsidRPr="00EC4313" w:rsidRDefault="00E91AE1" w:rsidP="001D2CEB">
      <w:pPr>
        <w:pStyle w:val="Rule"/>
      </w:pPr>
      <w:r w:rsidRPr="00EC4313">
        <w:t>21 NCAC 58H .0211</w:t>
      </w:r>
      <w:r w:rsidRPr="00EC4313">
        <w:tab/>
        <w:t>Prelicensing and Postlicensing ROSTER REPORTING</w:t>
      </w:r>
    </w:p>
    <w:p w14:paraId="175BC9E4" w14:textId="77777777" w:rsidR="00E91AE1" w:rsidRPr="00EC4313" w:rsidRDefault="00E91AE1" w:rsidP="001D2CEB">
      <w:pPr>
        <w:pStyle w:val="Rule"/>
      </w:pPr>
      <w:r w:rsidRPr="00EC4313">
        <w:t>21 NCAC 58H .0212</w:t>
      </w:r>
      <w:r w:rsidRPr="00EC4313">
        <w:tab/>
        <w:t>SCHOOL RECORDS</w:t>
      </w:r>
    </w:p>
    <w:p w14:paraId="375CFB82" w14:textId="77777777" w:rsidR="00E91AE1" w:rsidRPr="00EC4313" w:rsidRDefault="00E91AE1" w:rsidP="001D2CEB">
      <w:pPr>
        <w:pStyle w:val="Rule"/>
      </w:pPr>
      <w:r w:rsidRPr="00EC4313">
        <w:t>21 NCAC 58H .0213</w:t>
      </w:r>
      <w:r w:rsidRPr="00EC4313">
        <w:tab/>
        <w:t>EVALUATIONS OF INSTRUCTOR PERFORMANCE</w:t>
      </w:r>
    </w:p>
    <w:p w14:paraId="05296F3D" w14:textId="77777777" w:rsidR="00E91AE1" w:rsidRPr="00EC4313" w:rsidRDefault="00E91AE1" w:rsidP="001D2CEB">
      <w:pPr>
        <w:pStyle w:val="Rule"/>
      </w:pPr>
      <w:r w:rsidRPr="00EC4313">
        <w:t>21 NCAC 58H .0214</w:t>
      </w:r>
      <w:r w:rsidRPr="00EC4313">
        <w:tab/>
        <w:t>EXPIRATION AND RENEWAL of A School APPROVAL or LicensE</w:t>
      </w:r>
    </w:p>
    <w:p w14:paraId="219D35CD" w14:textId="77777777" w:rsidR="00E91AE1" w:rsidRPr="00EC4313" w:rsidRDefault="00E91AE1" w:rsidP="001D2CEB">
      <w:pPr>
        <w:pStyle w:val="Rule"/>
      </w:pPr>
      <w:r w:rsidRPr="00EC4313">
        <w:t>21 NCAC 58H .0215</w:t>
      </w:r>
      <w:r w:rsidRPr="00EC4313">
        <w:tab/>
        <w:t>DENIAL, WITHDRAWAL, or termination OF SCHOOL APPROVAL or License</w:t>
      </w:r>
    </w:p>
    <w:p w14:paraId="2725CD9E" w14:textId="77777777" w:rsidR="00E91AE1" w:rsidRPr="00EC4313" w:rsidRDefault="00E91AE1" w:rsidP="001D2CEB">
      <w:pPr>
        <w:pStyle w:val="Base"/>
      </w:pPr>
    </w:p>
    <w:p w14:paraId="704DFF8F" w14:textId="1D9B77A7" w:rsidR="00E91AE1" w:rsidRDefault="00E91AE1" w:rsidP="00E91AE1">
      <w:pPr>
        <w:pStyle w:val="HistoryAuthority"/>
      </w:pPr>
      <w:r w:rsidRPr="00EC4313">
        <w:t>Authority G.S. 93A</w:t>
      </w:r>
      <w:r w:rsidRPr="00EC4313">
        <w:noBreakHyphen/>
        <w:t xml:space="preserve">4; </w:t>
      </w:r>
      <w:r>
        <w:t xml:space="preserve">93A-33; </w:t>
      </w:r>
      <w:r w:rsidRPr="00EC4313">
        <w:t>93A-34; 93A-35;</w:t>
      </w:r>
      <w:r>
        <w:t xml:space="preserve"> </w:t>
      </w:r>
      <w:r w:rsidRPr="00EC4313">
        <w:t>93A-36; 93A-38</w:t>
      </w:r>
      <w:r>
        <w:t>.</w:t>
      </w:r>
    </w:p>
    <w:p w14:paraId="42DCC2F0" w14:textId="77777777" w:rsidR="00E91AE1" w:rsidRPr="00EC4313" w:rsidRDefault="00E91AE1" w:rsidP="001D2CEB">
      <w:pPr>
        <w:pStyle w:val="Base"/>
      </w:pPr>
    </w:p>
    <w:p w14:paraId="2A2F596A" w14:textId="77777777" w:rsidR="00E91AE1" w:rsidRPr="00310322" w:rsidRDefault="00E91AE1" w:rsidP="001D2CEB">
      <w:pPr>
        <w:pStyle w:val="Section"/>
      </w:pPr>
      <w:r w:rsidRPr="00310322">
        <w:t>SECTION .0300 – approved instructors</w:t>
      </w:r>
    </w:p>
    <w:p w14:paraId="75860462" w14:textId="77777777" w:rsidR="00E91AE1" w:rsidRPr="00310322" w:rsidRDefault="00E91AE1" w:rsidP="001D2CEB">
      <w:pPr>
        <w:pStyle w:val="Base"/>
      </w:pPr>
    </w:p>
    <w:p w14:paraId="31630B61" w14:textId="77777777" w:rsidR="00E91AE1" w:rsidRPr="00310322" w:rsidRDefault="00E91AE1" w:rsidP="001D2CEB">
      <w:pPr>
        <w:pStyle w:val="Rule"/>
      </w:pPr>
      <w:r w:rsidRPr="00310322">
        <w:t>21 NCAC 58H .0301</w:t>
      </w:r>
      <w:r w:rsidRPr="00310322">
        <w:tab/>
        <w:t>Prelicensing, Postlicensing, and update course INSTRUCTOR APPROVAL</w:t>
      </w:r>
    </w:p>
    <w:p w14:paraId="3FB851BE" w14:textId="77777777" w:rsidR="00E91AE1" w:rsidRPr="00310322" w:rsidRDefault="00E91AE1" w:rsidP="001D2CEB">
      <w:pPr>
        <w:pStyle w:val="Paragraph"/>
      </w:pPr>
      <w:r w:rsidRPr="00310322">
        <w:t xml:space="preserve">(a)  Approval of an instructor to teach Prelicensing and Postlicensing courses shall authorize the instructor to teach courses only in conjunction with and at </w:t>
      </w:r>
      <w:r w:rsidRPr="00310322">
        <w:rPr>
          <w:strike/>
        </w:rPr>
        <w:t>schools approved or licensed by the Commission</w:t>
      </w:r>
      <w:r w:rsidRPr="00310322">
        <w:t xml:space="preserve"> </w:t>
      </w:r>
      <w:r w:rsidRPr="00310322">
        <w:rPr>
          <w:u w:val="single"/>
        </w:rPr>
        <w:t>certified education providers</w:t>
      </w:r>
      <w:r w:rsidRPr="00310322">
        <w:t xml:space="preserve"> pursuant to Rule .0202 </w:t>
      </w:r>
      <w:r w:rsidRPr="00310322">
        <w:rPr>
          <w:strike/>
        </w:rPr>
        <w:t>or .0203</w:t>
      </w:r>
      <w:r w:rsidRPr="00310322">
        <w:t xml:space="preserve"> of this Subchapter to conduct such courses.</w:t>
      </w:r>
    </w:p>
    <w:p w14:paraId="1D24C722" w14:textId="77777777" w:rsidR="00E91AE1" w:rsidRPr="00310322" w:rsidRDefault="00E91AE1" w:rsidP="001D2CEB">
      <w:pPr>
        <w:pStyle w:val="Paragraph"/>
      </w:pPr>
      <w:r w:rsidRPr="00310322">
        <w:t>(b)  An instructor approved to teach Prelicensing and Postlicensing courses may elect to also teach Update courses upon initial approval, renewal, or any time while holding such approval.</w:t>
      </w:r>
    </w:p>
    <w:p w14:paraId="26F8266A" w14:textId="77777777" w:rsidR="00E91AE1" w:rsidRPr="00310322" w:rsidRDefault="00E91AE1" w:rsidP="001D2CEB">
      <w:pPr>
        <w:pStyle w:val="Paragraph"/>
      </w:pPr>
      <w:r w:rsidRPr="00310322">
        <w:rPr>
          <w:snapToGrid w:val="0"/>
        </w:rPr>
        <w:t xml:space="preserve">(c)  Approved instructors may teach Update courses for any </w:t>
      </w:r>
      <w:r w:rsidRPr="00310322">
        <w:rPr>
          <w:strike/>
        </w:rPr>
        <w:t>approved Update course sponsor pursuant to Rule .0402</w:t>
      </w:r>
      <w:r w:rsidRPr="00310322">
        <w:t xml:space="preserve"> </w:t>
      </w:r>
      <w:r w:rsidRPr="00310322">
        <w:rPr>
          <w:u w:val="single"/>
        </w:rPr>
        <w:t>certified education provider pursuant to Rule .0202</w:t>
      </w:r>
      <w:r w:rsidRPr="00310322">
        <w:t xml:space="preserve"> </w:t>
      </w:r>
      <w:r w:rsidRPr="00310322">
        <w:rPr>
          <w:snapToGrid w:val="0"/>
        </w:rPr>
        <w:t xml:space="preserve">of this Subchapter. An approved instructor may not independently conduct an Update course unless the instructor has also obtained </w:t>
      </w:r>
      <w:r w:rsidRPr="00310322">
        <w:rPr>
          <w:strike/>
        </w:rPr>
        <w:t>approval as an Update course sponsor.</w:t>
      </w:r>
      <w:r w:rsidRPr="00310322">
        <w:t xml:space="preserve"> </w:t>
      </w:r>
      <w:r w:rsidRPr="00310322">
        <w:rPr>
          <w:u w:val="single"/>
        </w:rPr>
        <w:t>certification as an education provider.</w:t>
      </w:r>
    </w:p>
    <w:p w14:paraId="18E679CA" w14:textId="77777777" w:rsidR="00E91AE1" w:rsidRPr="00310322" w:rsidRDefault="00E91AE1" w:rsidP="001D2CEB">
      <w:pPr>
        <w:pStyle w:val="Base"/>
      </w:pPr>
    </w:p>
    <w:p w14:paraId="5CDB0695" w14:textId="6A9E17FC" w:rsidR="00E91AE1" w:rsidRPr="00310322" w:rsidRDefault="00E91AE1" w:rsidP="00E91AE1">
      <w:pPr>
        <w:pStyle w:val="HistoryAuthority"/>
      </w:pPr>
      <w:r w:rsidRPr="00310322">
        <w:t>Authority G.S. 93A</w:t>
      </w:r>
      <w:r w:rsidRPr="00310322">
        <w:noBreakHyphen/>
        <w:t>4(d); 93A-33; 93A-34</w:t>
      </w:r>
      <w:r>
        <w:t>.</w:t>
      </w:r>
    </w:p>
    <w:p w14:paraId="4CFB23CF" w14:textId="77777777" w:rsidR="00E91AE1" w:rsidRPr="00310322" w:rsidRDefault="00E91AE1" w:rsidP="001D2CEB">
      <w:pPr>
        <w:pStyle w:val="Base"/>
      </w:pPr>
    </w:p>
    <w:p w14:paraId="5999A313" w14:textId="77777777" w:rsidR="00E91AE1" w:rsidRPr="002755E4" w:rsidRDefault="00E91AE1" w:rsidP="001D2CEB">
      <w:pPr>
        <w:pStyle w:val="Rule"/>
      </w:pPr>
      <w:r w:rsidRPr="002755E4">
        <w:t>21 NCAC 58H .0302</w:t>
      </w:r>
      <w:r w:rsidRPr="002755E4">
        <w:tab/>
        <w:t xml:space="preserve">APPLICATION AND CRITERIA FOR </w:t>
      </w:r>
      <w:r w:rsidRPr="002755E4">
        <w:rPr>
          <w:strike/>
        </w:rPr>
        <w:t>ORIGINAL Prelicensing, Postlicensing, or update COURSE</w:t>
      </w:r>
      <w:r w:rsidRPr="002755E4">
        <w:t xml:space="preserve"> instrucTor APPROVAL</w:t>
      </w:r>
    </w:p>
    <w:p w14:paraId="7611F8CD" w14:textId="77777777" w:rsidR="00E91AE1" w:rsidRPr="002755E4" w:rsidRDefault="00E91AE1" w:rsidP="001D2CEB">
      <w:pPr>
        <w:pStyle w:val="Paragraph"/>
      </w:pPr>
      <w:r w:rsidRPr="002755E4">
        <w:t xml:space="preserve">(a)  An individual seeking original instructor approval shall </w:t>
      </w:r>
      <w:proofErr w:type="gramStart"/>
      <w:r w:rsidRPr="002755E4">
        <w:t>submit an application</w:t>
      </w:r>
      <w:proofErr w:type="gramEnd"/>
      <w:r w:rsidRPr="002755E4">
        <w:t xml:space="preserve"> on a form available on the Commission's website that shall require the instructor applicant to indicate the course(s) for which he or she is seeking approval and set forth the instructor applicant's:</w:t>
      </w:r>
    </w:p>
    <w:p w14:paraId="2A82B5B4" w14:textId="77777777" w:rsidR="00E91AE1" w:rsidRPr="002755E4" w:rsidRDefault="00E91AE1" w:rsidP="001D2CEB">
      <w:pPr>
        <w:pStyle w:val="SubParagraph"/>
        <w:tabs>
          <w:tab w:val="clear" w:pos="1800"/>
        </w:tabs>
      </w:pPr>
      <w:r w:rsidRPr="002755E4">
        <w:t>(1)</w:t>
      </w:r>
      <w:r w:rsidRPr="002755E4">
        <w:tab/>
        <w:t>legal name, address, email address, and telephone number;</w:t>
      </w:r>
    </w:p>
    <w:p w14:paraId="73817D26" w14:textId="77777777" w:rsidR="00E91AE1" w:rsidRPr="002755E4" w:rsidRDefault="00E91AE1" w:rsidP="001D2CEB">
      <w:pPr>
        <w:pStyle w:val="SubParagraph"/>
        <w:tabs>
          <w:tab w:val="clear" w:pos="1800"/>
        </w:tabs>
      </w:pPr>
      <w:r w:rsidRPr="002755E4">
        <w:t>(2)</w:t>
      </w:r>
      <w:r w:rsidRPr="002755E4">
        <w:tab/>
        <w:t>real estate license number and instructor number, if any, assigned by Commission;</w:t>
      </w:r>
    </w:p>
    <w:p w14:paraId="49AB14F0" w14:textId="77777777" w:rsidR="00E91AE1" w:rsidRPr="002755E4" w:rsidRDefault="00E91AE1" w:rsidP="001D2CEB">
      <w:pPr>
        <w:pStyle w:val="SubParagraph"/>
        <w:tabs>
          <w:tab w:val="clear" w:pos="1800"/>
        </w:tabs>
      </w:pPr>
      <w:r w:rsidRPr="002755E4">
        <w:t>(3)</w:t>
      </w:r>
      <w:r w:rsidRPr="002755E4">
        <w:tab/>
        <w:t>criminal and occupational licensing history, including any disciplinary actions;</w:t>
      </w:r>
    </w:p>
    <w:p w14:paraId="434F1806" w14:textId="77777777" w:rsidR="00E91AE1" w:rsidRPr="002755E4" w:rsidRDefault="00E91AE1" w:rsidP="001D2CEB">
      <w:pPr>
        <w:pStyle w:val="SubParagraph"/>
        <w:tabs>
          <w:tab w:val="clear" w:pos="1800"/>
        </w:tabs>
      </w:pPr>
      <w:r w:rsidRPr="002755E4">
        <w:t>(4)</w:t>
      </w:r>
      <w:r w:rsidRPr="002755E4">
        <w:tab/>
        <w:t>education background, including specific real estate education;</w:t>
      </w:r>
    </w:p>
    <w:p w14:paraId="4C597A0B" w14:textId="77777777" w:rsidR="00E91AE1" w:rsidRPr="002755E4" w:rsidRDefault="00E91AE1" w:rsidP="001D2CEB">
      <w:pPr>
        <w:pStyle w:val="SubParagraph"/>
        <w:tabs>
          <w:tab w:val="clear" w:pos="1800"/>
        </w:tabs>
      </w:pPr>
      <w:r w:rsidRPr="002755E4">
        <w:t>(5)</w:t>
      </w:r>
      <w:r w:rsidRPr="002755E4">
        <w:tab/>
        <w:t>experience in the real estate business;</w:t>
      </w:r>
    </w:p>
    <w:p w14:paraId="1FABC600" w14:textId="77777777" w:rsidR="00E91AE1" w:rsidRPr="002755E4" w:rsidRDefault="00E91AE1" w:rsidP="001D2CEB">
      <w:pPr>
        <w:pStyle w:val="SubParagraph"/>
        <w:tabs>
          <w:tab w:val="clear" w:pos="1800"/>
        </w:tabs>
      </w:pPr>
      <w:r w:rsidRPr="002755E4">
        <w:t>(6)</w:t>
      </w:r>
      <w:r w:rsidRPr="002755E4">
        <w:tab/>
        <w:t>real estate teaching experience, if any;</w:t>
      </w:r>
    </w:p>
    <w:p w14:paraId="1BD7A4DA" w14:textId="77777777" w:rsidR="00E91AE1" w:rsidRPr="002755E4" w:rsidRDefault="00E91AE1" w:rsidP="001D2CEB">
      <w:pPr>
        <w:pStyle w:val="SubParagraph"/>
        <w:tabs>
          <w:tab w:val="clear" w:pos="1800"/>
        </w:tabs>
      </w:pPr>
      <w:r w:rsidRPr="002755E4">
        <w:t>(7)</w:t>
      </w:r>
      <w:r w:rsidRPr="002755E4">
        <w:tab/>
        <w:t>a signed Consent to Service of Process and Pleadings for nonresident applicants; and</w:t>
      </w:r>
    </w:p>
    <w:p w14:paraId="3ADBF12C" w14:textId="77777777" w:rsidR="00E91AE1" w:rsidRPr="002755E4" w:rsidRDefault="00E91AE1" w:rsidP="001D2CEB">
      <w:pPr>
        <w:pStyle w:val="SubParagraph"/>
        <w:tabs>
          <w:tab w:val="clear" w:pos="1800"/>
        </w:tabs>
      </w:pPr>
      <w:r w:rsidRPr="002755E4">
        <w:t>(8)</w:t>
      </w:r>
      <w:r w:rsidRPr="002755E4">
        <w:tab/>
        <w:t>signature.</w:t>
      </w:r>
    </w:p>
    <w:p w14:paraId="22C004BF" w14:textId="77777777" w:rsidR="00E91AE1" w:rsidRPr="002755E4" w:rsidRDefault="00E91AE1" w:rsidP="001D2CEB">
      <w:pPr>
        <w:pStyle w:val="Paragraph"/>
      </w:pPr>
      <w:r w:rsidRPr="002755E4">
        <w:t>(b)  An instructor applicant shall demonstrate that he or she possesses good reputation and character pursuant to G.S. 93A-34(c)(9) and has:</w:t>
      </w:r>
    </w:p>
    <w:p w14:paraId="3B82CC1C" w14:textId="77777777" w:rsidR="00E91AE1" w:rsidRPr="002755E4" w:rsidRDefault="00E91AE1" w:rsidP="001D2CEB">
      <w:pPr>
        <w:pStyle w:val="SubParagraph"/>
        <w:tabs>
          <w:tab w:val="clear" w:pos="1800"/>
        </w:tabs>
      </w:pPr>
      <w:r w:rsidRPr="002755E4">
        <w:t>(1)</w:t>
      </w:r>
      <w:r w:rsidRPr="002755E4">
        <w:tab/>
        <w:t>a North Carolina real estate broker license that is not on provisional status;</w:t>
      </w:r>
    </w:p>
    <w:p w14:paraId="23DD14E8" w14:textId="77777777" w:rsidR="00E91AE1" w:rsidRPr="002755E4" w:rsidRDefault="00E91AE1" w:rsidP="001D2CEB">
      <w:pPr>
        <w:pStyle w:val="SubParagraph"/>
        <w:tabs>
          <w:tab w:val="clear" w:pos="1800"/>
        </w:tabs>
      </w:pPr>
      <w:r w:rsidRPr="002755E4">
        <w:t>(2)</w:t>
      </w:r>
      <w:r w:rsidRPr="002755E4">
        <w:tab/>
        <w:t xml:space="preserve">completed continuing education </w:t>
      </w:r>
      <w:proofErr w:type="gramStart"/>
      <w:r w:rsidRPr="002755E4">
        <w:t>sufficient</w:t>
      </w:r>
      <w:proofErr w:type="gramEnd"/>
      <w:r w:rsidRPr="002755E4">
        <w:t xml:space="preserve"> to activate a license under </w:t>
      </w:r>
      <w:r w:rsidRPr="002755E4">
        <w:rPr>
          <w:strike/>
        </w:rPr>
        <w:t>21 NCAC 58A .1702;</w:t>
      </w:r>
      <w:r w:rsidRPr="002755E4">
        <w:t xml:space="preserve"> </w:t>
      </w:r>
      <w:r w:rsidRPr="002755E4">
        <w:rPr>
          <w:u w:val="single"/>
        </w:rPr>
        <w:t>21 NCAC 58A .1703;</w:t>
      </w:r>
    </w:p>
    <w:p w14:paraId="7377CDBD" w14:textId="77777777" w:rsidR="00E91AE1" w:rsidRPr="002755E4" w:rsidRDefault="00E91AE1" w:rsidP="001D2CEB">
      <w:pPr>
        <w:pStyle w:val="SubParagraph"/>
        <w:tabs>
          <w:tab w:val="clear" w:pos="1800"/>
        </w:tabs>
      </w:pPr>
      <w:r w:rsidRPr="002755E4">
        <w:t>(3)</w:t>
      </w:r>
      <w:r w:rsidRPr="002755E4">
        <w:tab/>
        <w:t>completed 60 semester hours of college-level education at an institution accredited by any college accrediting body recognized by the U.S. Department of Education;</w:t>
      </w:r>
    </w:p>
    <w:p w14:paraId="561CB41C" w14:textId="77777777" w:rsidR="00E91AE1" w:rsidRPr="002755E4" w:rsidRDefault="00E91AE1" w:rsidP="001D2CEB">
      <w:pPr>
        <w:pStyle w:val="SubParagraph"/>
        <w:tabs>
          <w:tab w:val="clear" w:pos="1800"/>
        </w:tabs>
      </w:pPr>
      <w:r w:rsidRPr="002755E4">
        <w:t>(4)</w:t>
      </w:r>
      <w:r w:rsidRPr="002755E4">
        <w:tab/>
        <w:t>completed the New Instructor Seminar within the previous six months; and</w:t>
      </w:r>
    </w:p>
    <w:p w14:paraId="2636781B" w14:textId="77777777" w:rsidR="00E91AE1" w:rsidRPr="002755E4" w:rsidRDefault="00E91AE1" w:rsidP="001D2CEB">
      <w:pPr>
        <w:pStyle w:val="SubParagraph"/>
        <w:tabs>
          <w:tab w:val="clear" w:pos="1800"/>
        </w:tabs>
      </w:pPr>
      <w:r w:rsidRPr="002755E4">
        <w:t>(5)</w:t>
      </w:r>
      <w:r w:rsidRPr="002755E4">
        <w:tab/>
        <w:t>within the previous seven years has either:</w:t>
      </w:r>
    </w:p>
    <w:p w14:paraId="12AA66CC" w14:textId="77777777" w:rsidR="00E91AE1" w:rsidRPr="002755E4" w:rsidRDefault="00E91AE1" w:rsidP="001D2CEB">
      <w:pPr>
        <w:pStyle w:val="Part"/>
        <w:tabs>
          <w:tab w:val="clear" w:pos="2520"/>
        </w:tabs>
      </w:pPr>
      <w:r w:rsidRPr="002755E4">
        <w:t>(A)</w:t>
      </w:r>
      <w:r w:rsidRPr="002755E4">
        <w:tab/>
        <w:t>two years full-time experience in real estate brokerage with at least one year in North Carolina;</w:t>
      </w:r>
    </w:p>
    <w:p w14:paraId="2E36626C" w14:textId="77777777" w:rsidR="00E91AE1" w:rsidRPr="002755E4" w:rsidRDefault="00E91AE1" w:rsidP="001D2CEB">
      <w:pPr>
        <w:pStyle w:val="Part"/>
        <w:tabs>
          <w:tab w:val="clear" w:pos="2520"/>
        </w:tabs>
      </w:pPr>
      <w:r w:rsidRPr="002755E4">
        <w:t>(B)</w:t>
      </w:r>
      <w:r w:rsidRPr="002755E4">
        <w:tab/>
        <w:t>three years of instructor experience at a secondary or post-secondary level;</w:t>
      </w:r>
    </w:p>
    <w:p w14:paraId="776A998E" w14:textId="77777777" w:rsidR="00E91AE1" w:rsidRPr="002755E4" w:rsidRDefault="00E91AE1" w:rsidP="001D2CEB">
      <w:pPr>
        <w:pStyle w:val="Part"/>
        <w:tabs>
          <w:tab w:val="clear" w:pos="2520"/>
        </w:tabs>
      </w:pPr>
      <w:r w:rsidRPr="002755E4">
        <w:t>(C)</w:t>
      </w:r>
      <w:r w:rsidRPr="002755E4">
        <w:tab/>
        <w:t>real estate Prelicensing or Postlicensing instructor approval in another jurisdiction; or</w:t>
      </w:r>
    </w:p>
    <w:p w14:paraId="4F91D1FF" w14:textId="77777777" w:rsidR="00E91AE1" w:rsidRPr="002755E4" w:rsidRDefault="00E91AE1" w:rsidP="001D2CEB">
      <w:pPr>
        <w:pStyle w:val="Part"/>
        <w:tabs>
          <w:tab w:val="clear" w:pos="2520"/>
        </w:tabs>
      </w:pPr>
      <w:r w:rsidRPr="002755E4">
        <w:t>(D)</w:t>
      </w:r>
      <w:r w:rsidRPr="002755E4">
        <w:tab/>
        <w:t xml:space="preserve">qualifications found to be equivalent by the Commission, including a current North Carolina law license and three years' </w:t>
      </w:r>
      <w:proofErr w:type="gramStart"/>
      <w:r w:rsidRPr="002755E4">
        <w:t>full time</w:t>
      </w:r>
      <w:proofErr w:type="gramEnd"/>
      <w:r w:rsidRPr="002755E4">
        <w:t xml:space="preserve"> experience in commercial or residential real estate transactions or representation of real estate brokers or firms.</w:t>
      </w:r>
    </w:p>
    <w:p w14:paraId="283215C1" w14:textId="77777777" w:rsidR="00E91AE1" w:rsidRPr="002755E4" w:rsidRDefault="00E91AE1" w:rsidP="001D2CEB">
      <w:pPr>
        <w:pStyle w:val="Paragraph"/>
      </w:pPr>
      <w:r w:rsidRPr="002755E4">
        <w:t>(c)  In order to complete the New Instructor Seminar, a broker shall:</w:t>
      </w:r>
    </w:p>
    <w:p w14:paraId="24795918" w14:textId="77777777" w:rsidR="00E91AE1" w:rsidRPr="002755E4" w:rsidRDefault="00E91AE1" w:rsidP="001D2CEB">
      <w:pPr>
        <w:pStyle w:val="SubParagraph"/>
        <w:tabs>
          <w:tab w:val="clear" w:pos="1800"/>
        </w:tabs>
      </w:pPr>
      <w:r w:rsidRPr="002755E4">
        <w:t>(1)</w:t>
      </w:r>
      <w:r w:rsidRPr="002755E4">
        <w:tab/>
        <w:t>attend at least ninety percent of all scheduled hours; and</w:t>
      </w:r>
    </w:p>
    <w:p w14:paraId="5E5BA83C" w14:textId="77777777" w:rsidR="00E91AE1" w:rsidRPr="002755E4" w:rsidRDefault="00E91AE1" w:rsidP="001D2CEB">
      <w:pPr>
        <w:pStyle w:val="SubParagraph"/>
        <w:tabs>
          <w:tab w:val="clear" w:pos="1800"/>
        </w:tabs>
      </w:pPr>
      <w:r w:rsidRPr="002755E4">
        <w:t>(2)</w:t>
      </w:r>
      <w:r w:rsidRPr="002755E4">
        <w:tab/>
        <w:t>demonstrate the ability to teach a 15-minute block of a single Prelicensing topic in a manner consistent with the course materials.</w:t>
      </w:r>
    </w:p>
    <w:p w14:paraId="7D5200AD" w14:textId="77777777" w:rsidR="00E91AE1" w:rsidRPr="002755E4" w:rsidRDefault="00E91AE1" w:rsidP="001D2CEB">
      <w:pPr>
        <w:pStyle w:val="Paragraph"/>
      </w:pPr>
      <w:r w:rsidRPr="002755E4">
        <w:rPr>
          <w:strike/>
        </w:rPr>
        <w:t>(d)  Instructors approved prior to July 1, 2019 shall be exempt from the New Instructor Seminar requirement pursuant to Paragraph (b)(4) of this Rule.</w:t>
      </w:r>
    </w:p>
    <w:p w14:paraId="4DF0E8DA" w14:textId="77777777" w:rsidR="00E91AE1" w:rsidRPr="002755E4" w:rsidRDefault="00E91AE1" w:rsidP="001D2CEB">
      <w:pPr>
        <w:pStyle w:val="Paragraph"/>
      </w:pPr>
      <w:r w:rsidRPr="002755E4">
        <w:rPr>
          <w:strike/>
        </w:rPr>
        <w:t>(e)</w:t>
      </w:r>
      <w:r w:rsidRPr="002755E4">
        <w:rPr>
          <w:u w:val="single"/>
        </w:rPr>
        <w:t>(d</w:t>
      </w:r>
      <w:proofErr w:type="gramStart"/>
      <w:r w:rsidRPr="002755E4">
        <w:rPr>
          <w:u w:val="single"/>
        </w:rPr>
        <w:t>)</w:t>
      </w:r>
      <w:r w:rsidRPr="002755E4">
        <w:t xml:space="preserve">  Prior</w:t>
      </w:r>
      <w:proofErr w:type="gramEnd"/>
      <w:r w:rsidRPr="002755E4">
        <w:t xml:space="preserve"> to teaching any Update course, an approved instructor shall take the Commission's annual Update Instructor Seminar for the current license period. The Update Instructor Seminar shall not be used to meet the requirement in Rule .0306(b)(4) of this Section.</w:t>
      </w:r>
    </w:p>
    <w:p w14:paraId="2E21E4B7" w14:textId="77777777" w:rsidR="00E91AE1" w:rsidRPr="002755E4" w:rsidRDefault="00E91AE1" w:rsidP="001D2CEB">
      <w:pPr>
        <w:pStyle w:val="Base"/>
      </w:pPr>
    </w:p>
    <w:p w14:paraId="654FFB13" w14:textId="3745C451" w:rsidR="00E91AE1" w:rsidRPr="002755E4" w:rsidRDefault="00E91AE1" w:rsidP="00E91AE1">
      <w:pPr>
        <w:pStyle w:val="HistoryAuthority"/>
      </w:pPr>
      <w:r w:rsidRPr="002755E4">
        <w:lastRenderedPageBreak/>
        <w:t>Authority G.S. 93A-3(f); 93A</w:t>
      </w:r>
      <w:r w:rsidRPr="002755E4">
        <w:noBreakHyphen/>
        <w:t>4; 93A-10; 93A-33; 93A-34</w:t>
      </w:r>
      <w:r>
        <w:t>.</w:t>
      </w:r>
    </w:p>
    <w:p w14:paraId="0F952AA7" w14:textId="77777777" w:rsidR="00E91AE1" w:rsidRPr="002755E4" w:rsidRDefault="00E91AE1" w:rsidP="001D2CEB">
      <w:pPr>
        <w:pStyle w:val="Base"/>
      </w:pPr>
    </w:p>
    <w:p w14:paraId="6891F8C5" w14:textId="77777777" w:rsidR="00E91AE1" w:rsidRPr="00773797" w:rsidRDefault="00E91AE1" w:rsidP="001D2CEB">
      <w:pPr>
        <w:pStyle w:val="Rule"/>
      </w:pPr>
      <w:r w:rsidRPr="00773797">
        <w:t>21 NCAC 58H .0303</w:t>
      </w:r>
      <w:r w:rsidRPr="00773797">
        <w:tab/>
        <w:t>DENIAL OR WITHDRAWAL OF instructor APPROVAL</w:t>
      </w:r>
    </w:p>
    <w:p w14:paraId="43018EEF" w14:textId="77777777" w:rsidR="00E91AE1" w:rsidRPr="00773797" w:rsidRDefault="00E91AE1" w:rsidP="001D2CEB">
      <w:pPr>
        <w:pStyle w:val="Paragraph"/>
      </w:pPr>
      <w:r w:rsidRPr="00773797">
        <w:rPr>
          <w:u w:val="single"/>
        </w:rPr>
        <w:t>(a)</w:t>
      </w:r>
      <w:r w:rsidRPr="00773797">
        <w:t xml:space="preserve">  The Commission may deny or withdraw approval of any instructor applicant or approved instructor upon finding that the instructor or instructor applicant:</w:t>
      </w:r>
    </w:p>
    <w:p w14:paraId="2DD539D9" w14:textId="77777777" w:rsidR="00E91AE1" w:rsidRPr="00773797" w:rsidRDefault="00E91AE1" w:rsidP="001D2CEB">
      <w:pPr>
        <w:pStyle w:val="SubParagraph"/>
        <w:tabs>
          <w:tab w:val="clear" w:pos="1800"/>
        </w:tabs>
      </w:pPr>
      <w:r w:rsidRPr="00773797">
        <w:t>(1)</w:t>
      </w:r>
      <w:r w:rsidRPr="00773797">
        <w:tab/>
        <w:t>has failed to meet the criteria for approval described in Rule .0302 of this Section or the criteria for renewal of approval described in Rule .0306 of this Section at the time of application or at any time during an approval period;</w:t>
      </w:r>
    </w:p>
    <w:p w14:paraId="6818F732" w14:textId="77777777" w:rsidR="00E91AE1" w:rsidRPr="00773797" w:rsidRDefault="00E91AE1" w:rsidP="001D2CEB">
      <w:pPr>
        <w:pStyle w:val="SubParagraph"/>
        <w:tabs>
          <w:tab w:val="clear" w:pos="1800"/>
        </w:tabs>
      </w:pPr>
      <w:r w:rsidRPr="00773797">
        <w:t>(2)</w:t>
      </w:r>
      <w:r w:rsidRPr="00773797">
        <w:tab/>
        <w:t>made any false statements or presented any false, incomplete, or incorrect information in connection with an application for approval or renewal of approval or any report that is required to be submitted to the Commission;</w:t>
      </w:r>
    </w:p>
    <w:p w14:paraId="20D0304D" w14:textId="77777777" w:rsidR="00E91AE1" w:rsidRPr="00773797" w:rsidRDefault="00E91AE1" w:rsidP="001D2CEB">
      <w:pPr>
        <w:pStyle w:val="SubParagraph"/>
        <w:tabs>
          <w:tab w:val="clear" w:pos="1800"/>
        </w:tabs>
      </w:pPr>
      <w:r w:rsidRPr="00773797">
        <w:t>(3)</w:t>
      </w:r>
      <w:r w:rsidRPr="00773797">
        <w:tab/>
        <w:t>has failed to submit to the Commission any report, course examination, or video recording required by these Rules;</w:t>
      </w:r>
    </w:p>
    <w:p w14:paraId="6DD9CC77" w14:textId="77777777" w:rsidR="00E91AE1" w:rsidRPr="00773797" w:rsidRDefault="00E91AE1" w:rsidP="001D2CEB">
      <w:pPr>
        <w:pStyle w:val="SubParagraph"/>
        <w:tabs>
          <w:tab w:val="clear" w:pos="1800"/>
        </w:tabs>
      </w:pPr>
      <w:r w:rsidRPr="00773797">
        <w:t>(4)</w:t>
      </w:r>
      <w:r w:rsidRPr="00773797">
        <w:tab/>
        <w:t>has failed to demonstrate the ability to teach a Prelicensing, Postlicensing, or Update couse in a manner consistent with the course materials;</w:t>
      </w:r>
    </w:p>
    <w:p w14:paraId="5785F0E8" w14:textId="77777777" w:rsidR="00E91AE1" w:rsidRPr="00773797" w:rsidRDefault="00E91AE1" w:rsidP="001D2CEB">
      <w:pPr>
        <w:pStyle w:val="SubParagraph"/>
        <w:tabs>
          <w:tab w:val="clear" w:pos="1800"/>
        </w:tabs>
      </w:pPr>
      <w:r w:rsidRPr="00773797">
        <w:rPr>
          <w:strike/>
        </w:rPr>
        <w:t>(5)</w:t>
      </w:r>
      <w:r w:rsidRPr="00773797">
        <w:tab/>
      </w:r>
      <w:r w:rsidRPr="00773797">
        <w:rPr>
          <w:strike/>
        </w:rPr>
        <w:t>taught a Prelicensing course and compiled a license examination performance record for first-time examination candidates that is below 60 percent passing for two or more of the previous five annual reporting periods;</w:t>
      </w:r>
    </w:p>
    <w:p w14:paraId="4877E1E7" w14:textId="77777777" w:rsidR="00E91AE1" w:rsidRPr="00773797" w:rsidRDefault="00E91AE1" w:rsidP="001D2CEB">
      <w:pPr>
        <w:pStyle w:val="SubParagraph"/>
        <w:tabs>
          <w:tab w:val="clear" w:pos="1800"/>
        </w:tabs>
      </w:pPr>
      <w:r w:rsidRPr="00773797">
        <w:rPr>
          <w:strike/>
        </w:rPr>
        <w:t>(6)</w:t>
      </w:r>
      <w:r w:rsidRPr="00773797">
        <w:rPr>
          <w:u w:val="single"/>
        </w:rPr>
        <w:t>(5)</w:t>
      </w:r>
      <w:r w:rsidRPr="00773797">
        <w:tab/>
        <w:t xml:space="preserve">taught a Prelicensing course and failed to provide to the Commission a written plan describing the changes the instructor has made or intends to make in his or her instructional program to improve the performance of the instructor's students on the license examination within 30 days of the Commission's request during an </w:t>
      </w:r>
      <w:r w:rsidRPr="00773797">
        <w:rPr>
          <w:strike/>
        </w:rPr>
        <w:t>investigation, application process, or following an instructor's attainment of a licensing examination record for first-time examination candidates that is below sixty percent passing for the previous annual reporting period;</w:t>
      </w:r>
      <w:r w:rsidRPr="00773797">
        <w:t xml:space="preserve"> </w:t>
      </w:r>
      <w:r w:rsidRPr="00773797">
        <w:rPr>
          <w:u w:val="single"/>
        </w:rPr>
        <w:t>investigation or application process;</w:t>
      </w:r>
    </w:p>
    <w:p w14:paraId="3A222ACB" w14:textId="77777777" w:rsidR="00E91AE1" w:rsidRPr="00773797" w:rsidRDefault="00E91AE1" w:rsidP="001D2CEB">
      <w:pPr>
        <w:pStyle w:val="SubParagraph"/>
        <w:tabs>
          <w:tab w:val="clear" w:pos="1800"/>
        </w:tabs>
      </w:pPr>
      <w:r w:rsidRPr="00773797">
        <w:rPr>
          <w:strike/>
        </w:rPr>
        <w:t>(7)</w:t>
      </w:r>
      <w:r w:rsidRPr="00773797">
        <w:rPr>
          <w:u w:val="single"/>
        </w:rPr>
        <w:t>(6)</w:t>
      </w:r>
      <w:r w:rsidRPr="00773797">
        <w:tab/>
        <w:t>has been convicted of, pleaded guilty to, or pleaded no contest to, a misdemeanor or felony violation of state or federal law by a court of competent jurisdiction;</w:t>
      </w:r>
    </w:p>
    <w:p w14:paraId="4BD07959" w14:textId="77777777" w:rsidR="00E91AE1" w:rsidRPr="00773797" w:rsidRDefault="00E91AE1" w:rsidP="001D2CEB">
      <w:pPr>
        <w:pStyle w:val="SubParagraph"/>
        <w:tabs>
          <w:tab w:val="clear" w:pos="1800"/>
        </w:tabs>
      </w:pPr>
      <w:r w:rsidRPr="00773797">
        <w:rPr>
          <w:strike/>
        </w:rPr>
        <w:t>(8)</w:t>
      </w:r>
      <w:r w:rsidRPr="00773797">
        <w:rPr>
          <w:u w:val="single"/>
        </w:rPr>
        <w:t>(7)</w:t>
      </w:r>
      <w:r w:rsidRPr="00773797">
        <w:tab/>
        <w:t>has been found by a court or government agency of competent jurisdiction to have violated any state or federal regulation prohibiting discrimination;</w:t>
      </w:r>
    </w:p>
    <w:p w14:paraId="17CC2FBD" w14:textId="77777777" w:rsidR="00E91AE1" w:rsidRPr="00773797" w:rsidRDefault="00E91AE1" w:rsidP="001D2CEB">
      <w:pPr>
        <w:pStyle w:val="SubParagraph"/>
        <w:tabs>
          <w:tab w:val="clear" w:pos="1800"/>
        </w:tabs>
      </w:pPr>
      <w:r w:rsidRPr="00773797">
        <w:rPr>
          <w:strike/>
        </w:rPr>
        <w:t>(9)</w:t>
      </w:r>
      <w:r w:rsidRPr="00773797">
        <w:rPr>
          <w:u w:val="single"/>
        </w:rPr>
        <w:t>(8)</w:t>
      </w:r>
      <w:r w:rsidRPr="00773797">
        <w:tab/>
        <w:t>has obtained, used, or attempted to obtain or use, in any manner or form, North Carolina real estate license examination questions;</w:t>
      </w:r>
    </w:p>
    <w:p w14:paraId="0F50286D" w14:textId="77777777" w:rsidR="00E91AE1" w:rsidRPr="00773797" w:rsidRDefault="00E91AE1" w:rsidP="001D2CEB">
      <w:pPr>
        <w:pStyle w:val="SubParagraph"/>
        <w:tabs>
          <w:tab w:val="clear" w:pos="1800"/>
        </w:tabs>
      </w:pPr>
      <w:r w:rsidRPr="00773797">
        <w:rPr>
          <w:strike/>
        </w:rPr>
        <w:t>(10)</w:t>
      </w:r>
      <w:r w:rsidRPr="00773797">
        <w:rPr>
          <w:u w:val="single"/>
        </w:rPr>
        <w:t>(9)</w:t>
      </w:r>
      <w:r w:rsidRPr="00773797">
        <w:tab/>
        <w:t xml:space="preserve">has failed to take appropriate steps to protect the security of end-of-course </w:t>
      </w:r>
      <w:r w:rsidRPr="00773797">
        <w:rPr>
          <w:strike/>
        </w:rPr>
        <w:t>examinations pursuant to Rule .0210(g) of this Subchapter;</w:t>
      </w:r>
      <w:r w:rsidRPr="00773797">
        <w:t xml:space="preserve"> </w:t>
      </w:r>
      <w:r w:rsidRPr="00773797">
        <w:rPr>
          <w:u w:val="single"/>
        </w:rPr>
        <w:t>examinations;</w:t>
      </w:r>
    </w:p>
    <w:p w14:paraId="112B8B02" w14:textId="77777777" w:rsidR="00E91AE1" w:rsidRPr="00773797" w:rsidRDefault="00E91AE1" w:rsidP="001D2CEB">
      <w:pPr>
        <w:pStyle w:val="SubParagraph"/>
        <w:tabs>
          <w:tab w:val="clear" w:pos="1800"/>
        </w:tabs>
      </w:pPr>
      <w:r w:rsidRPr="00773797">
        <w:rPr>
          <w:strike/>
        </w:rPr>
        <w:t>(11)</w:t>
      </w:r>
      <w:r w:rsidRPr="00773797">
        <w:rPr>
          <w:u w:val="single"/>
        </w:rPr>
        <w:t>(10)</w:t>
      </w:r>
      <w:r w:rsidRPr="00773797">
        <w:tab/>
        <w:t>failed to take any corrective action set out in the plan described in Item (5) of this Rule or as otherwise requested by the Commission;</w:t>
      </w:r>
    </w:p>
    <w:p w14:paraId="4E80820D" w14:textId="77777777" w:rsidR="00E91AE1" w:rsidRPr="00773797" w:rsidRDefault="00E91AE1" w:rsidP="001D2CEB">
      <w:pPr>
        <w:pStyle w:val="SubParagraph"/>
        <w:tabs>
          <w:tab w:val="clear" w:pos="1800"/>
        </w:tabs>
      </w:pPr>
      <w:r w:rsidRPr="00773797">
        <w:rPr>
          <w:strike/>
        </w:rPr>
        <w:t>(12)</w:t>
      </w:r>
      <w:r w:rsidRPr="00773797">
        <w:rPr>
          <w:u w:val="single"/>
        </w:rPr>
        <w:t>(11)</w:t>
      </w:r>
      <w:r w:rsidRPr="00773797">
        <w:tab/>
        <w:t xml:space="preserve">engaged in any other improper, fraudulent, or dishonest conduct; </w:t>
      </w:r>
      <w:r w:rsidRPr="00773797">
        <w:rPr>
          <w:strike/>
        </w:rPr>
        <w:t>or</w:t>
      </w:r>
    </w:p>
    <w:p w14:paraId="3309FAA6" w14:textId="77777777" w:rsidR="00E91AE1" w:rsidRPr="00773797" w:rsidRDefault="00E91AE1" w:rsidP="001D2CEB">
      <w:pPr>
        <w:pStyle w:val="SubParagraph"/>
        <w:tabs>
          <w:tab w:val="clear" w:pos="1800"/>
        </w:tabs>
      </w:pPr>
      <w:r w:rsidRPr="00773797">
        <w:rPr>
          <w:u w:val="single"/>
        </w:rPr>
        <w:t>(12)</w:t>
      </w:r>
      <w:r w:rsidRPr="00773797">
        <w:tab/>
      </w:r>
      <w:r w:rsidRPr="00773797">
        <w:rPr>
          <w:u w:val="single"/>
        </w:rPr>
        <w:t>failed to utilize course materials pursuant to Rule .0205 of this Subchapter;</w:t>
      </w:r>
    </w:p>
    <w:p w14:paraId="20E1888D" w14:textId="77777777" w:rsidR="00E91AE1" w:rsidRPr="00773797" w:rsidRDefault="00E91AE1" w:rsidP="001D2CEB">
      <w:pPr>
        <w:pStyle w:val="SubParagraph"/>
        <w:tabs>
          <w:tab w:val="clear" w:pos="1800"/>
        </w:tabs>
      </w:pPr>
      <w:r w:rsidRPr="00773797">
        <w:t>(13)</w:t>
      </w:r>
      <w:r w:rsidRPr="00773797">
        <w:tab/>
        <w:t>failed to comply with any other provisions of this Subchapter.</w:t>
      </w:r>
    </w:p>
    <w:p w14:paraId="07403F53" w14:textId="77777777" w:rsidR="00E91AE1" w:rsidRPr="00773797" w:rsidRDefault="00E91AE1" w:rsidP="001D2CEB">
      <w:pPr>
        <w:pStyle w:val="Paragraph"/>
      </w:pPr>
      <w:r w:rsidRPr="00773797">
        <w:rPr>
          <w:u w:val="single"/>
        </w:rPr>
        <w:t>(b)  The Commission shall withdraw an instructor's approval when their annual License Examination Performance Record fails to exceed 40 percent in each of the previous two license years.</w:t>
      </w:r>
      <w:r>
        <w:rPr>
          <w:u w:val="single"/>
        </w:rPr>
        <w:t xml:space="preserve"> </w:t>
      </w:r>
      <w:r w:rsidRPr="00773797">
        <w:rPr>
          <w:u w:val="single"/>
        </w:rPr>
        <w:t>Following withdrawal, the instructor shall be ineligible to apply for approval for a period of one year.</w:t>
      </w:r>
    </w:p>
    <w:p w14:paraId="46CA0C2C" w14:textId="77777777" w:rsidR="00E91AE1" w:rsidRPr="00773797" w:rsidRDefault="00E91AE1" w:rsidP="001D2CEB">
      <w:pPr>
        <w:pStyle w:val="Base"/>
      </w:pPr>
    </w:p>
    <w:p w14:paraId="5041D697" w14:textId="5F4C47BA" w:rsidR="00E91AE1" w:rsidRPr="00773797" w:rsidRDefault="00E91AE1" w:rsidP="00E91AE1">
      <w:pPr>
        <w:pStyle w:val="HistoryAuthority"/>
      </w:pPr>
      <w:r w:rsidRPr="00773797">
        <w:t>Authority G.S. 93A-4; 93A-33; 93A-34</w:t>
      </w:r>
      <w:r>
        <w:t>.</w:t>
      </w:r>
    </w:p>
    <w:p w14:paraId="5B0CC072" w14:textId="77777777" w:rsidR="00E91AE1" w:rsidRPr="00773797" w:rsidRDefault="00E91AE1" w:rsidP="001D2CEB">
      <w:pPr>
        <w:pStyle w:val="Base"/>
      </w:pPr>
    </w:p>
    <w:p w14:paraId="133FAB23" w14:textId="77777777" w:rsidR="00E91AE1" w:rsidRPr="00323048" w:rsidRDefault="00E91AE1" w:rsidP="001D2CEB">
      <w:pPr>
        <w:pStyle w:val="Rule"/>
      </w:pPr>
      <w:r w:rsidRPr="00323048">
        <w:t>21 NCAC 58H .0304</w:t>
      </w:r>
      <w:r w:rsidRPr="00323048">
        <w:tab/>
        <w:t>INSTRUCTOR CONDUCT AND PERFORMANCE</w:t>
      </w:r>
    </w:p>
    <w:p w14:paraId="0C950967" w14:textId="77777777" w:rsidR="00E91AE1" w:rsidRPr="00323048" w:rsidRDefault="00E91AE1" w:rsidP="001D2CEB">
      <w:pPr>
        <w:pStyle w:val="Paragraph"/>
      </w:pPr>
      <w:r w:rsidRPr="00323048">
        <w:t>(a)  All instructors shall ensure that class sessions are conducted at the scheduled time and for the full amount of time that is scheduled or required. Instructors shall conduct courses in accordance with the Commission's rules, and any applicable course syllabi, instructor guide, or course plan. Instructors shall conduct classes demonstrating the ability to:</w:t>
      </w:r>
    </w:p>
    <w:p w14:paraId="4C9663EC" w14:textId="77777777" w:rsidR="00E91AE1" w:rsidRPr="00323048" w:rsidRDefault="00E91AE1" w:rsidP="001D2CEB">
      <w:pPr>
        <w:pStyle w:val="SubParagraph"/>
        <w:tabs>
          <w:tab w:val="clear" w:pos="1800"/>
        </w:tabs>
      </w:pPr>
      <w:r w:rsidRPr="00323048">
        <w:t>(1)</w:t>
      </w:r>
      <w:r w:rsidRPr="00323048">
        <w:tab/>
        <w:t>state student learning objectives at the beginning of the course and present accurate and relevant information;</w:t>
      </w:r>
    </w:p>
    <w:p w14:paraId="408434B8" w14:textId="77777777" w:rsidR="00E91AE1" w:rsidRPr="00323048" w:rsidRDefault="00E91AE1" w:rsidP="001D2CEB">
      <w:pPr>
        <w:pStyle w:val="SubParagraph"/>
        <w:tabs>
          <w:tab w:val="clear" w:pos="1800"/>
        </w:tabs>
      </w:pPr>
      <w:r w:rsidRPr="00323048">
        <w:t>(2)</w:t>
      </w:r>
      <w:r w:rsidRPr="00323048">
        <w:tab/>
        <w:t>communicate correct grammar and vocabulary;</w:t>
      </w:r>
    </w:p>
    <w:p w14:paraId="2AE74479" w14:textId="77777777" w:rsidR="00E91AE1" w:rsidRPr="00323048" w:rsidRDefault="00E91AE1" w:rsidP="001D2CEB">
      <w:pPr>
        <w:pStyle w:val="SubParagraph"/>
        <w:tabs>
          <w:tab w:val="clear" w:pos="1800"/>
        </w:tabs>
      </w:pPr>
      <w:r w:rsidRPr="00323048">
        <w:t>(3)</w:t>
      </w:r>
      <w:r w:rsidRPr="00323048">
        <w:tab/>
        <w:t>utilize a variety of instructional techniques that require students to analyze and apply course content, including teacher-centered approaches, such as lecture and demonstration, and student-centered approaches, such as lecture discussion, reading, group problem solving, case studies, and scenarios;</w:t>
      </w:r>
    </w:p>
    <w:p w14:paraId="053A9055" w14:textId="77777777" w:rsidR="00E91AE1" w:rsidRPr="00323048" w:rsidRDefault="00E91AE1" w:rsidP="001D2CEB">
      <w:pPr>
        <w:pStyle w:val="SubParagraph"/>
        <w:tabs>
          <w:tab w:val="clear" w:pos="1800"/>
        </w:tabs>
      </w:pPr>
      <w:r w:rsidRPr="00323048">
        <w:t>(4)</w:t>
      </w:r>
      <w:r w:rsidRPr="00323048">
        <w:tab/>
        <w:t>utilize instructional aids, such as:</w:t>
      </w:r>
    </w:p>
    <w:p w14:paraId="32BFAD19" w14:textId="77777777" w:rsidR="00E91AE1" w:rsidRPr="00323048" w:rsidRDefault="00E91AE1" w:rsidP="001D2CEB">
      <w:pPr>
        <w:pStyle w:val="Part"/>
        <w:tabs>
          <w:tab w:val="clear" w:pos="2520"/>
        </w:tabs>
      </w:pPr>
      <w:r w:rsidRPr="00323048">
        <w:t>(A)</w:t>
      </w:r>
      <w:r w:rsidRPr="00323048">
        <w:tab/>
        <w:t>whiteboards;</w:t>
      </w:r>
    </w:p>
    <w:p w14:paraId="7E6075F7" w14:textId="77777777" w:rsidR="00E91AE1" w:rsidRPr="00323048" w:rsidRDefault="00E91AE1" w:rsidP="001D2CEB">
      <w:pPr>
        <w:pStyle w:val="Part"/>
        <w:tabs>
          <w:tab w:val="clear" w:pos="2520"/>
        </w:tabs>
      </w:pPr>
      <w:r w:rsidRPr="00323048">
        <w:t>(B)</w:t>
      </w:r>
      <w:r w:rsidRPr="00323048">
        <w:tab/>
        <w:t>sample forms and contracts;</w:t>
      </w:r>
    </w:p>
    <w:p w14:paraId="559A756C" w14:textId="77777777" w:rsidR="00E91AE1" w:rsidRPr="00323048" w:rsidRDefault="00E91AE1" w:rsidP="001D2CEB">
      <w:pPr>
        <w:pStyle w:val="Part"/>
        <w:tabs>
          <w:tab w:val="clear" w:pos="2520"/>
        </w:tabs>
      </w:pPr>
      <w:r w:rsidRPr="00323048">
        <w:t>(C)</w:t>
      </w:r>
      <w:r w:rsidRPr="00323048">
        <w:tab/>
        <w:t>pictures;</w:t>
      </w:r>
    </w:p>
    <w:p w14:paraId="21979145" w14:textId="77777777" w:rsidR="00E91AE1" w:rsidRPr="00323048" w:rsidRDefault="00E91AE1" w:rsidP="001D2CEB">
      <w:pPr>
        <w:pStyle w:val="Part"/>
        <w:tabs>
          <w:tab w:val="clear" w:pos="2520"/>
        </w:tabs>
      </w:pPr>
      <w:r w:rsidRPr="00323048">
        <w:t>(D)</w:t>
      </w:r>
      <w:r w:rsidRPr="00323048">
        <w:tab/>
        <w:t>charts; and</w:t>
      </w:r>
    </w:p>
    <w:p w14:paraId="4EACC029" w14:textId="77777777" w:rsidR="00E91AE1" w:rsidRPr="00323048" w:rsidRDefault="00E91AE1" w:rsidP="001D2CEB">
      <w:pPr>
        <w:pStyle w:val="Part"/>
        <w:tabs>
          <w:tab w:val="clear" w:pos="2520"/>
        </w:tabs>
      </w:pPr>
      <w:r w:rsidRPr="00323048">
        <w:t>(E)</w:t>
      </w:r>
      <w:r w:rsidRPr="00323048">
        <w:tab/>
        <w:t>videos.</w:t>
      </w:r>
    </w:p>
    <w:p w14:paraId="5454B24B" w14:textId="77777777" w:rsidR="00E91AE1" w:rsidRPr="00323048" w:rsidRDefault="00E91AE1" w:rsidP="001D2CEB">
      <w:pPr>
        <w:pStyle w:val="SubParagraph"/>
        <w:tabs>
          <w:tab w:val="clear" w:pos="1800"/>
        </w:tabs>
      </w:pPr>
      <w:r w:rsidRPr="00323048">
        <w:t>(5)</w:t>
      </w:r>
      <w:r w:rsidRPr="00323048">
        <w:tab/>
        <w:t>utilize assessment tools, such as:</w:t>
      </w:r>
    </w:p>
    <w:p w14:paraId="5048D970" w14:textId="77777777" w:rsidR="00E91AE1" w:rsidRPr="00323048" w:rsidRDefault="00E91AE1" w:rsidP="001D2CEB">
      <w:pPr>
        <w:pStyle w:val="Part"/>
        <w:tabs>
          <w:tab w:val="clear" w:pos="2520"/>
        </w:tabs>
      </w:pPr>
      <w:r w:rsidRPr="00323048">
        <w:t>(A)</w:t>
      </w:r>
      <w:r w:rsidRPr="00323048">
        <w:tab/>
        <w:t>in-class or homework assignments, and</w:t>
      </w:r>
    </w:p>
    <w:p w14:paraId="15CA70A3" w14:textId="77777777" w:rsidR="00E91AE1" w:rsidRPr="00323048" w:rsidRDefault="00E91AE1" w:rsidP="001D2CEB">
      <w:pPr>
        <w:pStyle w:val="Part"/>
        <w:tabs>
          <w:tab w:val="clear" w:pos="2520"/>
        </w:tabs>
      </w:pPr>
      <w:r w:rsidRPr="00323048">
        <w:t>(B)</w:t>
      </w:r>
      <w:r w:rsidRPr="00323048">
        <w:tab/>
        <w:t>quizzes and midterm examinations for Prelicensing and Postlicensing courses.</w:t>
      </w:r>
    </w:p>
    <w:p w14:paraId="124FD39E" w14:textId="77777777" w:rsidR="00E91AE1" w:rsidRPr="00323048" w:rsidRDefault="00E91AE1" w:rsidP="001D2CEB">
      <w:pPr>
        <w:pStyle w:val="SubParagraph"/>
        <w:tabs>
          <w:tab w:val="clear" w:pos="1800"/>
        </w:tabs>
      </w:pPr>
      <w:r w:rsidRPr="00323048">
        <w:t>(6)</w:t>
      </w:r>
      <w:r w:rsidRPr="00323048">
        <w:tab/>
        <w:t>avoid criticism of any other person, agency, or organization;</w:t>
      </w:r>
    </w:p>
    <w:p w14:paraId="1B7602EE" w14:textId="77777777" w:rsidR="00E91AE1" w:rsidRPr="00323048" w:rsidRDefault="00E91AE1" w:rsidP="001D2CEB">
      <w:pPr>
        <w:pStyle w:val="SubParagraph"/>
        <w:tabs>
          <w:tab w:val="clear" w:pos="1800"/>
        </w:tabs>
      </w:pPr>
      <w:r w:rsidRPr="00323048">
        <w:t>(7)</w:t>
      </w:r>
      <w:r w:rsidRPr="00323048">
        <w:tab/>
        <w:t>identify key concepts and correct student misconceptions; and</w:t>
      </w:r>
    </w:p>
    <w:p w14:paraId="195B3696" w14:textId="77777777" w:rsidR="00E91AE1" w:rsidRPr="00323048" w:rsidRDefault="00E91AE1" w:rsidP="001D2CEB">
      <w:pPr>
        <w:pStyle w:val="SubParagraph"/>
        <w:tabs>
          <w:tab w:val="clear" w:pos="1800"/>
        </w:tabs>
      </w:pPr>
      <w:r w:rsidRPr="00323048">
        <w:t>(8)</w:t>
      </w:r>
      <w:r w:rsidRPr="00323048">
        <w:tab/>
        <w:t>maintain control of the class.</w:t>
      </w:r>
    </w:p>
    <w:p w14:paraId="5B49CEF7" w14:textId="77777777" w:rsidR="00E91AE1" w:rsidRPr="00323048" w:rsidRDefault="00E91AE1" w:rsidP="001D2CEB">
      <w:pPr>
        <w:pStyle w:val="Paragraph"/>
      </w:pPr>
      <w:r w:rsidRPr="00323048">
        <w:rPr>
          <w:strike/>
        </w:rPr>
        <w:t xml:space="preserve">(b)  Instructors teaching Prelicensing, Postlicensing, or Update courses shall interact with students either in person in a classroom setting or through an interactive telecommunication system, or comparable system, that permits continuous mutual audio and visual communication between the instructor and students. The </w:t>
      </w:r>
      <w:r w:rsidRPr="00323048">
        <w:rPr>
          <w:strike/>
        </w:rPr>
        <w:lastRenderedPageBreak/>
        <w:t>school shall provide monitoring and technical support for the instructors or students.</w:t>
      </w:r>
    </w:p>
    <w:p w14:paraId="3995B598" w14:textId="77777777" w:rsidR="00E91AE1" w:rsidRPr="00323048" w:rsidRDefault="00E91AE1" w:rsidP="001D2CEB">
      <w:pPr>
        <w:pStyle w:val="Paragraph"/>
      </w:pPr>
      <w:r w:rsidRPr="00323048">
        <w:rPr>
          <w:strike/>
        </w:rPr>
        <w:t>(c)  Instructors teaching Prelicensing or Postlicensing courses shall:</w:t>
      </w:r>
    </w:p>
    <w:p w14:paraId="3F645638" w14:textId="77777777" w:rsidR="00E91AE1" w:rsidRPr="00323048" w:rsidRDefault="00E91AE1" w:rsidP="001D2CEB">
      <w:pPr>
        <w:pStyle w:val="SubParagraph"/>
        <w:tabs>
          <w:tab w:val="clear" w:pos="1800"/>
        </w:tabs>
      </w:pPr>
      <w:r w:rsidRPr="00323048">
        <w:rPr>
          <w:strike/>
        </w:rPr>
        <w:t>(1)</w:t>
      </w:r>
      <w:r w:rsidRPr="00323048">
        <w:tab/>
      </w:r>
      <w:r w:rsidRPr="00323048">
        <w:rPr>
          <w:strike/>
        </w:rPr>
        <w:t>safeguard and protect the security of course examinations;</w:t>
      </w:r>
    </w:p>
    <w:p w14:paraId="074C7F8F" w14:textId="77777777" w:rsidR="00E91AE1" w:rsidRPr="00323048" w:rsidRDefault="00E91AE1" w:rsidP="001D2CEB">
      <w:pPr>
        <w:pStyle w:val="SubParagraph"/>
        <w:tabs>
          <w:tab w:val="clear" w:pos="1800"/>
        </w:tabs>
      </w:pPr>
      <w:r w:rsidRPr="00323048">
        <w:rPr>
          <w:strike/>
        </w:rPr>
        <w:t>(2)</w:t>
      </w:r>
      <w:r w:rsidRPr="00323048">
        <w:tab/>
      </w:r>
      <w:r w:rsidRPr="00323048">
        <w:rPr>
          <w:strike/>
        </w:rPr>
        <w:t>not allow students to review or retain copies of end-of-course examinations and any materials used during the examination; and</w:t>
      </w:r>
    </w:p>
    <w:p w14:paraId="1CC642EE" w14:textId="77777777" w:rsidR="00E91AE1" w:rsidRPr="00323048" w:rsidRDefault="00E91AE1" w:rsidP="001D2CEB">
      <w:pPr>
        <w:pStyle w:val="SubParagraph"/>
        <w:tabs>
          <w:tab w:val="clear" w:pos="1800"/>
        </w:tabs>
      </w:pPr>
      <w:r w:rsidRPr="00323048">
        <w:rPr>
          <w:strike/>
        </w:rPr>
        <w:t>(3)</w:t>
      </w:r>
      <w:r w:rsidRPr="00323048">
        <w:tab/>
      </w:r>
      <w:r w:rsidRPr="00323048">
        <w:rPr>
          <w:strike/>
        </w:rPr>
        <w:t>only use guest lecturers that have been approved by the school director pursuant to Rule .0204(d) of this Section.</w:t>
      </w:r>
    </w:p>
    <w:p w14:paraId="7D025DDA" w14:textId="77777777" w:rsidR="00E91AE1" w:rsidRPr="00323048" w:rsidRDefault="00E91AE1" w:rsidP="001D2CEB">
      <w:pPr>
        <w:pStyle w:val="Paragraph"/>
      </w:pPr>
      <w:r w:rsidRPr="00323048">
        <w:rPr>
          <w:strike/>
        </w:rPr>
        <w:t>(d)</w:t>
      </w:r>
      <w:r w:rsidRPr="00323048">
        <w:rPr>
          <w:u w:val="single"/>
        </w:rPr>
        <w:t>(</w:t>
      </w:r>
      <w:proofErr w:type="gramStart"/>
      <w:r w:rsidRPr="00323048">
        <w:rPr>
          <w:u w:val="single"/>
        </w:rPr>
        <w:t>b)</w:t>
      </w:r>
      <w:r w:rsidRPr="00323048">
        <w:t xml:space="preserve">  Instructors</w:t>
      </w:r>
      <w:proofErr w:type="gramEnd"/>
      <w:r w:rsidRPr="00323048">
        <w:t xml:space="preserve"> shall not obtain, use, or attempt to obtain or use, in any manner or form, North Carolina real estate license examination questions.</w:t>
      </w:r>
    </w:p>
    <w:p w14:paraId="5ED779A4" w14:textId="77777777" w:rsidR="00E91AE1" w:rsidRPr="00323048" w:rsidRDefault="00E91AE1" w:rsidP="001D2CEB">
      <w:pPr>
        <w:pStyle w:val="Base"/>
      </w:pPr>
    </w:p>
    <w:p w14:paraId="0B6275C1" w14:textId="613AB59F" w:rsidR="00E91AE1" w:rsidRPr="00323048" w:rsidRDefault="00E91AE1" w:rsidP="00E91AE1">
      <w:pPr>
        <w:pStyle w:val="HistoryAuthority"/>
      </w:pPr>
      <w:r w:rsidRPr="00323048">
        <w:t>Authority G.S. 93A-4; 93A-33; 93A-34</w:t>
      </w:r>
      <w:r>
        <w:t>.</w:t>
      </w:r>
    </w:p>
    <w:p w14:paraId="61169401" w14:textId="77777777" w:rsidR="00E91AE1" w:rsidRPr="00323048" w:rsidRDefault="00E91AE1" w:rsidP="001D2CEB">
      <w:pPr>
        <w:pStyle w:val="Base"/>
      </w:pPr>
    </w:p>
    <w:p w14:paraId="3A38C241" w14:textId="77777777" w:rsidR="00E91AE1" w:rsidRPr="00FA57FD" w:rsidRDefault="00E91AE1" w:rsidP="001D2CEB">
      <w:pPr>
        <w:pStyle w:val="Rule"/>
      </w:pPr>
      <w:r w:rsidRPr="00FA57FD">
        <w:t>21 NCAC 58H .0305</w:t>
      </w:r>
      <w:r w:rsidRPr="00FA57FD">
        <w:tab/>
        <w:t>digital video recordings</w:t>
      </w:r>
    </w:p>
    <w:p w14:paraId="2E8113ED" w14:textId="77777777" w:rsidR="00E91AE1" w:rsidRPr="00FA57FD" w:rsidRDefault="00E91AE1" w:rsidP="001D2CEB">
      <w:pPr>
        <w:pStyle w:val="Paragraph"/>
      </w:pPr>
      <w:r w:rsidRPr="00FA57FD">
        <w:t xml:space="preserve">(a)  Upon request of the Commission during an investigation, an </w:t>
      </w:r>
      <w:r w:rsidRPr="00FA57FD">
        <w:rPr>
          <w:u w:val="single"/>
        </w:rPr>
        <w:t>education provider or</w:t>
      </w:r>
      <w:r w:rsidRPr="00FA57FD">
        <w:t xml:space="preserve"> approved instructor shall submit a digital video recording </w:t>
      </w:r>
      <w:r w:rsidRPr="00FA57FD">
        <w:rPr>
          <w:strike/>
        </w:rPr>
        <w:t>of the instructor teaching specified topics of a course, as identified by the Commission which the instructor is approved to teach.</w:t>
      </w:r>
      <w:r w:rsidRPr="00FA57FD">
        <w:t xml:space="preserve"> </w:t>
      </w:r>
      <w:r w:rsidRPr="00FA57FD">
        <w:rPr>
          <w:u w:val="single"/>
        </w:rPr>
        <w:t>depicting an instructor teaching a specified course topic.</w:t>
      </w:r>
    </w:p>
    <w:p w14:paraId="28E63C8C" w14:textId="77777777" w:rsidR="00E91AE1" w:rsidRPr="00FA57FD" w:rsidRDefault="00E91AE1" w:rsidP="001D2CEB">
      <w:pPr>
        <w:pStyle w:val="Paragraph"/>
      </w:pPr>
      <w:r w:rsidRPr="00FA57FD">
        <w:rPr>
          <w:strike/>
        </w:rPr>
        <w:t xml:space="preserve">(b)  Upon the request of the Commission during an investigation, a continuing education sponsor shall submit a digital video recording depicting a </w:t>
      </w:r>
      <w:proofErr w:type="gramStart"/>
      <w:r w:rsidRPr="00FA57FD">
        <w:rPr>
          <w:strike/>
        </w:rPr>
        <w:t>particular Update</w:t>
      </w:r>
      <w:proofErr w:type="gramEnd"/>
      <w:r w:rsidRPr="00FA57FD">
        <w:rPr>
          <w:strike/>
        </w:rPr>
        <w:t xml:space="preserve"> Course instructor, as designated by the Commission, teaching the Update course.</w:t>
      </w:r>
    </w:p>
    <w:p w14:paraId="23AD8B59" w14:textId="77777777" w:rsidR="00E91AE1" w:rsidRPr="00FA57FD" w:rsidRDefault="00E91AE1" w:rsidP="001D2CEB">
      <w:pPr>
        <w:pStyle w:val="Paragraph"/>
      </w:pPr>
      <w:r w:rsidRPr="00FA57FD">
        <w:rPr>
          <w:strike/>
        </w:rPr>
        <w:t>(c)</w:t>
      </w:r>
      <w:r w:rsidRPr="00FA57FD">
        <w:rPr>
          <w:u w:val="single"/>
        </w:rPr>
        <w:t>(</w:t>
      </w:r>
      <w:proofErr w:type="gramStart"/>
      <w:r w:rsidRPr="00FA57FD">
        <w:rPr>
          <w:u w:val="single"/>
        </w:rPr>
        <w:t>b)</w:t>
      </w:r>
      <w:r w:rsidRPr="00FA57FD">
        <w:t xml:space="preserve">  Any</w:t>
      </w:r>
      <w:proofErr w:type="gramEnd"/>
      <w:r w:rsidRPr="00FA57FD">
        <w:t xml:space="preserve"> digital video recording submitted to the Commission shall:</w:t>
      </w:r>
    </w:p>
    <w:p w14:paraId="53C7898E" w14:textId="77777777" w:rsidR="00E91AE1" w:rsidRPr="00FA57FD" w:rsidRDefault="00E91AE1" w:rsidP="001D2CEB">
      <w:pPr>
        <w:pStyle w:val="SubParagraph"/>
        <w:tabs>
          <w:tab w:val="clear" w:pos="1800"/>
        </w:tabs>
      </w:pPr>
      <w:r w:rsidRPr="00FA57FD">
        <w:t>(1)</w:t>
      </w:r>
      <w:r w:rsidRPr="00FA57FD">
        <w:tab/>
        <w:t>have been made within 12 months of the date of submission;</w:t>
      </w:r>
    </w:p>
    <w:p w14:paraId="28F4FD94" w14:textId="77777777" w:rsidR="00E91AE1" w:rsidRPr="00FA57FD" w:rsidRDefault="00E91AE1" w:rsidP="001D2CEB">
      <w:pPr>
        <w:pStyle w:val="SubParagraph"/>
        <w:tabs>
          <w:tab w:val="clear" w:pos="1800"/>
        </w:tabs>
      </w:pPr>
      <w:r w:rsidRPr="00FA57FD">
        <w:t>(2)</w:t>
      </w:r>
      <w:r w:rsidRPr="00FA57FD">
        <w:tab/>
        <w:t>be recorded either on a digital video disc (DVD), USB drive, or similar medium;</w:t>
      </w:r>
    </w:p>
    <w:p w14:paraId="59B0ED4E" w14:textId="77777777" w:rsidR="00E91AE1" w:rsidRPr="00FA57FD" w:rsidRDefault="00E91AE1" w:rsidP="001D2CEB">
      <w:pPr>
        <w:pStyle w:val="SubParagraph"/>
        <w:tabs>
          <w:tab w:val="clear" w:pos="1800"/>
        </w:tabs>
      </w:pPr>
      <w:r w:rsidRPr="00FA57FD">
        <w:t>(3)</w:t>
      </w:r>
      <w:r w:rsidRPr="00FA57FD">
        <w:tab/>
        <w:t>be unedited;</w:t>
      </w:r>
    </w:p>
    <w:p w14:paraId="738CC1AB" w14:textId="77777777" w:rsidR="00E91AE1" w:rsidRPr="00FA57FD" w:rsidRDefault="00E91AE1" w:rsidP="001D2CEB">
      <w:pPr>
        <w:pStyle w:val="SubParagraph"/>
        <w:tabs>
          <w:tab w:val="clear" w:pos="1800"/>
        </w:tabs>
      </w:pPr>
      <w:r w:rsidRPr="00FA57FD">
        <w:t>(4)</w:t>
      </w:r>
      <w:r w:rsidRPr="00FA57FD">
        <w:tab/>
        <w:t>display a visible date and time stamp during the entire video recording;</w:t>
      </w:r>
    </w:p>
    <w:p w14:paraId="79EEB261" w14:textId="77777777" w:rsidR="00E91AE1" w:rsidRPr="00FA57FD" w:rsidRDefault="00E91AE1" w:rsidP="001D2CEB">
      <w:pPr>
        <w:pStyle w:val="SubParagraph"/>
        <w:tabs>
          <w:tab w:val="clear" w:pos="1800"/>
        </w:tabs>
      </w:pPr>
      <w:r w:rsidRPr="00FA57FD">
        <w:t>(5)</w:t>
      </w:r>
      <w:r w:rsidRPr="00FA57FD">
        <w:tab/>
        <w:t xml:space="preserve">include a label identifying the instructor, the course title, subject being taught, </w:t>
      </w:r>
      <w:r w:rsidRPr="00FA57FD">
        <w:rPr>
          <w:strike/>
        </w:rPr>
        <w:t>student materials used,</w:t>
      </w:r>
      <w:r w:rsidRPr="00FA57FD">
        <w:t xml:space="preserve"> and dates of the video instruction;</w:t>
      </w:r>
    </w:p>
    <w:p w14:paraId="553E3DC8" w14:textId="77777777" w:rsidR="00E91AE1" w:rsidRPr="00FA57FD" w:rsidRDefault="00E91AE1" w:rsidP="001D2CEB">
      <w:pPr>
        <w:pStyle w:val="SubParagraph"/>
        <w:tabs>
          <w:tab w:val="clear" w:pos="1800"/>
        </w:tabs>
      </w:pPr>
      <w:r w:rsidRPr="00FA57FD">
        <w:rPr>
          <w:u w:val="single"/>
        </w:rPr>
        <w:t>(6)</w:t>
      </w:r>
      <w:r w:rsidRPr="00FA57FD">
        <w:tab/>
      </w:r>
      <w:r w:rsidRPr="00FA57FD">
        <w:rPr>
          <w:u w:val="single"/>
        </w:rPr>
        <w:t>include student materials used in the production of the video recording;</w:t>
      </w:r>
    </w:p>
    <w:p w14:paraId="4FD4F5F3" w14:textId="77777777" w:rsidR="00E91AE1" w:rsidRPr="00FA57FD" w:rsidRDefault="00E91AE1" w:rsidP="001D2CEB">
      <w:pPr>
        <w:pStyle w:val="SubParagraph"/>
        <w:tabs>
          <w:tab w:val="clear" w:pos="1800"/>
        </w:tabs>
      </w:pPr>
      <w:r w:rsidRPr="00FA57FD">
        <w:rPr>
          <w:strike/>
        </w:rPr>
        <w:t>(6)</w:t>
      </w:r>
      <w:r w:rsidRPr="00FA57FD">
        <w:rPr>
          <w:u w:val="single"/>
        </w:rPr>
        <w:t>(7)</w:t>
      </w:r>
      <w:r w:rsidRPr="00FA57FD">
        <w:tab/>
        <w:t>have visual and sound quality to allow reviewers to see and hear the instructor; and</w:t>
      </w:r>
    </w:p>
    <w:p w14:paraId="37EC5261" w14:textId="77777777" w:rsidR="00E91AE1" w:rsidRPr="00FA57FD" w:rsidRDefault="00E91AE1" w:rsidP="001D2CEB">
      <w:pPr>
        <w:pStyle w:val="SubParagraph"/>
        <w:tabs>
          <w:tab w:val="clear" w:pos="1800"/>
        </w:tabs>
      </w:pPr>
      <w:r w:rsidRPr="00FA57FD">
        <w:rPr>
          <w:strike/>
        </w:rPr>
        <w:t>(7)</w:t>
      </w:r>
      <w:r w:rsidRPr="00FA57FD">
        <w:rPr>
          <w:u w:val="single"/>
        </w:rPr>
        <w:t>(8)</w:t>
      </w:r>
      <w:r w:rsidRPr="00FA57FD">
        <w:tab/>
        <w:t>show at least a portion of the students present in a live audience.</w:t>
      </w:r>
    </w:p>
    <w:p w14:paraId="00212AAF" w14:textId="77777777" w:rsidR="00E91AE1" w:rsidRPr="00FA57FD" w:rsidRDefault="00E91AE1" w:rsidP="001D2CEB">
      <w:pPr>
        <w:pStyle w:val="Paragraph"/>
      </w:pPr>
      <w:r w:rsidRPr="00FA57FD">
        <w:rPr>
          <w:strike/>
        </w:rPr>
        <w:t>(d)</w:t>
      </w:r>
      <w:r w:rsidRPr="00FA57FD">
        <w:rPr>
          <w:u w:val="single"/>
        </w:rPr>
        <w:t>(c</w:t>
      </w:r>
      <w:proofErr w:type="gramStart"/>
      <w:r w:rsidRPr="00FA57FD">
        <w:rPr>
          <w:u w:val="single"/>
        </w:rPr>
        <w:t>)</w:t>
      </w:r>
      <w:r w:rsidRPr="00FA57FD">
        <w:t xml:space="preserve">  The</w:t>
      </w:r>
      <w:proofErr w:type="gramEnd"/>
      <w:r w:rsidRPr="00FA57FD">
        <w:t xml:space="preserve"> deadline for any digital video recording requested during an investigation shall be 30 days after the date of the next scheduled course, but no later than 120 days after the Commission's request.</w:t>
      </w:r>
    </w:p>
    <w:p w14:paraId="136F2E14" w14:textId="77777777" w:rsidR="00E91AE1" w:rsidRPr="00FA57FD" w:rsidRDefault="00E91AE1" w:rsidP="001D2CEB">
      <w:pPr>
        <w:pStyle w:val="Base"/>
      </w:pPr>
    </w:p>
    <w:p w14:paraId="2B477914" w14:textId="5329CB3D" w:rsidR="00E91AE1" w:rsidRPr="00FA57FD" w:rsidRDefault="00E91AE1" w:rsidP="00E91AE1">
      <w:pPr>
        <w:pStyle w:val="HistoryAuthority"/>
      </w:pPr>
      <w:r w:rsidRPr="00FA57FD">
        <w:t>Authority G.S. 93A-4; 93A-33; 93A-34</w:t>
      </w:r>
      <w:r>
        <w:t>.</w:t>
      </w:r>
    </w:p>
    <w:p w14:paraId="1D3B8C05" w14:textId="77777777" w:rsidR="00E91AE1" w:rsidRPr="00FA57FD" w:rsidRDefault="00E91AE1" w:rsidP="001D2CEB">
      <w:pPr>
        <w:pStyle w:val="Base"/>
      </w:pPr>
    </w:p>
    <w:p w14:paraId="1077579D" w14:textId="77777777" w:rsidR="00E91AE1" w:rsidRPr="00361911" w:rsidRDefault="00E91AE1" w:rsidP="001D2CEB">
      <w:pPr>
        <w:pStyle w:val="Section"/>
      </w:pPr>
      <w:r w:rsidRPr="00361911">
        <w:t xml:space="preserve">SECTION .0400 - </w:t>
      </w:r>
      <w:r w:rsidRPr="00361911">
        <w:rPr>
          <w:strike/>
        </w:rPr>
        <w:t>CONTINUING EDUCATION</w:t>
      </w:r>
      <w:r w:rsidRPr="00361911">
        <w:t xml:space="preserve"> </w:t>
      </w:r>
      <w:r w:rsidRPr="00361911">
        <w:rPr>
          <w:u w:val="single"/>
        </w:rPr>
        <w:t>REAL ESTATE COURSES</w:t>
      </w:r>
    </w:p>
    <w:p w14:paraId="4D68D390" w14:textId="77777777" w:rsidR="00E91AE1" w:rsidRPr="00361911" w:rsidRDefault="00E91AE1" w:rsidP="001D2CEB">
      <w:pPr>
        <w:pStyle w:val="Base"/>
      </w:pPr>
    </w:p>
    <w:p w14:paraId="498917A0" w14:textId="77777777" w:rsidR="00E91AE1" w:rsidRPr="00361911" w:rsidRDefault="00E91AE1" w:rsidP="001D2CEB">
      <w:pPr>
        <w:pStyle w:val="Rule"/>
      </w:pPr>
      <w:r w:rsidRPr="00361911">
        <w:t>21 NCAC 58H .0401</w:t>
      </w:r>
      <w:r w:rsidRPr="00361911">
        <w:tab/>
      </w:r>
      <w:r w:rsidRPr="00361911">
        <w:rPr>
          <w:strike/>
        </w:rPr>
        <w:t>APPLICABILITY</w:t>
      </w:r>
      <w:r w:rsidRPr="00361911">
        <w:t xml:space="preserve"> </w:t>
      </w:r>
      <w:r w:rsidRPr="00361911">
        <w:rPr>
          <w:u w:val="single"/>
        </w:rPr>
        <w:t>APPROVAL of A REal Estate EDucation course</w:t>
      </w:r>
    </w:p>
    <w:p w14:paraId="2B5C2693" w14:textId="77777777" w:rsidR="00E91AE1" w:rsidRPr="00361911" w:rsidRDefault="00E91AE1" w:rsidP="001D2CEB">
      <w:pPr>
        <w:pStyle w:val="Paragraph"/>
      </w:pPr>
      <w:r w:rsidRPr="00361911">
        <w:rPr>
          <w:strike/>
        </w:rPr>
        <w:t>This Section shall apply to the application, renewal, and conduct of continuing education sponsors, continuing education elective courses, and Update Courses.</w:t>
      </w:r>
    </w:p>
    <w:p w14:paraId="094099E4" w14:textId="77777777" w:rsidR="00E91AE1" w:rsidRPr="005E587E" w:rsidRDefault="00E91AE1" w:rsidP="001D2CEB">
      <w:pPr>
        <w:pStyle w:val="Paragraph"/>
        <w:rPr>
          <w:u w:val="single"/>
        </w:rPr>
      </w:pPr>
      <w:r w:rsidRPr="005E587E">
        <w:rPr>
          <w:u w:val="single"/>
        </w:rPr>
        <w:t>(a)</w:t>
      </w:r>
      <w:r>
        <w:rPr>
          <w:u w:val="single"/>
        </w:rPr>
        <w:t xml:space="preserve"> </w:t>
      </w:r>
      <w:r w:rsidRPr="005E587E">
        <w:rPr>
          <w:u w:val="single"/>
        </w:rPr>
        <w:t xml:space="preserve"> Prior to obtaining the Commission's written approval of a real estate education course, education providers shall not offer, advertise, or otherwise represent that any real estate education course is, or may be, approved for credit in North Carolina.</w:t>
      </w:r>
    </w:p>
    <w:p w14:paraId="0E5C740E" w14:textId="77777777" w:rsidR="00E91AE1" w:rsidRPr="005E587E" w:rsidRDefault="00E91AE1" w:rsidP="001D2CEB">
      <w:pPr>
        <w:pStyle w:val="Paragraph"/>
        <w:rPr>
          <w:u w:val="single"/>
        </w:rPr>
      </w:pPr>
      <w:r w:rsidRPr="005E587E">
        <w:rPr>
          <w:u w:val="single"/>
        </w:rPr>
        <w:t>(b)</w:t>
      </w:r>
      <w:r>
        <w:rPr>
          <w:u w:val="single"/>
        </w:rPr>
        <w:t xml:space="preserve"> </w:t>
      </w:r>
      <w:r w:rsidRPr="005E587E">
        <w:rPr>
          <w:u w:val="single"/>
        </w:rPr>
        <w:t xml:space="preserve"> An education provider seeking original approval of a proposed course shall complete an application on a form available on the Commission's website that requires the applicant to set forth the:</w:t>
      </w:r>
    </w:p>
    <w:p w14:paraId="0BDD07B8" w14:textId="77777777" w:rsidR="00E91AE1" w:rsidRPr="00361911" w:rsidRDefault="00E91AE1" w:rsidP="001D2CEB">
      <w:pPr>
        <w:pStyle w:val="Item"/>
        <w:tabs>
          <w:tab w:val="clear" w:pos="1800"/>
        </w:tabs>
      </w:pPr>
      <w:r w:rsidRPr="00361911">
        <w:rPr>
          <w:u w:val="single"/>
        </w:rPr>
        <w:t>(1)</w:t>
      </w:r>
      <w:r w:rsidRPr="00361911">
        <w:tab/>
      </w:r>
      <w:r w:rsidRPr="00361911">
        <w:rPr>
          <w:u w:val="single"/>
        </w:rPr>
        <w:t>title of the proposed course;</w:t>
      </w:r>
    </w:p>
    <w:p w14:paraId="397DCE06" w14:textId="77777777" w:rsidR="00E91AE1" w:rsidRPr="00361911" w:rsidRDefault="00E91AE1" w:rsidP="001D2CEB">
      <w:pPr>
        <w:pStyle w:val="Item"/>
        <w:tabs>
          <w:tab w:val="clear" w:pos="1800"/>
        </w:tabs>
      </w:pPr>
      <w:r w:rsidRPr="00361911">
        <w:rPr>
          <w:u w:val="single"/>
        </w:rPr>
        <w:t>(2)</w:t>
      </w:r>
      <w:r w:rsidRPr="00361911">
        <w:tab/>
      </w:r>
      <w:r w:rsidRPr="00361911">
        <w:rPr>
          <w:u w:val="single"/>
        </w:rPr>
        <w:t>education provider's legal name, address, and telephone number;</w:t>
      </w:r>
    </w:p>
    <w:p w14:paraId="2A558E27" w14:textId="77777777" w:rsidR="00E91AE1" w:rsidRPr="00361911" w:rsidRDefault="00E91AE1" w:rsidP="001D2CEB">
      <w:pPr>
        <w:pStyle w:val="Item"/>
        <w:tabs>
          <w:tab w:val="clear" w:pos="1800"/>
        </w:tabs>
      </w:pPr>
      <w:r w:rsidRPr="00361911">
        <w:rPr>
          <w:u w:val="single"/>
        </w:rPr>
        <w:t>(3)</w:t>
      </w:r>
      <w:r w:rsidRPr="00361911">
        <w:tab/>
      </w:r>
      <w:r w:rsidRPr="00361911">
        <w:rPr>
          <w:u w:val="single"/>
        </w:rPr>
        <w:t>education director's legal name;</w:t>
      </w:r>
    </w:p>
    <w:p w14:paraId="2F3B3D12" w14:textId="77777777" w:rsidR="00E91AE1" w:rsidRPr="00361911" w:rsidRDefault="00E91AE1" w:rsidP="001D2CEB">
      <w:pPr>
        <w:pStyle w:val="Item"/>
        <w:tabs>
          <w:tab w:val="clear" w:pos="1800"/>
        </w:tabs>
      </w:pPr>
      <w:r w:rsidRPr="00361911">
        <w:rPr>
          <w:u w:val="single"/>
        </w:rPr>
        <w:t>(4)</w:t>
      </w:r>
      <w:r w:rsidRPr="00361911">
        <w:tab/>
      </w:r>
      <w:r w:rsidRPr="00361911">
        <w:rPr>
          <w:u w:val="single"/>
        </w:rPr>
        <w:t>education provider's number;</w:t>
      </w:r>
    </w:p>
    <w:p w14:paraId="0EA29949" w14:textId="77777777" w:rsidR="00E91AE1" w:rsidRPr="00361911" w:rsidRDefault="00E91AE1" w:rsidP="001D2CEB">
      <w:pPr>
        <w:pStyle w:val="Item"/>
        <w:tabs>
          <w:tab w:val="clear" w:pos="1800"/>
        </w:tabs>
      </w:pPr>
      <w:r w:rsidRPr="00361911">
        <w:rPr>
          <w:u w:val="single"/>
        </w:rPr>
        <w:t>(5)</w:t>
      </w:r>
      <w:r w:rsidRPr="00361911">
        <w:tab/>
      </w:r>
      <w:r w:rsidRPr="00361911">
        <w:rPr>
          <w:u w:val="single"/>
        </w:rPr>
        <w:t>credit hours awarded for completing the course;</w:t>
      </w:r>
    </w:p>
    <w:p w14:paraId="0EDF2C69" w14:textId="77777777" w:rsidR="00E91AE1" w:rsidRPr="00361911" w:rsidRDefault="00E91AE1" w:rsidP="001D2CEB">
      <w:pPr>
        <w:pStyle w:val="Item"/>
        <w:tabs>
          <w:tab w:val="clear" w:pos="1800"/>
        </w:tabs>
      </w:pPr>
      <w:r w:rsidRPr="00361911">
        <w:rPr>
          <w:u w:val="single"/>
        </w:rPr>
        <w:t>(6)</w:t>
      </w:r>
      <w:r w:rsidRPr="00361911">
        <w:tab/>
      </w:r>
      <w:r w:rsidRPr="00361911">
        <w:rPr>
          <w:u w:val="single"/>
        </w:rPr>
        <w:t>subject matter of the course;</w:t>
      </w:r>
    </w:p>
    <w:p w14:paraId="22B7760A" w14:textId="77777777" w:rsidR="00E91AE1" w:rsidRPr="00361911" w:rsidRDefault="00E91AE1" w:rsidP="001D2CEB">
      <w:pPr>
        <w:pStyle w:val="Item"/>
        <w:tabs>
          <w:tab w:val="clear" w:pos="1800"/>
        </w:tabs>
      </w:pPr>
      <w:r w:rsidRPr="00361911">
        <w:rPr>
          <w:u w:val="single"/>
        </w:rPr>
        <w:t>(7)</w:t>
      </w:r>
      <w:r w:rsidRPr="00361911">
        <w:tab/>
      </w:r>
      <w:r w:rsidRPr="00361911">
        <w:rPr>
          <w:u w:val="single"/>
        </w:rPr>
        <w:t>identity of the course owner;</w:t>
      </w:r>
    </w:p>
    <w:p w14:paraId="73381274" w14:textId="77777777" w:rsidR="00E91AE1" w:rsidRPr="00361911" w:rsidRDefault="00E91AE1" w:rsidP="001D2CEB">
      <w:pPr>
        <w:pStyle w:val="Item"/>
        <w:tabs>
          <w:tab w:val="clear" w:pos="1800"/>
        </w:tabs>
      </w:pPr>
      <w:r w:rsidRPr="00361911">
        <w:rPr>
          <w:u w:val="single"/>
        </w:rPr>
        <w:t>(8)</w:t>
      </w:r>
      <w:r w:rsidRPr="00361911">
        <w:tab/>
      </w:r>
      <w:r w:rsidRPr="00361911">
        <w:rPr>
          <w:u w:val="single"/>
        </w:rPr>
        <w:t>written permission of the course owner, if other than the applicant;</w:t>
      </w:r>
    </w:p>
    <w:p w14:paraId="4928EE84" w14:textId="77777777" w:rsidR="00E91AE1" w:rsidRPr="00361911" w:rsidRDefault="00E91AE1" w:rsidP="001D2CEB">
      <w:pPr>
        <w:pStyle w:val="Item"/>
        <w:tabs>
          <w:tab w:val="clear" w:pos="1800"/>
        </w:tabs>
      </w:pPr>
      <w:r w:rsidRPr="00361911">
        <w:rPr>
          <w:u w:val="single"/>
        </w:rPr>
        <w:t>(9)</w:t>
      </w:r>
      <w:r w:rsidRPr="00361911">
        <w:tab/>
      </w:r>
      <w:r w:rsidRPr="00361911">
        <w:rPr>
          <w:u w:val="single"/>
        </w:rPr>
        <w:t>identity of prospective instructors;</w:t>
      </w:r>
    </w:p>
    <w:p w14:paraId="425319E4" w14:textId="77777777" w:rsidR="00E91AE1" w:rsidRPr="00361911" w:rsidRDefault="00E91AE1" w:rsidP="001D2CEB">
      <w:pPr>
        <w:pStyle w:val="Item"/>
        <w:tabs>
          <w:tab w:val="clear" w:pos="1800"/>
        </w:tabs>
      </w:pPr>
      <w:r w:rsidRPr="00361911">
        <w:rPr>
          <w:u w:val="single"/>
        </w:rPr>
        <w:t>(10)</w:t>
      </w:r>
      <w:r w:rsidRPr="00361911">
        <w:tab/>
      </w:r>
      <w:r w:rsidRPr="00361911">
        <w:rPr>
          <w:u w:val="single"/>
        </w:rPr>
        <w:t>a description of the method by which the education provider will proctor the end-of-course examination for Prelicensing and Postlicensing courses; and</w:t>
      </w:r>
    </w:p>
    <w:p w14:paraId="091514CD" w14:textId="77777777" w:rsidR="00E91AE1" w:rsidRPr="00361911" w:rsidRDefault="00E91AE1" w:rsidP="001D2CEB">
      <w:pPr>
        <w:pStyle w:val="Item"/>
        <w:tabs>
          <w:tab w:val="clear" w:pos="1800"/>
        </w:tabs>
      </w:pPr>
      <w:r w:rsidRPr="00361911">
        <w:rPr>
          <w:u w:val="single"/>
        </w:rPr>
        <w:t>(11)</w:t>
      </w:r>
      <w:r w:rsidRPr="00361911">
        <w:tab/>
      </w:r>
      <w:r w:rsidRPr="00361911">
        <w:rPr>
          <w:u w:val="single"/>
        </w:rPr>
        <w:t>education director's signature.</w:t>
      </w:r>
    </w:p>
    <w:p w14:paraId="08CBAF34" w14:textId="77777777" w:rsidR="00E91AE1" w:rsidRPr="00A70CF7" w:rsidRDefault="00E91AE1" w:rsidP="001D2CEB">
      <w:pPr>
        <w:pStyle w:val="Paragraph"/>
        <w:rPr>
          <w:u w:val="single"/>
        </w:rPr>
      </w:pPr>
      <w:r w:rsidRPr="00A70CF7">
        <w:rPr>
          <w:u w:val="single"/>
        </w:rPr>
        <w:t>(c)  The application for original approval shall be accompanied by a copy of the course guide, which shall include:</w:t>
      </w:r>
    </w:p>
    <w:p w14:paraId="090D103F" w14:textId="77777777" w:rsidR="00E91AE1" w:rsidRPr="00361911" w:rsidRDefault="00E91AE1" w:rsidP="001D2CEB">
      <w:pPr>
        <w:pStyle w:val="Item"/>
        <w:tabs>
          <w:tab w:val="clear" w:pos="1800"/>
        </w:tabs>
      </w:pPr>
      <w:r w:rsidRPr="00361911">
        <w:rPr>
          <w:u w:val="single"/>
        </w:rPr>
        <w:t>(1)</w:t>
      </w:r>
      <w:r w:rsidRPr="00361911">
        <w:tab/>
      </w:r>
      <w:r w:rsidRPr="00361911">
        <w:rPr>
          <w:u w:val="single"/>
        </w:rPr>
        <w:t>course objectives;</w:t>
      </w:r>
    </w:p>
    <w:p w14:paraId="5534F6C2" w14:textId="77777777" w:rsidR="00E91AE1" w:rsidRPr="00361911" w:rsidRDefault="00E91AE1" w:rsidP="001D2CEB">
      <w:pPr>
        <w:pStyle w:val="Item"/>
        <w:tabs>
          <w:tab w:val="clear" w:pos="1800"/>
        </w:tabs>
      </w:pPr>
      <w:r w:rsidRPr="00361911">
        <w:rPr>
          <w:u w:val="single"/>
        </w:rPr>
        <w:t>(2)</w:t>
      </w:r>
      <w:r w:rsidRPr="00361911">
        <w:tab/>
      </w:r>
      <w:r w:rsidRPr="00361911">
        <w:rPr>
          <w:u w:val="single"/>
        </w:rPr>
        <w:t>learning objectives for each topic;</w:t>
      </w:r>
    </w:p>
    <w:p w14:paraId="6BEB6151" w14:textId="77777777" w:rsidR="00E91AE1" w:rsidRPr="00361911" w:rsidRDefault="00E91AE1" w:rsidP="001D2CEB">
      <w:pPr>
        <w:pStyle w:val="Item"/>
        <w:tabs>
          <w:tab w:val="clear" w:pos="1800"/>
        </w:tabs>
      </w:pPr>
      <w:r w:rsidRPr="00361911">
        <w:rPr>
          <w:u w:val="single"/>
        </w:rPr>
        <w:t>(3)</w:t>
      </w:r>
      <w:r w:rsidRPr="00361911">
        <w:tab/>
      </w:r>
      <w:r w:rsidRPr="00361911">
        <w:rPr>
          <w:u w:val="single"/>
        </w:rPr>
        <w:t>a timed outline;</w:t>
      </w:r>
    </w:p>
    <w:p w14:paraId="40014F65" w14:textId="77777777" w:rsidR="00E91AE1" w:rsidRPr="00361911" w:rsidRDefault="00E91AE1" w:rsidP="001D2CEB">
      <w:pPr>
        <w:pStyle w:val="Item"/>
        <w:tabs>
          <w:tab w:val="clear" w:pos="1800"/>
        </w:tabs>
      </w:pPr>
      <w:r w:rsidRPr="00361911">
        <w:rPr>
          <w:u w:val="single"/>
        </w:rPr>
        <w:t>(4)</w:t>
      </w:r>
      <w:r w:rsidRPr="00361911">
        <w:tab/>
      </w:r>
      <w:r w:rsidRPr="00361911">
        <w:rPr>
          <w:u w:val="single"/>
        </w:rPr>
        <w:t>instructional methods and aids to be employed; and</w:t>
      </w:r>
    </w:p>
    <w:p w14:paraId="0D4FAFFC" w14:textId="77777777" w:rsidR="00E91AE1" w:rsidRPr="00361911" w:rsidRDefault="00E91AE1" w:rsidP="001D2CEB">
      <w:pPr>
        <w:pStyle w:val="Item"/>
        <w:tabs>
          <w:tab w:val="clear" w:pos="1800"/>
        </w:tabs>
      </w:pPr>
      <w:r w:rsidRPr="00361911">
        <w:rPr>
          <w:u w:val="single"/>
        </w:rPr>
        <w:t>(5)</w:t>
      </w:r>
      <w:r w:rsidRPr="00361911">
        <w:tab/>
      </w:r>
      <w:r w:rsidRPr="00361911">
        <w:rPr>
          <w:u w:val="single"/>
        </w:rPr>
        <w:t>all materials that will be provided to students.</w:t>
      </w:r>
    </w:p>
    <w:p w14:paraId="451F054D" w14:textId="77777777" w:rsidR="00E91AE1" w:rsidRPr="00A70CF7" w:rsidRDefault="00E91AE1" w:rsidP="001D2CEB">
      <w:pPr>
        <w:pStyle w:val="Paragraph"/>
        <w:rPr>
          <w:u w:val="single"/>
        </w:rPr>
      </w:pPr>
      <w:r w:rsidRPr="00A70CF7">
        <w:rPr>
          <w:u w:val="single"/>
        </w:rPr>
        <w:t xml:space="preserve">(d)  An applicant seeking approval to offer a distance education or blended learning course shall </w:t>
      </w:r>
      <w:proofErr w:type="gramStart"/>
      <w:r w:rsidRPr="00A70CF7">
        <w:rPr>
          <w:u w:val="single"/>
        </w:rPr>
        <w:t>submit an application</w:t>
      </w:r>
      <w:proofErr w:type="gramEnd"/>
      <w:r w:rsidRPr="00A70CF7">
        <w:rPr>
          <w:u w:val="single"/>
        </w:rPr>
        <w:t xml:space="preserve"> for original approval as well as:</w:t>
      </w:r>
    </w:p>
    <w:p w14:paraId="521B4200" w14:textId="77777777" w:rsidR="00E91AE1" w:rsidRPr="00361911" w:rsidRDefault="00E91AE1" w:rsidP="001D2CEB">
      <w:pPr>
        <w:pStyle w:val="Item"/>
        <w:tabs>
          <w:tab w:val="clear" w:pos="1800"/>
        </w:tabs>
      </w:pPr>
      <w:r w:rsidRPr="00361911">
        <w:rPr>
          <w:u w:val="single"/>
        </w:rPr>
        <w:t>(1)</w:t>
      </w:r>
      <w:r w:rsidRPr="00361911">
        <w:tab/>
      </w:r>
      <w:r w:rsidRPr="00361911">
        <w:rPr>
          <w:u w:val="single"/>
        </w:rPr>
        <w:t>a full copy of the course on the medium to be utilized for instruction;</w:t>
      </w:r>
    </w:p>
    <w:p w14:paraId="7ABFCA78" w14:textId="77777777" w:rsidR="00E91AE1" w:rsidRPr="00361911" w:rsidRDefault="00E91AE1" w:rsidP="001D2CEB">
      <w:pPr>
        <w:pStyle w:val="Item"/>
        <w:tabs>
          <w:tab w:val="clear" w:pos="1800"/>
        </w:tabs>
      </w:pPr>
      <w:r w:rsidRPr="00361911">
        <w:rPr>
          <w:u w:val="single"/>
        </w:rPr>
        <w:t>(2)</w:t>
      </w:r>
      <w:r w:rsidRPr="00361911">
        <w:tab/>
      </w:r>
      <w:r w:rsidRPr="00361911">
        <w:rPr>
          <w:u w:val="single"/>
        </w:rPr>
        <w:t>a description of the method by which the education provider will verify and record student attendance;</w:t>
      </w:r>
    </w:p>
    <w:p w14:paraId="2AC760F2" w14:textId="77777777" w:rsidR="00E91AE1" w:rsidRPr="00361911" w:rsidRDefault="00E91AE1" w:rsidP="001D2CEB">
      <w:pPr>
        <w:pStyle w:val="Item"/>
        <w:tabs>
          <w:tab w:val="clear" w:pos="1800"/>
        </w:tabs>
      </w:pPr>
      <w:r w:rsidRPr="00361911">
        <w:rPr>
          <w:u w:val="single"/>
        </w:rPr>
        <w:t>(3)</w:t>
      </w:r>
      <w:r w:rsidRPr="00361911">
        <w:tab/>
      </w:r>
      <w:r w:rsidRPr="00361911">
        <w:rPr>
          <w:u w:val="single"/>
        </w:rPr>
        <w:t>a list of hardware and software or other equipment necessary to both offer and complete the course;</w:t>
      </w:r>
    </w:p>
    <w:p w14:paraId="3DDEE76D" w14:textId="77777777" w:rsidR="00E91AE1" w:rsidRPr="00361911" w:rsidRDefault="00E91AE1" w:rsidP="001D2CEB">
      <w:pPr>
        <w:pStyle w:val="Item"/>
        <w:tabs>
          <w:tab w:val="clear" w:pos="1800"/>
        </w:tabs>
      </w:pPr>
      <w:r w:rsidRPr="00361911">
        <w:rPr>
          <w:u w:val="single"/>
        </w:rPr>
        <w:t>(4)</w:t>
      </w:r>
      <w:r w:rsidRPr="00361911">
        <w:tab/>
      </w:r>
      <w:r w:rsidRPr="00361911">
        <w:rPr>
          <w:u w:val="single"/>
        </w:rPr>
        <w:t>the contact information for the technical support service for the course;</w:t>
      </w:r>
    </w:p>
    <w:p w14:paraId="2B610D53" w14:textId="77777777" w:rsidR="00E91AE1" w:rsidRPr="00361911" w:rsidRDefault="00E91AE1" w:rsidP="001D2CEB">
      <w:pPr>
        <w:pStyle w:val="Item"/>
        <w:tabs>
          <w:tab w:val="clear" w:pos="1800"/>
        </w:tabs>
      </w:pPr>
      <w:r w:rsidRPr="00361911">
        <w:rPr>
          <w:u w:val="single"/>
        </w:rPr>
        <w:t>(5)</w:t>
      </w:r>
      <w:r w:rsidRPr="00361911">
        <w:tab/>
      </w:r>
      <w:r w:rsidRPr="00361911">
        <w:rPr>
          <w:u w:val="single"/>
        </w:rPr>
        <w:t>a copy of the student orientation and course tutorial information;</w:t>
      </w:r>
    </w:p>
    <w:p w14:paraId="454902FE" w14:textId="77777777" w:rsidR="00E91AE1" w:rsidRPr="00361911" w:rsidRDefault="00E91AE1" w:rsidP="001D2CEB">
      <w:pPr>
        <w:pStyle w:val="Item"/>
        <w:tabs>
          <w:tab w:val="clear" w:pos="1800"/>
        </w:tabs>
      </w:pPr>
      <w:r w:rsidRPr="00361911">
        <w:rPr>
          <w:u w:val="single"/>
        </w:rPr>
        <w:t>(6)</w:t>
      </w:r>
      <w:r w:rsidRPr="00361911">
        <w:tab/>
      </w:r>
      <w:r w:rsidRPr="00361911">
        <w:rPr>
          <w:u w:val="single"/>
        </w:rPr>
        <w:t>a copy of the primary ARELLO or IDECC certification except for public education providers; and</w:t>
      </w:r>
    </w:p>
    <w:p w14:paraId="1D049BF3" w14:textId="77777777" w:rsidR="00E91AE1" w:rsidRPr="00361911" w:rsidRDefault="00E91AE1" w:rsidP="001D2CEB">
      <w:pPr>
        <w:pStyle w:val="Item"/>
        <w:tabs>
          <w:tab w:val="clear" w:pos="1800"/>
        </w:tabs>
      </w:pPr>
      <w:r w:rsidRPr="00361911">
        <w:rPr>
          <w:u w:val="single"/>
        </w:rPr>
        <w:t>(7)</w:t>
      </w:r>
      <w:r w:rsidRPr="00361911">
        <w:tab/>
      </w:r>
      <w:r w:rsidRPr="00361911">
        <w:rPr>
          <w:u w:val="single"/>
        </w:rPr>
        <w:t>all hardware and software necessary to review the submitted course at the expense of the applicant.</w:t>
      </w:r>
    </w:p>
    <w:p w14:paraId="54DF6C4D" w14:textId="77777777" w:rsidR="00E91AE1" w:rsidRPr="00A70CF7" w:rsidRDefault="00E91AE1" w:rsidP="001D2CEB">
      <w:pPr>
        <w:pStyle w:val="Paragraph"/>
        <w:rPr>
          <w:u w:val="single"/>
        </w:rPr>
      </w:pPr>
      <w:r w:rsidRPr="00A70CF7">
        <w:rPr>
          <w:u w:val="single"/>
        </w:rPr>
        <w:lastRenderedPageBreak/>
        <w:t>(e)  An education provider seeking approval to offer an already approved course shall complete an application on a form available on the Commission's website that requires the applicant to set forth the:</w:t>
      </w:r>
    </w:p>
    <w:p w14:paraId="1A4ABA90" w14:textId="77777777" w:rsidR="00E91AE1" w:rsidRPr="00361911" w:rsidRDefault="00E91AE1" w:rsidP="001D2CEB">
      <w:pPr>
        <w:pStyle w:val="Item"/>
        <w:tabs>
          <w:tab w:val="clear" w:pos="1800"/>
        </w:tabs>
      </w:pPr>
      <w:r w:rsidRPr="00361911">
        <w:rPr>
          <w:u w:val="single"/>
        </w:rPr>
        <w:t>(1)</w:t>
      </w:r>
      <w:r w:rsidRPr="00361911">
        <w:tab/>
      </w:r>
      <w:r w:rsidRPr="00361911">
        <w:rPr>
          <w:u w:val="single"/>
        </w:rPr>
        <w:t>title of the course;</w:t>
      </w:r>
    </w:p>
    <w:p w14:paraId="3FE3F211" w14:textId="77777777" w:rsidR="00E91AE1" w:rsidRPr="00361911" w:rsidRDefault="00E91AE1" w:rsidP="001D2CEB">
      <w:pPr>
        <w:pStyle w:val="Item"/>
        <w:tabs>
          <w:tab w:val="clear" w:pos="1800"/>
        </w:tabs>
      </w:pPr>
      <w:r w:rsidRPr="00361911">
        <w:rPr>
          <w:u w:val="single"/>
        </w:rPr>
        <w:t>(2)</w:t>
      </w:r>
      <w:r w:rsidRPr="00361911">
        <w:tab/>
      </w:r>
      <w:r w:rsidRPr="00361911">
        <w:rPr>
          <w:u w:val="single"/>
        </w:rPr>
        <w:t>applicant's legal name, address, and telephone number;</w:t>
      </w:r>
    </w:p>
    <w:p w14:paraId="26CA4228" w14:textId="77777777" w:rsidR="00E91AE1" w:rsidRPr="00361911" w:rsidRDefault="00E91AE1" w:rsidP="001D2CEB">
      <w:pPr>
        <w:pStyle w:val="Item"/>
        <w:tabs>
          <w:tab w:val="clear" w:pos="1800"/>
        </w:tabs>
      </w:pPr>
      <w:r w:rsidRPr="00361911">
        <w:rPr>
          <w:u w:val="single"/>
        </w:rPr>
        <w:t>(3)</w:t>
      </w:r>
      <w:r w:rsidRPr="00361911">
        <w:tab/>
      </w:r>
      <w:r w:rsidRPr="00361911">
        <w:rPr>
          <w:u w:val="single"/>
        </w:rPr>
        <w:t>applicant's education director's legal name;</w:t>
      </w:r>
    </w:p>
    <w:p w14:paraId="3858B30D" w14:textId="77777777" w:rsidR="00E91AE1" w:rsidRPr="00361911" w:rsidRDefault="00E91AE1" w:rsidP="001D2CEB">
      <w:pPr>
        <w:pStyle w:val="Item"/>
        <w:tabs>
          <w:tab w:val="clear" w:pos="1800"/>
        </w:tabs>
      </w:pPr>
      <w:r w:rsidRPr="00361911">
        <w:rPr>
          <w:u w:val="single"/>
        </w:rPr>
        <w:t>(4)</w:t>
      </w:r>
      <w:r w:rsidRPr="00361911">
        <w:tab/>
      </w:r>
      <w:r w:rsidRPr="00361911">
        <w:rPr>
          <w:u w:val="single"/>
        </w:rPr>
        <w:t>applicant's education provider number;</w:t>
      </w:r>
    </w:p>
    <w:p w14:paraId="3DD9CE3E" w14:textId="77777777" w:rsidR="00E91AE1" w:rsidRPr="00361911" w:rsidRDefault="00E91AE1" w:rsidP="001D2CEB">
      <w:pPr>
        <w:pStyle w:val="Item"/>
        <w:tabs>
          <w:tab w:val="clear" w:pos="1800"/>
        </w:tabs>
      </w:pPr>
      <w:r w:rsidRPr="00361911">
        <w:rPr>
          <w:u w:val="single"/>
        </w:rPr>
        <w:t>(5)</w:t>
      </w:r>
      <w:r w:rsidRPr="00361911">
        <w:tab/>
      </w:r>
      <w:r w:rsidRPr="00361911">
        <w:rPr>
          <w:u w:val="single"/>
        </w:rPr>
        <w:t>identity of the course owner;</w:t>
      </w:r>
    </w:p>
    <w:p w14:paraId="67C9F62A" w14:textId="77777777" w:rsidR="00E91AE1" w:rsidRPr="00361911" w:rsidRDefault="00E91AE1" w:rsidP="001D2CEB">
      <w:pPr>
        <w:pStyle w:val="Item"/>
        <w:tabs>
          <w:tab w:val="clear" w:pos="1800"/>
        </w:tabs>
      </w:pPr>
      <w:r w:rsidRPr="00361911">
        <w:rPr>
          <w:u w:val="single"/>
        </w:rPr>
        <w:t>(6)</w:t>
      </w:r>
      <w:r w:rsidRPr="00361911">
        <w:tab/>
      </w:r>
      <w:r w:rsidRPr="00361911">
        <w:rPr>
          <w:u w:val="single"/>
        </w:rPr>
        <w:t>written permission of the course owner, if other than the applicant;</w:t>
      </w:r>
    </w:p>
    <w:p w14:paraId="49F59AB3" w14:textId="77777777" w:rsidR="00E91AE1" w:rsidRPr="00361911" w:rsidRDefault="00E91AE1" w:rsidP="001D2CEB">
      <w:pPr>
        <w:pStyle w:val="Item"/>
        <w:tabs>
          <w:tab w:val="clear" w:pos="1800"/>
        </w:tabs>
      </w:pPr>
      <w:r w:rsidRPr="00361911">
        <w:rPr>
          <w:u w:val="single"/>
        </w:rPr>
        <w:t>(7)</w:t>
      </w:r>
      <w:r w:rsidRPr="00361911">
        <w:tab/>
      </w:r>
      <w:r w:rsidRPr="00361911">
        <w:rPr>
          <w:u w:val="single"/>
        </w:rPr>
        <w:t>identity of prospective instructors, if applicable;</w:t>
      </w:r>
    </w:p>
    <w:p w14:paraId="6E3C9F04" w14:textId="77777777" w:rsidR="00E91AE1" w:rsidRPr="00361911" w:rsidRDefault="00E91AE1" w:rsidP="001D2CEB">
      <w:pPr>
        <w:pStyle w:val="Item"/>
        <w:tabs>
          <w:tab w:val="clear" w:pos="1800"/>
        </w:tabs>
      </w:pPr>
      <w:r w:rsidRPr="00361911">
        <w:rPr>
          <w:u w:val="single"/>
        </w:rPr>
        <w:t>(8)</w:t>
      </w:r>
      <w:r w:rsidRPr="00361911">
        <w:tab/>
      </w:r>
      <w:r w:rsidRPr="00361911">
        <w:rPr>
          <w:u w:val="single"/>
        </w:rPr>
        <w:t>a copy of the secondary ARELLO or IDECC certification except for public education providers;</w:t>
      </w:r>
    </w:p>
    <w:p w14:paraId="26AD3C10" w14:textId="77777777" w:rsidR="00E91AE1" w:rsidRPr="00361911" w:rsidRDefault="00E91AE1" w:rsidP="001D2CEB">
      <w:pPr>
        <w:pStyle w:val="Item"/>
        <w:tabs>
          <w:tab w:val="clear" w:pos="1800"/>
        </w:tabs>
      </w:pPr>
      <w:r w:rsidRPr="00361911">
        <w:rPr>
          <w:u w:val="single"/>
        </w:rPr>
        <w:t>(9)</w:t>
      </w:r>
      <w:r w:rsidRPr="00361911">
        <w:tab/>
      </w:r>
      <w:r w:rsidRPr="00361911">
        <w:rPr>
          <w:u w:val="single"/>
        </w:rPr>
        <w:t>certification that the originally approved course will not be altered; and</w:t>
      </w:r>
    </w:p>
    <w:p w14:paraId="5EE602F5" w14:textId="77777777" w:rsidR="00E91AE1" w:rsidRPr="00361911" w:rsidRDefault="00E91AE1" w:rsidP="001D2CEB">
      <w:pPr>
        <w:pStyle w:val="Item"/>
        <w:tabs>
          <w:tab w:val="clear" w:pos="1800"/>
        </w:tabs>
      </w:pPr>
      <w:r w:rsidRPr="00361911">
        <w:rPr>
          <w:u w:val="single"/>
        </w:rPr>
        <w:t>(10)</w:t>
      </w:r>
      <w:r w:rsidRPr="00361911">
        <w:tab/>
      </w:r>
      <w:r w:rsidRPr="00361911">
        <w:rPr>
          <w:u w:val="single"/>
        </w:rPr>
        <w:t>education director's signature.</w:t>
      </w:r>
    </w:p>
    <w:p w14:paraId="390C6658" w14:textId="77777777" w:rsidR="00E91AE1" w:rsidRPr="005E587E" w:rsidRDefault="00E91AE1" w:rsidP="001D2CEB">
      <w:pPr>
        <w:pStyle w:val="Paragraph"/>
        <w:rPr>
          <w:u w:val="single"/>
        </w:rPr>
      </w:pPr>
      <w:r w:rsidRPr="005E587E">
        <w:rPr>
          <w:u w:val="single"/>
        </w:rPr>
        <w:t xml:space="preserve">(f) </w:t>
      </w:r>
      <w:r>
        <w:rPr>
          <w:u w:val="single"/>
        </w:rPr>
        <w:t xml:space="preserve"> </w:t>
      </w:r>
      <w:r w:rsidRPr="005E587E">
        <w:rPr>
          <w:u w:val="single"/>
        </w:rPr>
        <w:t xml:space="preserve">An education provider shall submit a one </w:t>
      </w:r>
      <w:proofErr w:type="gramStart"/>
      <w:r w:rsidRPr="005E587E">
        <w:rPr>
          <w:u w:val="single"/>
        </w:rPr>
        <w:t>hundred dollar</w:t>
      </w:r>
      <w:proofErr w:type="gramEnd"/>
      <w:r w:rsidRPr="005E587E">
        <w:rPr>
          <w:u w:val="single"/>
        </w:rPr>
        <w:t xml:space="preserve"> ($100.00) fee for each application submitted pursuant to Paragraph (e) of this Rule for any continuing education course. The application shall be deemed approved ten business days after the Commission has received the application and fee, unless the Commission notifies the applicant otherwise.</w:t>
      </w:r>
    </w:p>
    <w:p w14:paraId="2BBF02AE" w14:textId="77777777" w:rsidR="00E91AE1" w:rsidRPr="005E587E" w:rsidRDefault="00E91AE1" w:rsidP="001D2CEB">
      <w:pPr>
        <w:pStyle w:val="Paragraph"/>
        <w:rPr>
          <w:u w:val="single"/>
        </w:rPr>
      </w:pPr>
      <w:r w:rsidRPr="005E587E">
        <w:rPr>
          <w:u w:val="single"/>
        </w:rPr>
        <w:t>(g)</w:t>
      </w:r>
      <w:r>
        <w:rPr>
          <w:u w:val="single"/>
        </w:rPr>
        <w:t xml:space="preserve"> </w:t>
      </w:r>
      <w:r w:rsidRPr="005E587E">
        <w:rPr>
          <w:u w:val="single"/>
        </w:rPr>
        <w:t xml:space="preserve"> An education provider shall submit a </w:t>
      </w:r>
      <w:proofErr w:type="gramStart"/>
      <w:r w:rsidRPr="005E587E">
        <w:rPr>
          <w:u w:val="single"/>
        </w:rPr>
        <w:t>forty dollar</w:t>
      </w:r>
      <w:proofErr w:type="gramEnd"/>
      <w:r w:rsidRPr="005E587E">
        <w:rPr>
          <w:u w:val="single"/>
        </w:rPr>
        <w:t xml:space="preserve"> ($40.00) fee per Prelicensing or Postlicensing course offered at any of its branch locations. No fee shall be required for public education providers or an agency of federal, state, or local government.</w:t>
      </w:r>
    </w:p>
    <w:p w14:paraId="59D69657" w14:textId="77777777" w:rsidR="00E91AE1" w:rsidRPr="005E587E" w:rsidRDefault="00E91AE1" w:rsidP="001D2CEB">
      <w:pPr>
        <w:pStyle w:val="Paragraph"/>
        <w:rPr>
          <w:u w:val="single"/>
        </w:rPr>
      </w:pPr>
      <w:r w:rsidRPr="005E587E">
        <w:rPr>
          <w:u w:val="single"/>
        </w:rPr>
        <w:t xml:space="preserve">(h) </w:t>
      </w:r>
      <w:r>
        <w:rPr>
          <w:u w:val="single"/>
        </w:rPr>
        <w:t xml:space="preserve"> </w:t>
      </w:r>
      <w:r w:rsidRPr="005E587E">
        <w:rPr>
          <w:u w:val="single"/>
        </w:rPr>
        <w:t xml:space="preserve">An education provider shall submit a one </w:t>
      </w:r>
      <w:proofErr w:type="gramStart"/>
      <w:r w:rsidRPr="005E587E">
        <w:rPr>
          <w:u w:val="single"/>
        </w:rPr>
        <w:t>hundred dollar</w:t>
      </w:r>
      <w:proofErr w:type="gramEnd"/>
      <w:r w:rsidRPr="005E587E">
        <w:rPr>
          <w:u w:val="single"/>
        </w:rPr>
        <w:t xml:space="preserve"> ($100.00) fee per elective course. No fee shall be required for public education providers or an agency of federal, state, or local government.</w:t>
      </w:r>
    </w:p>
    <w:p w14:paraId="18526C3D" w14:textId="77777777" w:rsidR="00E91AE1" w:rsidRPr="005E587E" w:rsidRDefault="00E91AE1" w:rsidP="001D2CEB">
      <w:pPr>
        <w:pStyle w:val="Paragraph"/>
        <w:rPr>
          <w:u w:val="single"/>
        </w:rPr>
      </w:pPr>
      <w:r w:rsidRPr="005E587E">
        <w:rPr>
          <w:u w:val="single"/>
        </w:rPr>
        <w:t xml:space="preserve">(i) </w:t>
      </w:r>
      <w:r>
        <w:rPr>
          <w:u w:val="single"/>
        </w:rPr>
        <w:t xml:space="preserve"> </w:t>
      </w:r>
      <w:r w:rsidRPr="005E587E">
        <w:rPr>
          <w:u w:val="single"/>
        </w:rPr>
        <w:t>Any distance education course approved by the Commission on or before July 1, 2020, shall not have to obtain ARELLO or IDECC certification until July 1, 2022.</w:t>
      </w:r>
    </w:p>
    <w:p w14:paraId="2D0F1177" w14:textId="77777777" w:rsidR="00E91AE1" w:rsidRPr="00361911" w:rsidRDefault="00E91AE1" w:rsidP="001D2CEB">
      <w:pPr>
        <w:pStyle w:val="Base"/>
      </w:pPr>
    </w:p>
    <w:p w14:paraId="361DC9A3" w14:textId="1F800803" w:rsidR="00E91AE1" w:rsidRPr="00361911" w:rsidRDefault="00E91AE1" w:rsidP="00E91AE1">
      <w:pPr>
        <w:pStyle w:val="HistoryAuthority"/>
      </w:pPr>
      <w:r w:rsidRPr="00361911">
        <w:t xml:space="preserve">Authority G.S. </w:t>
      </w:r>
      <w:r w:rsidRPr="00361911">
        <w:rPr>
          <w:u w:val="single"/>
        </w:rPr>
        <w:t>93A-3(c);</w:t>
      </w:r>
      <w:r w:rsidRPr="00361911">
        <w:t xml:space="preserve"> 93A</w:t>
      </w:r>
      <w:r w:rsidRPr="00361911">
        <w:noBreakHyphen/>
        <w:t xml:space="preserve">4; 93A-33; 93A-34; </w:t>
      </w:r>
      <w:r w:rsidRPr="00361911">
        <w:rPr>
          <w:u w:val="single"/>
        </w:rPr>
        <w:t>93A-38.5</w:t>
      </w:r>
      <w:r>
        <w:rPr>
          <w:u w:val="single"/>
        </w:rPr>
        <w:t>.</w:t>
      </w:r>
    </w:p>
    <w:p w14:paraId="48318612" w14:textId="77777777" w:rsidR="00E91AE1" w:rsidRPr="00361911" w:rsidRDefault="00E91AE1" w:rsidP="001D2CEB">
      <w:pPr>
        <w:pStyle w:val="Base"/>
      </w:pPr>
    </w:p>
    <w:p w14:paraId="2EF142C5" w14:textId="77777777" w:rsidR="00E91AE1" w:rsidRPr="004F5A15" w:rsidRDefault="00E91AE1" w:rsidP="001D2CEB">
      <w:pPr>
        <w:pStyle w:val="Rule"/>
      </w:pPr>
      <w:r w:rsidRPr="004F5A15">
        <w:t>21 ncac 58h .0402</w:t>
      </w:r>
      <w:r w:rsidRPr="004F5A15">
        <w:tab/>
      </w:r>
      <w:r w:rsidRPr="004F5A15">
        <w:rPr>
          <w:strike/>
        </w:rPr>
        <w:t>APPLICATION FOR ORIGINAL APPROVAL of Continuing education sponsor</w:t>
      </w:r>
      <w:r w:rsidRPr="004F5A15">
        <w:t xml:space="preserve"> </w:t>
      </w:r>
      <w:r w:rsidRPr="004F5A15">
        <w:rPr>
          <w:u w:val="single"/>
        </w:rPr>
        <w:t>CONtinuing education elective course requirements</w:t>
      </w:r>
    </w:p>
    <w:p w14:paraId="789B5E6C" w14:textId="77777777" w:rsidR="00E91AE1" w:rsidRPr="004F5A15" w:rsidRDefault="00E91AE1" w:rsidP="001D2CEB">
      <w:pPr>
        <w:pStyle w:val="Paragraph"/>
      </w:pPr>
      <w:r w:rsidRPr="004F5A15">
        <w:rPr>
          <w:strike/>
        </w:rPr>
        <w:t>(a)  Only continuing education sponsors approved by the Commission shall be eligible to offer continuing education courses, including elective courses and Update Courses.</w:t>
      </w:r>
    </w:p>
    <w:p w14:paraId="7B8253C9" w14:textId="77777777" w:rsidR="00E91AE1" w:rsidRPr="004F5A15" w:rsidRDefault="00E91AE1" w:rsidP="001D2CEB">
      <w:pPr>
        <w:pStyle w:val="Paragraph"/>
      </w:pPr>
      <w:r w:rsidRPr="004F5A15">
        <w:rPr>
          <w:strike/>
        </w:rPr>
        <w:t>(b)  Any entity seeking original approval to be a continuing education sponsor shall make application on a form available on the Commission's website that requires the applicant to set forth:</w:t>
      </w:r>
    </w:p>
    <w:p w14:paraId="51D53E47" w14:textId="77777777" w:rsidR="00E91AE1" w:rsidRPr="004F5A15" w:rsidRDefault="00E91AE1" w:rsidP="001D2CEB">
      <w:pPr>
        <w:pStyle w:val="SubParagraph"/>
        <w:tabs>
          <w:tab w:val="clear" w:pos="1800"/>
        </w:tabs>
      </w:pPr>
      <w:r w:rsidRPr="004F5A15">
        <w:rPr>
          <w:strike/>
        </w:rPr>
        <w:t>(1)</w:t>
      </w:r>
      <w:r w:rsidRPr="004F5A15">
        <w:tab/>
      </w:r>
      <w:r w:rsidRPr="004F5A15">
        <w:rPr>
          <w:strike/>
        </w:rPr>
        <w:t>the legal name of applicant and any assumed business name;</w:t>
      </w:r>
    </w:p>
    <w:p w14:paraId="7CC31829" w14:textId="77777777" w:rsidR="00E91AE1" w:rsidRPr="004F5A15" w:rsidRDefault="00E91AE1" w:rsidP="001D2CEB">
      <w:pPr>
        <w:pStyle w:val="SubParagraph"/>
        <w:tabs>
          <w:tab w:val="clear" w:pos="1800"/>
        </w:tabs>
      </w:pPr>
      <w:r w:rsidRPr="004F5A15">
        <w:rPr>
          <w:strike/>
        </w:rPr>
        <w:t>(2)</w:t>
      </w:r>
      <w:r w:rsidRPr="004F5A15">
        <w:tab/>
      </w:r>
      <w:r w:rsidRPr="004F5A15">
        <w:rPr>
          <w:strike/>
        </w:rPr>
        <w:t>the applicant's mailing address, telephone number, and email address;</w:t>
      </w:r>
    </w:p>
    <w:p w14:paraId="6382CC16" w14:textId="77777777" w:rsidR="00E91AE1" w:rsidRPr="004F5A15" w:rsidRDefault="00E91AE1" w:rsidP="001D2CEB">
      <w:pPr>
        <w:pStyle w:val="SubParagraph"/>
        <w:tabs>
          <w:tab w:val="clear" w:pos="1800"/>
        </w:tabs>
      </w:pPr>
      <w:r w:rsidRPr="004F5A15">
        <w:rPr>
          <w:strike/>
        </w:rPr>
        <w:t>(3)</w:t>
      </w:r>
      <w:r w:rsidRPr="004F5A15">
        <w:tab/>
      </w:r>
      <w:r w:rsidRPr="004F5A15">
        <w:rPr>
          <w:strike/>
        </w:rPr>
        <w:t>the legal name of the individual who will serve as the applicant's continuing education coordinator as defined in Rule .0403 of this Section;</w:t>
      </w:r>
    </w:p>
    <w:p w14:paraId="2BDC571D" w14:textId="77777777" w:rsidR="00E91AE1" w:rsidRPr="004F5A15" w:rsidRDefault="00E91AE1" w:rsidP="001D2CEB">
      <w:pPr>
        <w:pStyle w:val="SubParagraph"/>
        <w:tabs>
          <w:tab w:val="clear" w:pos="1800"/>
        </w:tabs>
      </w:pPr>
      <w:r w:rsidRPr="004F5A15">
        <w:rPr>
          <w:strike/>
        </w:rPr>
        <w:t>(4)</w:t>
      </w:r>
      <w:r w:rsidRPr="004F5A15">
        <w:tab/>
      </w:r>
      <w:r w:rsidRPr="004F5A15">
        <w:rPr>
          <w:strike/>
        </w:rPr>
        <w:t>the applicant's form of business entity;</w:t>
      </w:r>
    </w:p>
    <w:p w14:paraId="3F06B553" w14:textId="77777777" w:rsidR="00E91AE1" w:rsidRPr="004F5A15" w:rsidRDefault="00E91AE1" w:rsidP="001D2CEB">
      <w:pPr>
        <w:pStyle w:val="SubParagraph"/>
        <w:tabs>
          <w:tab w:val="clear" w:pos="1800"/>
        </w:tabs>
      </w:pPr>
      <w:r w:rsidRPr="004F5A15">
        <w:rPr>
          <w:strike/>
        </w:rPr>
        <w:t>(5)</w:t>
      </w:r>
      <w:r w:rsidRPr="004F5A15">
        <w:tab/>
      </w:r>
      <w:r w:rsidRPr="004F5A15">
        <w:rPr>
          <w:strike/>
        </w:rPr>
        <w:t>the SOSID issued by the NC Secretary of State, if applicable;</w:t>
      </w:r>
    </w:p>
    <w:p w14:paraId="7F66F70F" w14:textId="77777777" w:rsidR="00E91AE1" w:rsidRPr="004F5A15" w:rsidRDefault="00E91AE1" w:rsidP="001D2CEB">
      <w:pPr>
        <w:pStyle w:val="SubParagraph"/>
        <w:tabs>
          <w:tab w:val="clear" w:pos="1800"/>
        </w:tabs>
      </w:pPr>
      <w:r w:rsidRPr="004F5A15">
        <w:rPr>
          <w:strike/>
        </w:rPr>
        <w:t>(6)</w:t>
      </w:r>
      <w:r w:rsidRPr="004F5A15">
        <w:tab/>
      </w:r>
      <w:r w:rsidRPr="004F5A15">
        <w:rPr>
          <w:strike/>
        </w:rPr>
        <w:t>the legal name(s) of the sponsor's owner(s);</w:t>
      </w:r>
    </w:p>
    <w:p w14:paraId="2C20E659" w14:textId="77777777" w:rsidR="00E91AE1" w:rsidRPr="004F5A15" w:rsidRDefault="00E91AE1" w:rsidP="001D2CEB">
      <w:pPr>
        <w:pStyle w:val="SubParagraph"/>
        <w:tabs>
          <w:tab w:val="clear" w:pos="1800"/>
        </w:tabs>
      </w:pPr>
      <w:r w:rsidRPr="004F5A15">
        <w:rPr>
          <w:strike/>
        </w:rPr>
        <w:t>(7)</w:t>
      </w:r>
      <w:r w:rsidRPr="004F5A15">
        <w:tab/>
      </w:r>
      <w:r w:rsidRPr="004F5A15">
        <w:rPr>
          <w:strike/>
        </w:rPr>
        <w:t>a record of any criminal convictions for all individuals listed as owner(s), manager(s), or partner(s);</w:t>
      </w:r>
    </w:p>
    <w:p w14:paraId="0531AD64" w14:textId="77777777" w:rsidR="00E91AE1" w:rsidRPr="004F5A15" w:rsidRDefault="00E91AE1" w:rsidP="001D2CEB">
      <w:pPr>
        <w:pStyle w:val="SubParagraph"/>
        <w:tabs>
          <w:tab w:val="clear" w:pos="1800"/>
        </w:tabs>
      </w:pPr>
      <w:r w:rsidRPr="004F5A15">
        <w:rPr>
          <w:strike/>
        </w:rPr>
        <w:t>(8)</w:t>
      </w:r>
      <w:r w:rsidRPr="004F5A15">
        <w:tab/>
      </w:r>
      <w:r w:rsidRPr="004F5A15">
        <w:rPr>
          <w:strike/>
        </w:rPr>
        <w:t>a record of any discipline related to a professional license for all individuals listed as owner(s), manager(s), or partner(s); and</w:t>
      </w:r>
    </w:p>
    <w:p w14:paraId="5DD58CA0" w14:textId="77777777" w:rsidR="00E91AE1" w:rsidRPr="004F5A15" w:rsidRDefault="00E91AE1" w:rsidP="001D2CEB">
      <w:pPr>
        <w:pStyle w:val="SubParagraph"/>
        <w:tabs>
          <w:tab w:val="clear" w:pos="1800"/>
        </w:tabs>
      </w:pPr>
      <w:r w:rsidRPr="004F5A15">
        <w:rPr>
          <w:strike/>
        </w:rPr>
        <w:t>(9)</w:t>
      </w:r>
      <w:r w:rsidRPr="004F5A15">
        <w:tab/>
      </w:r>
      <w:r w:rsidRPr="004F5A15">
        <w:rPr>
          <w:strike/>
        </w:rPr>
        <w:t>the signature of the applicant.</w:t>
      </w:r>
    </w:p>
    <w:p w14:paraId="6480B1E9" w14:textId="77777777" w:rsidR="00E91AE1" w:rsidRPr="004F5A15" w:rsidRDefault="00E91AE1" w:rsidP="001D2CEB">
      <w:pPr>
        <w:pStyle w:val="Paragraph"/>
      </w:pPr>
      <w:r w:rsidRPr="004F5A15">
        <w:rPr>
          <w:strike/>
        </w:rPr>
        <w:t>(c)  Any foreign or out-of-state entity or person applying for original approval shall submit a signed Consent to Service of Process and Pleadings form as required by G.S. 93A-10.</w:t>
      </w:r>
    </w:p>
    <w:p w14:paraId="3836250A" w14:textId="77777777" w:rsidR="00E91AE1" w:rsidRPr="004F5A15" w:rsidRDefault="00E91AE1" w:rsidP="001D2CEB">
      <w:pPr>
        <w:pStyle w:val="Paragraph"/>
      </w:pPr>
      <w:r w:rsidRPr="004F5A15">
        <w:rPr>
          <w:strike/>
        </w:rPr>
        <w:t>(d)  The name of any course sponsor shall not be identical to the name of any other approved continuing education course sponsor or licensed private real estate school.</w:t>
      </w:r>
    </w:p>
    <w:p w14:paraId="1037D1F8" w14:textId="77777777" w:rsidR="00E91AE1" w:rsidRPr="004F5A15" w:rsidRDefault="00E91AE1" w:rsidP="001D2CEB">
      <w:pPr>
        <w:pStyle w:val="Paragraph"/>
      </w:pPr>
      <w:r w:rsidRPr="004F5A15">
        <w:rPr>
          <w:strike/>
        </w:rPr>
        <w:t>(e)  Continuing education sponsors shall notify the Commission in writing within 10 days of any change in business name, ownership interest, continuing education coordinator, address, business telephone number, or email address.</w:t>
      </w:r>
    </w:p>
    <w:p w14:paraId="487EC8B2" w14:textId="77777777" w:rsidR="00E91AE1" w:rsidRPr="004F5A15" w:rsidRDefault="00E91AE1" w:rsidP="001D2CEB">
      <w:pPr>
        <w:pStyle w:val="Paragraph"/>
      </w:pPr>
      <w:r w:rsidRPr="004F5A15">
        <w:rPr>
          <w:u w:val="single"/>
        </w:rPr>
        <w:t>(a)  Continuing education elective courses shall:</w:t>
      </w:r>
    </w:p>
    <w:p w14:paraId="42E637F2" w14:textId="77777777" w:rsidR="00E91AE1" w:rsidRPr="004F5A15" w:rsidRDefault="00E91AE1" w:rsidP="001D2CEB">
      <w:pPr>
        <w:pStyle w:val="SubParagraph"/>
        <w:tabs>
          <w:tab w:val="clear" w:pos="1800"/>
        </w:tabs>
      </w:pPr>
      <w:r w:rsidRPr="004F5A15">
        <w:rPr>
          <w:u w:val="single"/>
        </w:rPr>
        <w:t>(1)</w:t>
      </w:r>
      <w:r w:rsidRPr="004F5A15">
        <w:tab/>
      </w:r>
      <w:r w:rsidRPr="004F5A15">
        <w:rPr>
          <w:u w:val="single"/>
        </w:rPr>
        <w:t>cover subject matter related to real estate brokerage practice and offer knowledge or skills that will enable brokers to better serve real estate consumers and the public interest;</w:t>
      </w:r>
    </w:p>
    <w:p w14:paraId="14FD0C3E" w14:textId="77777777" w:rsidR="00E91AE1" w:rsidRPr="004F5A15" w:rsidRDefault="00E91AE1" w:rsidP="001D2CEB">
      <w:pPr>
        <w:pStyle w:val="SubParagraph"/>
        <w:tabs>
          <w:tab w:val="clear" w:pos="1800"/>
        </w:tabs>
      </w:pPr>
      <w:r w:rsidRPr="004F5A15">
        <w:rPr>
          <w:u w:val="single"/>
        </w:rPr>
        <w:t>(2)</w:t>
      </w:r>
      <w:r w:rsidRPr="004F5A15">
        <w:tab/>
      </w:r>
      <w:r w:rsidRPr="004F5A15">
        <w:rPr>
          <w:u w:val="single"/>
        </w:rPr>
        <w:t>consist of at least four hours of instruction;</w:t>
      </w:r>
    </w:p>
    <w:p w14:paraId="4ACB6B62" w14:textId="77777777" w:rsidR="00E91AE1" w:rsidRPr="004F5A15" w:rsidRDefault="00E91AE1" w:rsidP="001D2CEB">
      <w:pPr>
        <w:pStyle w:val="SubParagraph"/>
        <w:tabs>
          <w:tab w:val="clear" w:pos="1800"/>
        </w:tabs>
      </w:pPr>
      <w:r w:rsidRPr="004F5A15">
        <w:rPr>
          <w:u w:val="single"/>
        </w:rPr>
        <w:t>(3)</w:t>
      </w:r>
      <w:r w:rsidRPr="004F5A15">
        <w:tab/>
      </w:r>
      <w:r w:rsidRPr="004F5A15">
        <w:rPr>
          <w:u w:val="single"/>
        </w:rPr>
        <w:t>offer four continuing education credit hours;</w:t>
      </w:r>
    </w:p>
    <w:p w14:paraId="78E365AA" w14:textId="77777777" w:rsidR="00E91AE1" w:rsidRPr="004F5A15" w:rsidRDefault="00E91AE1" w:rsidP="001D2CEB">
      <w:pPr>
        <w:pStyle w:val="SubParagraph"/>
        <w:tabs>
          <w:tab w:val="clear" w:pos="1800"/>
        </w:tabs>
      </w:pPr>
      <w:r w:rsidRPr="004F5A15">
        <w:rPr>
          <w:u w:val="single"/>
        </w:rPr>
        <w:t>(4)</w:t>
      </w:r>
      <w:r w:rsidRPr="004F5A15">
        <w:tab/>
      </w:r>
      <w:r w:rsidRPr="004F5A15">
        <w:rPr>
          <w:u w:val="single"/>
        </w:rPr>
        <w:t>include handout materials for students that provide the information to be presented in the course; and</w:t>
      </w:r>
    </w:p>
    <w:p w14:paraId="46C02D82" w14:textId="77777777" w:rsidR="00E91AE1" w:rsidRPr="004F5A15" w:rsidRDefault="00E91AE1" w:rsidP="001D2CEB">
      <w:pPr>
        <w:pStyle w:val="SubParagraph"/>
        <w:tabs>
          <w:tab w:val="clear" w:pos="1800"/>
        </w:tabs>
      </w:pPr>
      <w:r w:rsidRPr="004F5A15">
        <w:rPr>
          <w:u w:val="single"/>
        </w:rPr>
        <w:t>(5)</w:t>
      </w:r>
      <w:r w:rsidRPr="004F5A15">
        <w:tab/>
      </w:r>
      <w:r w:rsidRPr="004F5A15">
        <w:rPr>
          <w:u w:val="single"/>
        </w:rPr>
        <w:t>be taught only by an instructor who possesses at least one of the following:</w:t>
      </w:r>
    </w:p>
    <w:p w14:paraId="559EACB7" w14:textId="77777777" w:rsidR="00E91AE1" w:rsidRPr="004F5A15" w:rsidRDefault="00E91AE1" w:rsidP="001D2CEB">
      <w:pPr>
        <w:pStyle w:val="Part"/>
        <w:tabs>
          <w:tab w:val="clear" w:pos="2520"/>
        </w:tabs>
      </w:pPr>
      <w:r w:rsidRPr="004F5A15">
        <w:rPr>
          <w:u w:val="single"/>
        </w:rPr>
        <w:t>(A)</w:t>
      </w:r>
      <w:r w:rsidRPr="004F5A15">
        <w:tab/>
      </w:r>
      <w:r w:rsidRPr="004F5A15">
        <w:rPr>
          <w:u w:val="single"/>
        </w:rPr>
        <w:t>a baccalaureate or higher degree in a field directly related to the subject matter of the course;</w:t>
      </w:r>
    </w:p>
    <w:p w14:paraId="4354D62D" w14:textId="77777777" w:rsidR="00E91AE1" w:rsidRPr="004F5A15" w:rsidRDefault="00E91AE1" w:rsidP="001D2CEB">
      <w:pPr>
        <w:pStyle w:val="Part"/>
        <w:tabs>
          <w:tab w:val="clear" w:pos="2520"/>
        </w:tabs>
      </w:pPr>
      <w:r w:rsidRPr="004F5A15">
        <w:rPr>
          <w:u w:val="single"/>
        </w:rPr>
        <w:t>(B)</w:t>
      </w:r>
      <w:r w:rsidRPr="004F5A15">
        <w:tab/>
      </w:r>
      <w:r w:rsidRPr="004F5A15">
        <w:rPr>
          <w:u w:val="single"/>
        </w:rPr>
        <w:t>three years' full-time work experience within the previous 10 years that is directly related to the subject matter of the course;</w:t>
      </w:r>
    </w:p>
    <w:p w14:paraId="28A95331" w14:textId="77777777" w:rsidR="00E91AE1" w:rsidRPr="004F5A15" w:rsidRDefault="00E91AE1" w:rsidP="001D2CEB">
      <w:pPr>
        <w:pStyle w:val="Part"/>
        <w:tabs>
          <w:tab w:val="clear" w:pos="2520"/>
        </w:tabs>
      </w:pPr>
      <w:r w:rsidRPr="004F5A15">
        <w:rPr>
          <w:u w:val="single"/>
        </w:rPr>
        <w:t>(C)</w:t>
      </w:r>
      <w:r w:rsidRPr="004F5A15">
        <w:tab/>
      </w:r>
      <w:r w:rsidRPr="004F5A15">
        <w:rPr>
          <w:u w:val="single"/>
        </w:rPr>
        <w:t>three years' full-time experience within the previous 10 years teaching the subject matter of the course; or</w:t>
      </w:r>
    </w:p>
    <w:p w14:paraId="02E94649" w14:textId="77777777" w:rsidR="00E91AE1" w:rsidRPr="004F5A15" w:rsidRDefault="00E91AE1" w:rsidP="001D2CEB">
      <w:pPr>
        <w:pStyle w:val="Part"/>
        <w:tabs>
          <w:tab w:val="clear" w:pos="2520"/>
        </w:tabs>
      </w:pPr>
      <w:r w:rsidRPr="004F5A15">
        <w:rPr>
          <w:u w:val="single"/>
        </w:rPr>
        <w:t>(D)</w:t>
      </w:r>
      <w:r w:rsidRPr="004F5A15">
        <w:tab/>
      </w:r>
      <w:r w:rsidRPr="004F5A15">
        <w:rPr>
          <w:u w:val="single"/>
        </w:rPr>
        <w:t>education or experience or both found by the Commission to be equivalent to one of the above standards.</w:t>
      </w:r>
    </w:p>
    <w:p w14:paraId="4A3A1CEF" w14:textId="77777777" w:rsidR="00E91AE1" w:rsidRPr="004F5A15" w:rsidRDefault="00E91AE1" w:rsidP="001D2CEB">
      <w:pPr>
        <w:pStyle w:val="Paragraph"/>
      </w:pPr>
      <w:r w:rsidRPr="004F5A15">
        <w:rPr>
          <w:u w:val="single"/>
        </w:rPr>
        <w:t xml:space="preserve">(b)  Education providers shall obtain approval from the Commission before making any changes in the content of an elective course. Requests for approval of changes shall be in writing. However, changes in course content that are technical in nature do not require approval during the approval </w:t>
      </w:r>
      <w:proofErr w:type="gramStart"/>
      <w:r w:rsidRPr="004F5A15">
        <w:rPr>
          <w:u w:val="single"/>
        </w:rPr>
        <w:t>period, but</w:t>
      </w:r>
      <w:proofErr w:type="gramEnd"/>
      <w:r w:rsidRPr="004F5A15">
        <w:rPr>
          <w:u w:val="single"/>
        </w:rPr>
        <w:t xml:space="preserve"> shall be reported at the time the education provider requests renewal of course approval.</w:t>
      </w:r>
    </w:p>
    <w:p w14:paraId="3274E26E" w14:textId="77777777" w:rsidR="00E91AE1" w:rsidRPr="004F5A15" w:rsidRDefault="00E91AE1" w:rsidP="001D2CEB">
      <w:pPr>
        <w:pStyle w:val="Base"/>
      </w:pPr>
    </w:p>
    <w:p w14:paraId="491F6C21" w14:textId="61EDEB63" w:rsidR="00E91AE1" w:rsidRPr="004F5A15" w:rsidRDefault="00E91AE1" w:rsidP="00E91AE1">
      <w:pPr>
        <w:pStyle w:val="HistoryAuthority"/>
      </w:pPr>
      <w:r w:rsidRPr="004F5A15">
        <w:t xml:space="preserve">Authority G.S. 93A-3(c); </w:t>
      </w:r>
      <w:r w:rsidRPr="004F5A15">
        <w:rPr>
          <w:strike/>
        </w:rPr>
        <w:t>93A-4.1; 93A-10; 93A-34;</w:t>
      </w:r>
      <w:r w:rsidRPr="004F5A15">
        <w:t xml:space="preserve"> </w:t>
      </w:r>
      <w:r w:rsidRPr="004F5A15">
        <w:rPr>
          <w:u w:val="single"/>
        </w:rPr>
        <w:t>93A-38.5</w:t>
      </w:r>
      <w:r>
        <w:rPr>
          <w:u w:val="single"/>
        </w:rPr>
        <w:t>.</w:t>
      </w:r>
    </w:p>
    <w:p w14:paraId="737E38AA" w14:textId="77777777" w:rsidR="00E91AE1" w:rsidRPr="004F5A15" w:rsidRDefault="00E91AE1" w:rsidP="001D2CEB">
      <w:pPr>
        <w:pStyle w:val="Base"/>
      </w:pPr>
    </w:p>
    <w:p w14:paraId="4C50D6FB" w14:textId="77777777" w:rsidR="00E91AE1" w:rsidRPr="00991082" w:rsidRDefault="00E91AE1" w:rsidP="001D2CEB">
      <w:pPr>
        <w:pStyle w:val="Rule"/>
      </w:pPr>
      <w:r w:rsidRPr="00991082">
        <w:lastRenderedPageBreak/>
        <w:t>21 ncac 58h .0403</w:t>
      </w:r>
      <w:r w:rsidRPr="00991082">
        <w:tab/>
      </w:r>
      <w:r w:rsidRPr="00991082">
        <w:rPr>
          <w:strike/>
        </w:rPr>
        <w:t>CONTINUING EDUCATION COORDINATOR</w:t>
      </w:r>
      <w:r w:rsidRPr="00991082">
        <w:t xml:space="preserve"> </w:t>
      </w:r>
      <w:r w:rsidRPr="00991082">
        <w:rPr>
          <w:u w:val="single"/>
        </w:rPr>
        <w:t>Commission created Update courses</w:t>
      </w:r>
    </w:p>
    <w:p w14:paraId="54543386" w14:textId="77777777" w:rsidR="00E91AE1" w:rsidRPr="00991082" w:rsidRDefault="00E91AE1" w:rsidP="001D2CEB">
      <w:pPr>
        <w:pStyle w:val="Paragraph"/>
      </w:pPr>
      <w:r w:rsidRPr="00991082">
        <w:rPr>
          <w:strike/>
        </w:rPr>
        <w:t>(a)  Continuing education sponsors shall designate in writing to the Commission one person to serve as the continuing education coordinator. The continuing education coordinator shall serve as the official contact person for the sponsor and shall be responsible for:</w:t>
      </w:r>
    </w:p>
    <w:p w14:paraId="3D497B70" w14:textId="77777777" w:rsidR="00E91AE1" w:rsidRPr="00991082" w:rsidRDefault="00E91AE1" w:rsidP="001D2CEB">
      <w:pPr>
        <w:pStyle w:val="SubParagraph"/>
        <w:tabs>
          <w:tab w:val="clear" w:pos="1800"/>
        </w:tabs>
      </w:pPr>
      <w:r w:rsidRPr="00991082">
        <w:rPr>
          <w:strike/>
        </w:rPr>
        <w:t>(1)</w:t>
      </w:r>
      <w:r w:rsidRPr="00991082">
        <w:tab/>
      </w:r>
      <w:r w:rsidRPr="00991082">
        <w:rPr>
          <w:strike/>
        </w:rPr>
        <w:t>supervising the sponsor's continuing education courses;</w:t>
      </w:r>
    </w:p>
    <w:p w14:paraId="471156C5" w14:textId="77777777" w:rsidR="00E91AE1" w:rsidRPr="00991082" w:rsidRDefault="00E91AE1" w:rsidP="001D2CEB">
      <w:pPr>
        <w:pStyle w:val="SubParagraph"/>
        <w:tabs>
          <w:tab w:val="clear" w:pos="1800"/>
        </w:tabs>
      </w:pPr>
      <w:r w:rsidRPr="00991082">
        <w:rPr>
          <w:strike/>
        </w:rPr>
        <w:t>(2)</w:t>
      </w:r>
      <w:r w:rsidRPr="00991082">
        <w:tab/>
      </w:r>
      <w:r w:rsidRPr="00991082">
        <w:rPr>
          <w:strike/>
        </w:rPr>
        <w:t>ensuring continuing education elective courses are taught by instructors complying with Rule .0407 of this Section;</w:t>
      </w:r>
    </w:p>
    <w:p w14:paraId="7F3AB0A9" w14:textId="77777777" w:rsidR="00E91AE1" w:rsidRPr="00991082" w:rsidRDefault="00E91AE1" w:rsidP="001D2CEB">
      <w:pPr>
        <w:pStyle w:val="SubParagraph"/>
        <w:tabs>
          <w:tab w:val="clear" w:pos="1800"/>
        </w:tabs>
      </w:pPr>
      <w:r w:rsidRPr="00991082">
        <w:rPr>
          <w:strike/>
        </w:rPr>
        <w:t>(3)</w:t>
      </w:r>
      <w:r w:rsidRPr="00991082">
        <w:tab/>
      </w:r>
      <w:r w:rsidRPr="00991082">
        <w:rPr>
          <w:strike/>
        </w:rPr>
        <w:t>ensuring elective courses are taught according to the course materials approved by the Commission;</w:t>
      </w:r>
    </w:p>
    <w:p w14:paraId="09982F38" w14:textId="77777777" w:rsidR="00E91AE1" w:rsidRPr="00991082" w:rsidRDefault="00E91AE1" w:rsidP="001D2CEB">
      <w:pPr>
        <w:pStyle w:val="SubParagraph"/>
        <w:tabs>
          <w:tab w:val="clear" w:pos="1800"/>
        </w:tabs>
      </w:pPr>
      <w:r w:rsidRPr="00991082">
        <w:rPr>
          <w:strike/>
        </w:rPr>
        <w:t>(4)</w:t>
      </w:r>
      <w:r w:rsidRPr="00991082">
        <w:tab/>
      </w:r>
      <w:r w:rsidRPr="00991082">
        <w:rPr>
          <w:strike/>
        </w:rPr>
        <w:t>ensuring only approved instructors who have taken the Update Course Seminar for the current license period teach Update Courses;</w:t>
      </w:r>
    </w:p>
    <w:p w14:paraId="2E583982" w14:textId="77777777" w:rsidR="00E91AE1" w:rsidRPr="00991082" w:rsidRDefault="00E91AE1" w:rsidP="001D2CEB">
      <w:pPr>
        <w:pStyle w:val="SubParagraph"/>
        <w:tabs>
          <w:tab w:val="clear" w:pos="1800"/>
        </w:tabs>
      </w:pPr>
      <w:r w:rsidRPr="00991082">
        <w:rPr>
          <w:strike/>
        </w:rPr>
        <w:t>(5)</w:t>
      </w:r>
      <w:r w:rsidRPr="00991082">
        <w:tab/>
      </w:r>
      <w:r w:rsidRPr="00991082">
        <w:rPr>
          <w:strike/>
        </w:rPr>
        <w:t>ensuring students are furnished with the approved course materials pursuant to Rule .0406 of this Section;</w:t>
      </w:r>
    </w:p>
    <w:p w14:paraId="09A2F29E" w14:textId="77777777" w:rsidR="00E91AE1" w:rsidRPr="00991082" w:rsidRDefault="00E91AE1" w:rsidP="001D2CEB">
      <w:pPr>
        <w:pStyle w:val="SubParagraph"/>
        <w:tabs>
          <w:tab w:val="clear" w:pos="1800"/>
        </w:tabs>
      </w:pPr>
      <w:r w:rsidRPr="00991082">
        <w:rPr>
          <w:strike/>
        </w:rPr>
        <w:t>(6)</w:t>
      </w:r>
      <w:r w:rsidRPr="00991082">
        <w:tab/>
      </w:r>
      <w:r w:rsidRPr="00991082">
        <w:rPr>
          <w:strike/>
        </w:rPr>
        <w:t>signing course completion certificates;</w:t>
      </w:r>
    </w:p>
    <w:p w14:paraId="4B424854" w14:textId="77777777" w:rsidR="00E91AE1" w:rsidRPr="00991082" w:rsidRDefault="00E91AE1" w:rsidP="001D2CEB">
      <w:pPr>
        <w:pStyle w:val="SubParagraph"/>
        <w:tabs>
          <w:tab w:val="clear" w:pos="1800"/>
        </w:tabs>
      </w:pPr>
      <w:r w:rsidRPr="00991082">
        <w:rPr>
          <w:strike/>
        </w:rPr>
        <w:t>(7)</w:t>
      </w:r>
      <w:r w:rsidRPr="00991082">
        <w:tab/>
      </w:r>
      <w:r w:rsidRPr="00991082">
        <w:rPr>
          <w:strike/>
        </w:rPr>
        <w:t>submitting to the Commission all required fees, rosters, reports, and other information; and</w:t>
      </w:r>
    </w:p>
    <w:p w14:paraId="48DD8972" w14:textId="77777777" w:rsidR="00E91AE1" w:rsidRPr="00991082" w:rsidRDefault="00E91AE1" w:rsidP="001D2CEB">
      <w:pPr>
        <w:pStyle w:val="SubParagraph"/>
        <w:tabs>
          <w:tab w:val="clear" w:pos="1800"/>
        </w:tabs>
      </w:pPr>
      <w:r w:rsidRPr="00991082">
        <w:rPr>
          <w:strike/>
        </w:rPr>
        <w:t>(8)</w:t>
      </w:r>
      <w:r w:rsidRPr="00991082">
        <w:tab/>
      </w:r>
      <w:r w:rsidRPr="00991082">
        <w:rPr>
          <w:strike/>
        </w:rPr>
        <w:t>submitting to the Commission the name and the instructor number of each elective course instructor within 10 days of employment.</w:t>
      </w:r>
    </w:p>
    <w:p w14:paraId="75EEA677" w14:textId="77777777" w:rsidR="00E91AE1" w:rsidRPr="00991082" w:rsidRDefault="00E91AE1" w:rsidP="001D2CEB">
      <w:pPr>
        <w:pStyle w:val="Paragraph"/>
      </w:pPr>
      <w:r w:rsidRPr="00991082">
        <w:rPr>
          <w:strike/>
        </w:rPr>
        <w:t>(b)  Each continuing education coordinator shall view the Commission's Continuing Education Coordinator video electronically within 30 days of initial designation and annually within 45 days immediately preceding expiration of sponsor approval.</w:t>
      </w:r>
    </w:p>
    <w:p w14:paraId="5F750B14" w14:textId="77777777" w:rsidR="00E91AE1" w:rsidRPr="00991082" w:rsidRDefault="00E91AE1" w:rsidP="001D2CEB">
      <w:pPr>
        <w:pStyle w:val="Paragraph"/>
      </w:pPr>
      <w:r w:rsidRPr="00991082">
        <w:rPr>
          <w:u w:val="single"/>
        </w:rPr>
        <w:t>(a)  The Commission shall annually develop Update courses and shall produce instructor and student materials for use by education providers.</w:t>
      </w:r>
    </w:p>
    <w:p w14:paraId="2836F52E" w14:textId="77777777" w:rsidR="00E91AE1" w:rsidRPr="00991082" w:rsidRDefault="00E91AE1" w:rsidP="001D2CEB">
      <w:pPr>
        <w:pStyle w:val="Paragraph"/>
      </w:pPr>
      <w:r w:rsidRPr="00991082">
        <w:rPr>
          <w:u w:val="single"/>
        </w:rPr>
        <w:t xml:space="preserve">(b)  An education provider shall submit a one </w:t>
      </w:r>
      <w:proofErr w:type="gramStart"/>
      <w:r w:rsidRPr="00991082">
        <w:rPr>
          <w:u w:val="single"/>
        </w:rPr>
        <w:t>hundred dollar</w:t>
      </w:r>
      <w:proofErr w:type="gramEnd"/>
      <w:r w:rsidRPr="00991082">
        <w:rPr>
          <w:u w:val="single"/>
        </w:rPr>
        <w:t xml:space="preserve"> ($100.00) materials fee to offer the Update course.</w:t>
      </w:r>
    </w:p>
    <w:p w14:paraId="5F68A34D" w14:textId="77777777" w:rsidR="00E91AE1" w:rsidRPr="00991082" w:rsidRDefault="00E91AE1" w:rsidP="001D2CEB">
      <w:pPr>
        <w:pStyle w:val="Paragraph"/>
      </w:pPr>
      <w:r w:rsidRPr="00991082">
        <w:rPr>
          <w:u w:val="single"/>
        </w:rPr>
        <w:t>(c)  An education provider seeking approval to offer a modified Update course pursuant to Paragraph (f) of this Rule shall also submit the written permission of each of the course owners, if other than the applicant.</w:t>
      </w:r>
    </w:p>
    <w:p w14:paraId="4C4DA6A6" w14:textId="77777777" w:rsidR="00E91AE1" w:rsidRPr="00991082" w:rsidRDefault="00E91AE1" w:rsidP="001D2CEB">
      <w:pPr>
        <w:pStyle w:val="Paragraph"/>
      </w:pPr>
      <w:r w:rsidRPr="00991082">
        <w:rPr>
          <w:u w:val="single"/>
        </w:rPr>
        <w:t>(d)  Education providers shall use the Commission-developed course materials to conduct Update courses. Education providers shall provide a copy of the course materials to each broker taking an Update course.</w:t>
      </w:r>
    </w:p>
    <w:p w14:paraId="59FF1ACD" w14:textId="77777777" w:rsidR="00E91AE1" w:rsidRPr="00991082" w:rsidRDefault="00E91AE1" w:rsidP="001D2CEB">
      <w:pPr>
        <w:pStyle w:val="Paragraph"/>
      </w:pPr>
      <w:r w:rsidRPr="00991082">
        <w:rPr>
          <w:u w:val="single"/>
        </w:rPr>
        <w:t xml:space="preserve">(e)  All Update course materials developed by the Commission are the sole property of the Commission and are subject to the protection of federal copyright laws. Violation of the Commission's copyright </w:t>
      </w:r>
      <w:proofErr w:type="gramStart"/>
      <w:r w:rsidRPr="00991082">
        <w:rPr>
          <w:u w:val="single"/>
        </w:rPr>
        <w:t>with regard to</w:t>
      </w:r>
      <w:proofErr w:type="gramEnd"/>
      <w:r w:rsidRPr="00991082">
        <w:rPr>
          <w:u w:val="single"/>
        </w:rPr>
        <w:t xml:space="preserve"> these materials shall be grounds for disciplinary action or other action as permissible by law.</w:t>
      </w:r>
    </w:p>
    <w:p w14:paraId="2AB404EA" w14:textId="77777777" w:rsidR="00E91AE1" w:rsidRPr="00991082" w:rsidRDefault="00E91AE1" w:rsidP="001D2CEB">
      <w:pPr>
        <w:pStyle w:val="Paragraph"/>
      </w:pPr>
      <w:r w:rsidRPr="00991082">
        <w:rPr>
          <w:u w:val="single"/>
        </w:rPr>
        <w:t xml:space="preserve">(f)  With advance approval from the Commission, education providers and approved instructors may make modifications to the Update course when the Update course is being promoted to and conducted for a group of brokers that specialize in a </w:t>
      </w:r>
      <w:proofErr w:type="gramStart"/>
      <w:r w:rsidRPr="00991082">
        <w:rPr>
          <w:u w:val="single"/>
        </w:rPr>
        <w:t>particular area</w:t>
      </w:r>
      <w:proofErr w:type="gramEnd"/>
      <w:r w:rsidRPr="00991082">
        <w:rPr>
          <w:u w:val="single"/>
        </w:rPr>
        <w:t xml:space="preserve"> of real estate brokerage. Such modifications shall relate to the same general subject matter addressed in the prescribed Update course and the Update course as modified shall achieve </w:t>
      </w:r>
      <w:r w:rsidRPr="00991082">
        <w:rPr>
          <w:u w:val="single"/>
        </w:rPr>
        <w:t xml:space="preserve">the same educational objectives as the unmodified Update course. Where certain subject matter addressed in the prescribed Update course is not directly applicable to the group of brokers who specialize in the </w:t>
      </w:r>
      <w:proofErr w:type="gramStart"/>
      <w:r w:rsidRPr="00991082">
        <w:rPr>
          <w:u w:val="single"/>
        </w:rPr>
        <w:t>particular area</w:t>
      </w:r>
      <w:proofErr w:type="gramEnd"/>
      <w:r w:rsidRPr="00991082">
        <w:rPr>
          <w:u w:val="single"/>
        </w:rPr>
        <w:t xml:space="preserve"> of real estate brokerage being targeted, different subject matter and education objectives may be substituted with the prior written consent of the Commission. All modified Update course materials shall be the joint property of the Commission and the education provider or approved instructor approved to make such modifications, or as otherwise determined by written agreement. Violation of the Commission's copyright </w:t>
      </w:r>
      <w:proofErr w:type="gramStart"/>
      <w:r w:rsidRPr="00991082">
        <w:rPr>
          <w:u w:val="single"/>
        </w:rPr>
        <w:t>with regard to</w:t>
      </w:r>
      <w:proofErr w:type="gramEnd"/>
      <w:r w:rsidRPr="00991082">
        <w:rPr>
          <w:u w:val="single"/>
        </w:rPr>
        <w:t xml:space="preserve"> these materials shall be grounds for disciplinary action or other action as permitted by law.</w:t>
      </w:r>
    </w:p>
    <w:p w14:paraId="572D41B3" w14:textId="77777777" w:rsidR="00E91AE1" w:rsidRPr="00991082" w:rsidRDefault="00E91AE1" w:rsidP="001D2CEB">
      <w:pPr>
        <w:pStyle w:val="Base"/>
      </w:pPr>
    </w:p>
    <w:p w14:paraId="7E3E4ECF" w14:textId="27D7FDF1" w:rsidR="00E91AE1" w:rsidRPr="00991082" w:rsidRDefault="00E91AE1" w:rsidP="00E91AE1">
      <w:pPr>
        <w:pStyle w:val="HistoryAuthority"/>
      </w:pPr>
      <w:r w:rsidRPr="00991082">
        <w:t xml:space="preserve">Authority G.S. 93A-3; </w:t>
      </w:r>
      <w:r w:rsidRPr="00991082">
        <w:rPr>
          <w:strike/>
        </w:rPr>
        <w:t>93A-4.1;</w:t>
      </w:r>
      <w:r w:rsidRPr="00991082">
        <w:t xml:space="preserve"> </w:t>
      </w:r>
      <w:r w:rsidRPr="00991082">
        <w:rPr>
          <w:u w:val="single"/>
        </w:rPr>
        <w:t>93A-38.5</w:t>
      </w:r>
      <w:r>
        <w:rPr>
          <w:u w:val="single"/>
        </w:rPr>
        <w:t>.</w:t>
      </w:r>
    </w:p>
    <w:p w14:paraId="1AC0CA52" w14:textId="77777777" w:rsidR="00E91AE1" w:rsidRPr="00991082" w:rsidRDefault="00E91AE1" w:rsidP="001D2CEB">
      <w:pPr>
        <w:pStyle w:val="Base"/>
      </w:pPr>
    </w:p>
    <w:p w14:paraId="711E754B" w14:textId="77777777" w:rsidR="00E91AE1" w:rsidRPr="004E00D2" w:rsidRDefault="00E91AE1" w:rsidP="001D2CEB">
      <w:pPr>
        <w:pStyle w:val="Rule"/>
      </w:pPr>
      <w:r w:rsidRPr="004E00D2">
        <w:t>21 ncac 58h .0404</w:t>
      </w:r>
      <w:r w:rsidRPr="004E00D2">
        <w:tab/>
      </w:r>
      <w:r w:rsidRPr="004E00D2">
        <w:rPr>
          <w:strike/>
        </w:rPr>
        <w:t>RENEWAL OF SPONSOR APPROVAL</w:t>
      </w:r>
      <w:r w:rsidRPr="004E00D2">
        <w:t xml:space="preserve"> </w:t>
      </w:r>
      <w:r w:rsidRPr="004E00D2">
        <w:rPr>
          <w:u w:val="single"/>
        </w:rPr>
        <w:t>COURSE SCHEDULING</w:t>
      </w:r>
    </w:p>
    <w:p w14:paraId="38869F5B" w14:textId="77777777" w:rsidR="00E91AE1" w:rsidRPr="004E00D2" w:rsidRDefault="00E91AE1" w:rsidP="001D2CEB">
      <w:pPr>
        <w:pStyle w:val="Paragraph"/>
      </w:pPr>
      <w:r w:rsidRPr="004E00D2">
        <w:rPr>
          <w:strike/>
        </w:rPr>
        <w:t>(a)  Commission approval of all continuing education sponsors shall expire annually on June 30 following issuance of approval.</w:t>
      </w:r>
    </w:p>
    <w:p w14:paraId="1F9C291F" w14:textId="77777777" w:rsidR="00E91AE1" w:rsidRPr="004E00D2" w:rsidRDefault="00E91AE1" w:rsidP="001D2CEB">
      <w:pPr>
        <w:pStyle w:val="Paragraph"/>
      </w:pPr>
      <w:r w:rsidRPr="004E00D2">
        <w:rPr>
          <w:strike/>
        </w:rPr>
        <w:t>(b)  In order to ensure continuous sponsor approval, an approved sponsor shall file an electronic application for renewal of approval within the 45 days immediately preceding expiration of approval. The sponsor approval renewal application shall require the sponsor to set forth:</w:t>
      </w:r>
    </w:p>
    <w:p w14:paraId="44E2538B" w14:textId="77777777" w:rsidR="00E91AE1" w:rsidRPr="004E00D2" w:rsidRDefault="00E91AE1" w:rsidP="001D2CEB">
      <w:pPr>
        <w:pStyle w:val="SubParagraph"/>
        <w:tabs>
          <w:tab w:val="clear" w:pos="1800"/>
        </w:tabs>
      </w:pPr>
      <w:r w:rsidRPr="004E00D2">
        <w:rPr>
          <w:strike/>
        </w:rPr>
        <w:t>(1)</w:t>
      </w:r>
      <w:r w:rsidRPr="004E00D2">
        <w:tab/>
      </w:r>
      <w:r w:rsidRPr="004E00D2">
        <w:rPr>
          <w:strike/>
        </w:rPr>
        <w:t>the legal name of sponsor and any assumed business name;</w:t>
      </w:r>
    </w:p>
    <w:p w14:paraId="39ABC7B3" w14:textId="77777777" w:rsidR="00E91AE1" w:rsidRPr="004E00D2" w:rsidRDefault="00E91AE1" w:rsidP="001D2CEB">
      <w:pPr>
        <w:pStyle w:val="SubParagraph"/>
        <w:tabs>
          <w:tab w:val="clear" w:pos="1800"/>
        </w:tabs>
      </w:pPr>
      <w:r w:rsidRPr="004E00D2">
        <w:rPr>
          <w:strike/>
        </w:rPr>
        <w:t>(2)</w:t>
      </w:r>
      <w:r w:rsidRPr="004E00D2">
        <w:tab/>
      </w:r>
      <w:r w:rsidRPr="004E00D2">
        <w:rPr>
          <w:strike/>
        </w:rPr>
        <w:t>the sponsor number assigned by the Commission;</w:t>
      </w:r>
    </w:p>
    <w:p w14:paraId="0E18ED74" w14:textId="77777777" w:rsidR="00E91AE1" w:rsidRPr="004E00D2" w:rsidRDefault="00E91AE1" w:rsidP="001D2CEB">
      <w:pPr>
        <w:pStyle w:val="SubParagraph"/>
        <w:tabs>
          <w:tab w:val="clear" w:pos="1800"/>
        </w:tabs>
      </w:pPr>
      <w:r w:rsidRPr="004E00D2">
        <w:rPr>
          <w:strike/>
        </w:rPr>
        <w:t>(3)</w:t>
      </w:r>
      <w:r w:rsidRPr="004E00D2">
        <w:tab/>
      </w:r>
      <w:r w:rsidRPr="004E00D2">
        <w:rPr>
          <w:strike/>
        </w:rPr>
        <w:t>the sponsor's mailing address, telephone number, and email address;</w:t>
      </w:r>
    </w:p>
    <w:p w14:paraId="6D5A434B" w14:textId="77777777" w:rsidR="00E91AE1" w:rsidRPr="004E00D2" w:rsidRDefault="00E91AE1" w:rsidP="001D2CEB">
      <w:pPr>
        <w:pStyle w:val="SubParagraph"/>
        <w:tabs>
          <w:tab w:val="clear" w:pos="1800"/>
        </w:tabs>
      </w:pPr>
      <w:r w:rsidRPr="004E00D2">
        <w:rPr>
          <w:strike/>
        </w:rPr>
        <w:t>(4)</w:t>
      </w:r>
      <w:r w:rsidRPr="004E00D2">
        <w:tab/>
      </w:r>
      <w:r w:rsidRPr="004E00D2">
        <w:rPr>
          <w:strike/>
        </w:rPr>
        <w:t>the continuing education coordinator's legal name;</w:t>
      </w:r>
    </w:p>
    <w:p w14:paraId="3AD49161" w14:textId="77777777" w:rsidR="00E91AE1" w:rsidRPr="004E00D2" w:rsidRDefault="00E91AE1" w:rsidP="001D2CEB">
      <w:pPr>
        <w:pStyle w:val="SubParagraph"/>
        <w:tabs>
          <w:tab w:val="clear" w:pos="1800"/>
        </w:tabs>
      </w:pPr>
      <w:r w:rsidRPr="004E00D2">
        <w:rPr>
          <w:strike/>
        </w:rPr>
        <w:t>(5)</w:t>
      </w:r>
      <w:r w:rsidRPr="004E00D2">
        <w:tab/>
      </w:r>
      <w:r w:rsidRPr="004E00D2">
        <w:rPr>
          <w:strike/>
        </w:rPr>
        <w:t>any criminal convictions or occupational licensure disciplinary action taken against any individual listed as owner(s) of the sponsor since last approval;</w:t>
      </w:r>
    </w:p>
    <w:p w14:paraId="07D9F6E8" w14:textId="77777777" w:rsidR="00E91AE1" w:rsidRPr="004E00D2" w:rsidRDefault="00E91AE1" w:rsidP="001D2CEB">
      <w:pPr>
        <w:pStyle w:val="SubParagraph"/>
        <w:tabs>
          <w:tab w:val="clear" w:pos="1800"/>
        </w:tabs>
      </w:pPr>
      <w:r w:rsidRPr="004E00D2">
        <w:rPr>
          <w:strike/>
        </w:rPr>
        <w:t>(6)</w:t>
      </w:r>
      <w:r w:rsidRPr="004E00D2">
        <w:tab/>
      </w:r>
      <w:r w:rsidRPr="004E00D2">
        <w:rPr>
          <w:strike/>
        </w:rPr>
        <w:t>the name and course number of each continuing education elective course approved pursuant to Rule .0406 of this Section the applicant wishes to renew;</w:t>
      </w:r>
    </w:p>
    <w:p w14:paraId="4FE1CC64" w14:textId="77777777" w:rsidR="00E91AE1" w:rsidRPr="004E00D2" w:rsidRDefault="00E91AE1" w:rsidP="001D2CEB">
      <w:pPr>
        <w:pStyle w:val="SubParagraph"/>
        <w:tabs>
          <w:tab w:val="clear" w:pos="1800"/>
        </w:tabs>
      </w:pPr>
      <w:r w:rsidRPr="004E00D2">
        <w:rPr>
          <w:strike/>
        </w:rPr>
        <w:t>(7)</w:t>
      </w:r>
      <w:r w:rsidRPr="004E00D2">
        <w:tab/>
      </w:r>
      <w:r w:rsidRPr="004E00D2">
        <w:rPr>
          <w:strike/>
        </w:rPr>
        <w:t>a certification that the continuing education coordinator has completed the Commission's video training pursuant to Rule .0403(b) of this Section;</w:t>
      </w:r>
    </w:p>
    <w:p w14:paraId="246AF551" w14:textId="77777777" w:rsidR="00E91AE1" w:rsidRPr="004E00D2" w:rsidRDefault="00E91AE1" w:rsidP="001D2CEB">
      <w:pPr>
        <w:pStyle w:val="SubParagraph"/>
        <w:tabs>
          <w:tab w:val="clear" w:pos="1800"/>
        </w:tabs>
      </w:pPr>
      <w:r w:rsidRPr="004E00D2">
        <w:rPr>
          <w:strike/>
        </w:rPr>
        <w:t>(8)</w:t>
      </w:r>
      <w:r w:rsidRPr="004E00D2">
        <w:tab/>
      </w:r>
      <w:r w:rsidRPr="004E00D2">
        <w:rPr>
          <w:strike/>
        </w:rPr>
        <w:t xml:space="preserve">a certification that its facilities and equipment </w:t>
      </w:r>
      <w:proofErr w:type="gramStart"/>
      <w:r w:rsidRPr="004E00D2">
        <w:rPr>
          <w:strike/>
        </w:rPr>
        <w:t>are in compliance with</w:t>
      </w:r>
      <w:proofErr w:type="gramEnd"/>
      <w:r w:rsidRPr="004E00D2">
        <w:rPr>
          <w:strike/>
        </w:rPr>
        <w:t xml:space="preserve"> all applicable local, state, and federal laws and regulations regarding health, safety, and welfare, including the Americans with Disabilities Act; and</w:t>
      </w:r>
    </w:p>
    <w:p w14:paraId="3651E7DD" w14:textId="77777777" w:rsidR="00E91AE1" w:rsidRPr="004E00D2" w:rsidRDefault="00E91AE1" w:rsidP="001D2CEB">
      <w:pPr>
        <w:pStyle w:val="SubParagraph"/>
        <w:tabs>
          <w:tab w:val="clear" w:pos="1800"/>
        </w:tabs>
      </w:pPr>
      <w:r w:rsidRPr="004E00D2">
        <w:rPr>
          <w:strike/>
        </w:rPr>
        <w:t>(9)</w:t>
      </w:r>
      <w:r w:rsidRPr="004E00D2">
        <w:tab/>
      </w:r>
      <w:r w:rsidRPr="004E00D2">
        <w:rPr>
          <w:strike/>
        </w:rPr>
        <w:t>the signature of the sponsor.</w:t>
      </w:r>
    </w:p>
    <w:p w14:paraId="7F38CF0A" w14:textId="77777777" w:rsidR="00E91AE1" w:rsidRPr="004E00D2" w:rsidRDefault="00E91AE1" w:rsidP="001D2CEB">
      <w:pPr>
        <w:pStyle w:val="Paragraph"/>
      </w:pPr>
      <w:r w:rsidRPr="004E00D2">
        <w:rPr>
          <w:strike/>
        </w:rPr>
        <w:t>(c)  A continuing education sponsor also licensed or approved as a school may renew its continuing education sponsor approval on its school renewal form pursuant to Rule .0214 of this Subchapter.</w:t>
      </w:r>
    </w:p>
    <w:p w14:paraId="416BB6F5" w14:textId="77777777" w:rsidR="00E91AE1" w:rsidRPr="004E00D2" w:rsidRDefault="00E91AE1" w:rsidP="001D2CEB">
      <w:pPr>
        <w:pStyle w:val="Paragraph"/>
      </w:pPr>
      <w:r w:rsidRPr="004E00D2">
        <w:rPr>
          <w:strike/>
        </w:rPr>
        <w:t xml:space="preserve">(d)  Continuing education sponsors shall submit a </w:t>
      </w:r>
      <w:proofErr w:type="gramStart"/>
      <w:r w:rsidRPr="004E00D2">
        <w:rPr>
          <w:strike/>
        </w:rPr>
        <w:t>fifty dollar</w:t>
      </w:r>
      <w:proofErr w:type="gramEnd"/>
      <w:r w:rsidRPr="004E00D2">
        <w:rPr>
          <w:strike/>
        </w:rPr>
        <w:t xml:space="preserve"> ($50.00) fee for each continuing education elective course the sponsor wishes to renew. No fee is required if the entity making application is a public school or is an agency of federal, state or local government.</w:t>
      </w:r>
    </w:p>
    <w:p w14:paraId="5C56A673" w14:textId="77777777" w:rsidR="00E91AE1" w:rsidRPr="004E00D2" w:rsidRDefault="00E91AE1" w:rsidP="001D2CEB">
      <w:pPr>
        <w:pStyle w:val="Paragraph"/>
      </w:pPr>
      <w:r w:rsidRPr="004E00D2">
        <w:rPr>
          <w:strike/>
        </w:rPr>
        <w:lastRenderedPageBreak/>
        <w:t xml:space="preserve">(e)  Continuing education sponsors shall submit a one </w:t>
      </w:r>
      <w:proofErr w:type="gramStart"/>
      <w:r w:rsidRPr="004E00D2">
        <w:rPr>
          <w:strike/>
        </w:rPr>
        <w:t>hundred dollar</w:t>
      </w:r>
      <w:proofErr w:type="gramEnd"/>
      <w:r w:rsidRPr="004E00D2">
        <w:rPr>
          <w:strike/>
        </w:rPr>
        <w:t xml:space="preserve"> ($100.00) materials fee if the sponsor wishes to renew approval to offer Update courses. No fee is required if the entity making application is a public real estate school or is an agency of federal, state, or local government.</w:t>
      </w:r>
    </w:p>
    <w:p w14:paraId="033C74A1" w14:textId="77777777" w:rsidR="00E91AE1" w:rsidRPr="004E00D2" w:rsidRDefault="00E91AE1" w:rsidP="001D2CEB">
      <w:pPr>
        <w:pStyle w:val="Paragraph"/>
      </w:pPr>
      <w:r w:rsidRPr="004E00D2">
        <w:rPr>
          <w:u w:val="single"/>
        </w:rPr>
        <w:t>(a)  Continuing Education courses shall be scheduled and conducted in a manner that limits class sessions to a maximum of eight instructional hours in any given day. The maximum permissible class session without a break shall be 90 minutes. Courses scheduled for more than four instructional hours in any given day shall include a meal break of at least one hour.</w:t>
      </w:r>
    </w:p>
    <w:p w14:paraId="4152F8B7" w14:textId="77777777" w:rsidR="00E91AE1" w:rsidRPr="004E00D2" w:rsidRDefault="00E91AE1" w:rsidP="001D2CEB">
      <w:pPr>
        <w:pStyle w:val="Paragraph"/>
      </w:pPr>
      <w:r w:rsidRPr="004E00D2">
        <w:rPr>
          <w:u w:val="single"/>
        </w:rPr>
        <w:t>(b)  An education provider shall not offer, conduct, or allow a student to complete any continuing education course and offer continuing education credit between June 11 and June 30, inclusive.</w:t>
      </w:r>
    </w:p>
    <w:p w14:paraId="271C4F1D" w14:textId="77777777" w:rsidR="00E91AE1" w:rsidRPr="004E00D2" w:rsidRDefault="00E91AE1" w:rsidP="001D2CEB">
      <w:pPr>
        <w:pStyle w:val="Paragraph"/>
      </w:pPr>
      <w:r w:rsidRPr="004E00D2">
        <w:rPr>
          <w:u w:val="single"/>
        </w:rPr>
        <w:t>(c)  An education provider offering a distance education Continuing Education course shall require students to complete the course within 30 days of the date of registration or the date the student is provided the course materials and permitted to begin work, whichever is the later date. An education provider shall not offer, conduct, or allow a student to complete any course for continuing education credit between June 11 and June 30, inclusive.</w:t>
      </w:r>
    </w:p>
    <w:p w14:paraId="0413D2B9" w14:textId="77777777" w:rsidR="00E91AE1" w:rsidRPr="004E00D2" w:rsidRDefault="00E91AE1" w:rsidP="001D2CEB">
      <w:pPr>
        <w:pStyle w:val="Paragraph"/>
      </w:pPr>
      <w:r w:rsidRPr="004E00D2">
        <w:rPr>
          <w:u w:val="single"/>
        </w:rPr>
        <w:t>(d)  Education providers shall not utilize a scheduling system that allows students to enroll late for a course and then complete their course work in a subsequently scheduled course. Late enrollment shall be permitted only if the enrolling student can satisfy the minimum attendance requirement set forth in Rule .0207 of this Subchapter.</w:t>
      </w:r>
    </w:p>
    <w:p w14:paraId="0787A5C1" w14:textId="77777777" w:rsidR="00E91AE1" w:rsidRPr="004E00D2" w:rsidRDefault="00E91AE1" w:rsidP="001D2CEB">
      <w:pPr>
        <w:pStyle w:val="Paragraph"/>
      </w:pPr>
      <w:r w:rsidRPr="004E00D2">
        <w:rPr>
          <w:u w:val="single"/>
        </w:rPr>
        <w:t>(e)  Education providers shall notify the Commission of all scheduled course offerings no later than 10 days prior to a scheduled course beginning date.</w:t>
      </w:r>
    </w:p>
    <w:p w14:paraId="79EE8678" w14:textId="77777777" w:rsidR="00E91AE1" w:rsidRPr="004E00D2" w:rsidRDefault="00E91AE1" w:rsidP="001D2CEB">
      <w:pPr>
        <w:pStyle w:val="Paragraph"/>
      </w:pPr>
      <w:r w:rsidRPr="004E00D2">
        <w:rPr>
          <w:u w:val="single"/>
        </w:rPr>
        <w:t>(f)  The notice required by Paragraph (e) of this Rule shall include:</w:t>
      </w:r>
    </w:p>
    <w:p w14:paraId="4EA9B3FC" w14:textId="77777777" w:rsidR="00E91AE1" w:rsidRPr="004E00D2" w:rsidRDefault="00E91AE1" w:rsidP="001D2CEB">
      <w:pPr>
        <w:pStyle w:val="SubParagraph"/>
        <w:tabs>
          <w:tab w:val="clear" w:pos="1800"/>
        </w:tabs>
      </w:pPr>
      <w:r w:rsidRPr="004E00D2">
        <w:rPr>
          <w:u w:val="single"/>
        </w:rPr>
        <w:t>(1)</w:t>
      </w:r>
      <w:r w:rsidRPr="004E00D2">
        <w:tab/>
      </w:r>
      <w:r w:rsidRPr="004E00D2">
        <w:rPr>
          <w:u w:val="single"/>
        </w:rPr>
        <w:t>the education provider name;</w:t>
      </w:r>
    </w:p>
    <w:p w14:paraId="5F6AB744" w14:textId="77777777" w:rsidR="00E91AE1" w:rsidRPr="004E00D2" w:rsidRDefault="00E91AE1" w:rsidP="001D2CEB">
      <w:pPr>
        <w:pStyle w:val="SubParagraph"/>
        <w:tabs>
          <w:tab w:val="clear" w:pos="1800"/>
        </w:tabs>
      </w:pPr>
      <w:r w:rsidRPr="004E00D2">
        <w:rPr>
          <w:u w:val="single"/>
        </w:rPr>
        <w:t>(2)</w:t>
      </w:r>
      <w:r w:rsidRPr="004E00D2">
        <w:tab/>
      </w:r>
      <w:r w:rsidRPr="004E00D2">
        <w:rPr>
          <w:u w:val="single"/>
        </w:rPr>
        <w:t>the education provider number; and</w:t>
      </w:r>
    </w:p>
    <w:p w14:paraId="1C059B0D" w14:textId="77777777" w:rsidR="00E91AE1" w:rsidRPr="004E00D2" w:rsidRDefault="00E91AE1" w:rsidP="001D2CEB">
      <w:pPr>
        <w:pStyle w:val="SubParagraph"/>
        <w:tabs>
          <w:tab w:val="clear" w:pos="1800"/>
        </w:tabs>
      </w:pPr>
      <w:r w:rsidRPr="004E00D2">
        <w:rPr>
          <w:u w:val="single"/>
        </w:rPr>
        <w:t>(3)</w:t>
      </w:r>
      <w:r w:rsidRPr="004E00D2">
        <w:tab/>
      </w:r>
      <w:r w:rsidRPr="004E00D2">
        <w:rPr>
          <w:u w:val="single"/>
        </w:rPr>
        <w:t>for each scheduled course:</w:t>
      </w:r>
    </w:p>
    <w:p w14:paraId="1E19F20E" w14:textId="77777777" w:rsidR="00E91AE1" w:rsidRPr="004E00D2" w:rsidRDefault="00E91AE1" w:rsidP="001D2CEB">
      <w:pPr>
        <w:pStyle w:val="Part"/>
        <w:tabs>
          <w:tab w:val="clear" w:pos="2520"/>
        </w:tabs>
      </w:pPr>
      <w:r w:rsidRPr="004E00D2">
        <w:rPr>
          <w:u w:val="single"/>
        </w:rPr>
        <w:t>(A)</w:t>
      </w:r>
      <w:r w:rsidRPr="004E00D2">
        <w:tab/>
      </w:r>
      <w:r w:rsidRPr="004E00D2">
        <w:rPr>
          <w:u w:val="single"/>
        </w:rPr>
        <w:t>the name and course number;</w:t>
      </w:r>
    </w:p>
    <w:p w14:paraId="6467BCA1" w14:textId="77777777" w:rsidR="00E91AE1" w:rsidRPr="004E00D2" w:rsidRDefault="00E91AE1" w:rsidP="001D2CEB">
      <w:pPr>
        <w:pStyle w:val="Part"/>
        <w:tabs>
          <w:tab w:val="clear" w:pos="2520"/>
        </w:tabs>
      </w:pPr>
      <w:r w:rsidRPr="004E00D2">
        <w:rPr>
          <w:u w:val="single"/>
        </w:rPr>
        <w:t>(B)</w:t>
      </w:r>
      <w:r w:rsidRPr="004E00D2">
        <w:tab/>
      </w:r>
      <w:r w:rsidRPr="004E00D2">
        <w:rPr>
          <w:u w:val="single"/>
        </w:rPr>
        <w:t>the scheduled beginning and ending dates, if applicable;</w:t>
      </w:r>
    </w:p>
    <w:p w14:paraId="7ABC5981" w14:textId="77777777" w:rsidR="00E91AE1" w:rsidRPr="004E00D2" w:rsidRDefault="00E91AE1" w:rsidP="001D2CEB">
      <w:pPr>
        <w:pStyle w:val="Part"/>
        <w:tabs>
          <w:tab w:val="clear" w:pos="2520"/>
        </w:tabs>
      </w:pPr>
      <w:r w:rsidRPr="004E00D2">
        <w:rPr>
          <w:u w:val="single"/>
        </w:rPr>
        <w:t>(C)</w:t>
      </w:r>
      <w:r w:rsidRPr="004E00D2">
        <w:tab/>
      </w:r>
      <w:r w:rsidRPr="004E00D2">
        <w:rPr>
          <w:u w:val="single"/>
        </w:rPr>
        <w:t>the course meeting days and times, including any scheduled lunch breaks; and</w:t>
      </w:r>
    </w:p>
    <w:p w14:paraId="26C2B515" w14:textId="77777777" w:rsidR="00E91AE1" w:rsidRPr="004E00D2" w:rsidRDefault="00E91AE1" w:rsidP="001D2CEB">
      <w:pPr>
        <w:pStyle w:val="Part"/>
        <w:tabs>
          <w:tab w:val="clear" w:pos="2520"/>
        </w:tabs>
      </w:pPr>
      <w:r w:rsidRPr="004E00D2">
        <w:rPr>
          <w:u w:val="single"/>
        </w:rPr>
        <w:t>(D)</w:t>
      </w:r>
      <w:r w:rsidRPr="004E00D2">
        <w:tab/>
      </w:r>
      <w:r w:rsidRPr="004E00D2">
        <w:rPr>
          <w:u w:val="single"/>
        </w:rPr>
        <w:t>the name of the instructor and instructor number.</w:t>
      </w:r>
    </w:p>
    <w:p w14:paraId="16A9ACFD" w14:textId="77777777" w:rsidR="00E91AE1" w:rsidRPr="004E00D2" w:rsidRDefault="00E91AE1" w:rsidP="001D2CEB">
      <w:pPr>
        <w:pStyle w:val="Paragraph"/>
      </w:pPr>
      <w:r w:rsidRPr="004E00D2">
        <w:rPr>
          <w:u w:val="single"/>
        </w:rPr>
        <w:t>(g)  If there is a change or cancellation within five days of the scheduled course date, then the education director shall provide notice to the Commission within 24 hours of the change or cancellation.</w:t>
      </w:r>
    </w:p>
    <w:p w14:paraId="065E2EE5" w14:textId="77777777" w:rsidR="00E91AE1" w:rsidRPr="004E00D2" w:rsidRDefault="00E91AE1" w:rsidP="001D2CEB">
      <w:pPr>
        <w:pStyle w:val="Base"/>
      </w:pPr>
    </w:p>
    <w:p w14:paraId="6639B785" w14:textId="130BDC3B" w:rsidR="00E91AE1" w:rsidRPr="004E00D2" w:rsidRDefault="00E91AE1" w:rsidP="00E91AE1">
      <w:pPr>
        <w:pStyle w:val="HistoryAuthority"/>
      </w:pPr>
      <w:r w:rsidRPr="004E00D2">
        <w:t xml:space="preserve">Authority G.S. 93A-3; </w:t>
      </w:r>
      <w:r w:rsidRPr="004E00D2">
        <w:rPr>
          <w:strike/>
        </w:rPr>
        <w:t>93A-4.1;</w:t>
      </w:r>
      <w:r w:rsidRPr="004E00D2">
        <w:t xml:space="preserve"> </w:t>
      </w:r>
      <w:r w:rsidRPr="004E00D2">
        <w:rPr>
          <w:u w:val="single"/>
        </w:rPr>
        <w:t>93A-38.5</w:t>
      </w:r>
      <w:r>
        <w:rPr>
          <w:u w:val="single"/>
        </w:rPr>
        <w:t>.</w:t>
      </w:r>
    </w:p>
    <w:p w14:paraId="438F506D" w14:textId="77777777" w:rsidR="00E91AE1" w:rsidRPr="004E00D2" w:rsidRDefault="00E91AE1" w:rsidP="001D2CEB">
      <w:pPr>
        <w:pStyle w:val="Base"/>
      </w:pPr>
    </w:p>
    <w:p w14:paraId="6C0D2BCE" w14:textId="77777777" w:rsidR="00E91AE1" w:rsidRPr="00134218" w:rsidRDefault="00E91AE1" w:rsidP="001D2CEB">
      <w:pPr>
        <w:pStyle w:val="Rule"/>
      </w:pPr>
      <w:r w:rsidRPr="00134218">
        <w:t>21 ncac 58h .0405</w:t>
      </w:r>
      <w:r w:rsidRPr="00134218">
        <w:tab/>
        <w:t>DENIAL OR WITHDRAWAL OF sponsor APPROVAL</w:t>
      </w:r>
    </w:p>
    <w:p w14:paraId="50565F3E" w14:textId="77777777" w:rsidR="00E91AE1" w:rsidRPr="00134218" w:rsidRDefault="00E91AE1" w:rsidP="001D2CEB">
      <w:pPr>
        <w:pStyle w:val="Paragraph"/>
        <w:rPr>
          <w:b/>
        </w:rPr>
      </w:pPr>
      <w:r w:rsidRPr="00134218">
        <w:rPr>
          <w:b/>
        </w:rPr>
        <w:t>21 NCAC 58H .0406</w:t>
      </w:r>
      <w:r w:rsidRPr="00134218">
        <w:rPr>
          <w:b/>
        </w:rPr>
        <w:tab/>
        <w:t>APPROVAL AND RENEWAL OF ELECTIVE COURSE</w:t>
      </w:r>
    </w:p>
    <w:p w14:paraId="1C90AC76" w14:textId="77777777" w:rsidR="00E91AE1" w:rsidRPr="00134218" w:rsidRDefault="00E91AE1" w:rsidP="001D2CEB">
      <w:pPr>
        <w:pStyle w:val="Rule"/>
      </w:pPr>
      <w:r w:rsidRPr="00134218">
        <w:t>21 ncac 58h .0407</w:t>
      </w:r>
      <w:r w:rsidRPr="00134218">
        <w:tab/>
        <w:t>CONTINUING EDUCATION ELECTIVE COURSE REQUIREMENTS</w:t>
      </w:r>
    </w:p>
    <w:p w14:paraId="7534E3A9" w14:textId="77777777" w:rsidR="00E91AE1" w:rsidRPr="00134218" w:rsidRDefault="00E91AE1" w:rsidP="001D2CEB">
      <w:pPr>
        <w:pStyle w:val="Paragraph"/>
        <w:rPr>
          <w:b/>
        </w:rPr>
      </w:pPr>
      <w:r w:rsidRPr="00134218">
        <w:rPr>
          <w:b/>
        </w:rPr>
        <w:t>21 NCAC 58H .0408</w:t>
      </w:r>
      <w:r w:rsidRPr="00134218">
        <w:rPr>
          <w:b/>
        </w:rPr>
        <w:tab/>
        <w:t>COMMISSION CREATED UPDATE COURSES</w:t>
      </w:r>
    </w:p>
    <w:p w14:paraId="090EBE76" w14:textId="77777777" w:rsidR="00E91AE1" w:rsidRPr="00134218" w:rsidRDefault="00E91AE1" w:rsidP="001D2CEB">
      <w:pPr>
        <w:pStyle w:val="Rule"/>
      </w:pPr>
      <w:r w:rsidRPr="00134218">
        <w:t>21 ncac 58h .0409</w:t>
      </w:r>
      <w:r w:rsidRPr="00134218">
        <w:tab/>
        <w:t>RECORDS AND COMMISSION REVIEW</w:t>
      </w:r>
    </w:p>
    <w:p w14:paraId="15AD7648" w14:textId="77777777" w:rsidR="00E91AE1" w:rsidRPr="00134218" w:rsidRDefault="00E91AE1" w:rsidP="001D2CEB">
      <w:pPr>
        <w:pStyle w:val="Paragraph"/>
        <w:rPr>
          <w:b/>
        </w:rPr>
      </w:pPr>
      <w:r w:rsidRPr="00134218">
        <w:rPr>
          <w:b/>
        </w:rPr>
        <w:t>21 NCAC 58H .0410</w:t>
      </w:r>
      <w:r w:rsidRPr="00134218">
        <w:rPr>
          <w:b/>
        </w:rPr>
        <w:tab/>
        <w:t>CONTINUING EDUCATION COURSE SCHEDULING AND NOTIFICATION</w:t>
      </w:r>
    </w:p>
    <w:p w14:paraId="3A9F7196" w14:textId="77777777" w:rsidR="00E91AE1" w:rsidRPr="00134218" w:rsidRDefault="00E91AE1" w:rsidP="001D2CEB">
      <w:pPr>
        <w:pStyle w:val="Rule"/>
      </w:pPr>
      <w:r w:rsidRPr="00134218">
        <w:t>21 ncac 58h .0411</w:t>
      </w:r>
      <w:r w:rsidRPr="00134218">
        <w:tab/>
        <w:t>CONTINUING EDUCATION COURSE ATTENDANCE</w:t>
      </w:r>
    </w:p>
    <w:p w14:paraId="11D561A2" w14:textId="77777777" w:rsidR="00E91AE1" w:rsidRPr="00134218" w:rsidRDefault="00E91AE1" w:rsidP="001D2CEB">
      <w:pPr>
        <w:pStyle w:val="Paragraph"/>
        <w:rPr>
          <w:b/>
        </w:rPr>
      </w:pPr>
      <w:r w:rsidRPr="00134218">
        <w:rPr>
          <w:b/>
        </w:rPr>
        <w:t>21 NCAC 58H .0412</w:t>
      </w:r>
      <w:r w:rsidRPr="00134218">
        <w:rPr>
          <w:b/>
        </w:rPr>
        <w:tab/>
        <w:t>CONTINUING EDUCATION ROSTER REPORTS AND CERTIFICATES</w:t>
      </w:r>
    </w:p>
    <w:p w14:paraId="420F4B09" w14:textId="77777777" w:rsidR="00E91AE1" w:rsidRPr="00134218" w:rsidRDefault="00E91AE1" w:rsidP="001D2CEB">
      <w:pPr>
        <w:pStyle w:val="Rule"/>
      </w:pPr>
      <w:r w:rsidRPr="00134218">
        <w:t>21 ncac 58h .0413</w:t>
      </w:r>
      <w:r w:rsidRPr="00134218">
        <w:tab/>
        <w:t>CONTINUING EDUCATION COURSE COST, CANCELLATION, AND REFUNDS</w:t>
      </w:r>
    </w:p>
    <w:p w14:paraId="5FBE612C" w14:textId="77777777" w:rsidR="00E91AE1" w:rsidRPr="00134218" w:rsidRDefault="00E91AE1" w:rsidP="001D2CEB">
      <w:pPr>
        <w:pStyle w:val="Paragraph"/>
        <w:rPr>
          <w:b/>
          <w:caps/>
        </w:rPr>
      </w:pPr>
      <w:r w:rsidRPr="00134218">
        <w:rPr>
          <w:b/>
        </w:rPr>
        <w:t>21 NCAC 58H .0414</w:t>
      </w:r>
      <w:r w:rsidRPr="00134218">
        <w:rPr>
          <w:b/>
        </w:rPr>
        <w:tab/>
      </w:r>
      <w:r w:rsidRPr="00134218">
        <w:rPr>
          <w:b/>
          <w:caps/>
        </w:rPr>
        <w:t>ADVERTISING</w:t>
      </w:r>
    </w:p>
    <w:p w14:paraId="25A2CB13" w14:textId="77777777" w:rsidR="00E91AE1" w:rsidRPr="00134218" w:rsidRDefault="00E91AE1" w:rsidP="001D2CEB">
      <w:pPr>
        <w:pStyle w:val="Base"/>
      </w:pPr>
    </w:p>
    <w:p w14:paraId="71555591" w14:textId="4E79E1FE" w:rsidR="00E91AE1" w:rsidRDefault="00E91AE1" w:rsidP="00E91AE1">
      <w:pPr>
        <w:pStyle w:val="HistoryAuthority"/>
      </w:pPr>
      <w:r w:rsidRPr="00134218">
        <w:t>Authority G.S. 93A-3(c); 93A-4.1; 93A-6(a)(15)</w:t>
      </w:r>
      <w:r>
        <w:t>.</w:t>
      </w:r>
    </w:p>
    <w:p w14:paraId="1D3ED7E4" w14:textId="77777777" w:rsidR="00E91AE1" w:rsidRPr="005E4FB1" w:rsidRDefault="00E91AE1" w:rsidP="001D2CEB">
      <w:pPr>
        <w:pStyle w:val="Base"/>
      </w:pPr>
    </w:p>
    <w:p w14:paraId="10E905B0" w14:textId="360EA288" w:rsidR="00E91AE1" w:rsidRDefault="00E91AE1" w:rsidP="00E91AE1">
      <w:pPr>
        <w:pStyle w:val="Base"/>
        <w:jc w:val="center"/>
      </w:pPr>
      <w:r>
        <w:t>* * * * * * * * * * * * * * * * * * * *</w:t>
      </w:r>
    </w:p>
    <w:p w14:paraId="6CE3D5CD" w14:textId="77777777" w:rsidR="00A90EB6" w:rsidRDefault="00A90EB6" w:rsidP="001D2CEB">
      <w:pPr>
        <w:pStyle w:val="Chapter"/>
      </w:pPr>
    </w:p>
    <w:p w14:paraId="27EEF2FD" w14:textId="4A95B8EA" w:rsidR="00E91AE1" w:rsidRDefault="00E91AE1" w:rsidP="001D2CEB">
      <w:pPr>
        <w:pStyle w:val="Chapter"/>
        <w:rPr>
          <w:caps w:val="0"/>
        </w:rPr>
      </w:pPr>
      <w:r>
        <w:t>Chapter 58 - Real Estate Commission</w:t>
      </w:r>
    </w:p>
    <w:p w14:paraId="14EC9361" w14:textId="77777777" w:rsidR="00E91AE1" w:rsidRPr="00B31E75" w:rsidRDefault="00E91AE1">
      <w:pPr>
        <w:pStyle w:val="Base"/>
      </w:pPr>
    </w:p>
    <w:p w14:paraId="52DE9DF2" w14:textId="77777777" w:rsidR="00E91AE1" w:rsidRDefault="00E91AE1">
      <w:pPr>
        <w:pStyle w:val="Paragraph"/>
        <w:rPr>
          <w:i/>
          <w:iCs/>
        </w:rPr>
      </w:pPr>
      <w:r w:rsidRPr="00B31E75">
        <w:rPr>
          <w:b/>
          <w:bCs/>
          <w:i/>
          <w:iCs/>
        </w:rPr>
        <w:t>Notice</w:t>
      </w:r>
      <w:r w:rsidRPr="00B31E75">
        <w:rPr>
          <w:i/>
          <w:iCs/>
        </w:rPr>
        <w:t xml:space="preserve"> is hereby given in accordance with G.S. 150B-21.2 that the </w:t>
      </w:r>
      <w:r>
        <w:rPr>
          <w:i/>
          <w:iCs/>
        </w:rPr>
        <w:t>Real Estate Commission</w:t>
      </w:r>
      <w:r w:rsidRPr="00B31E75">
        <w:rPr>
          <w:i/>
          <w:iCs/>
        </w:rPr>
        <w:t xml:space="preserve"> intends to</w:t>
      </w:r>
      <w:r>
        <w:rPr>
          <w:i/>
          <w:iCs/>
        </w:rPr>
        <w:t xml:space="preserve"> adopt the rule cited as 21 NCAC 58A .0305 and amend the rules cited as 21 NCAC 58A .0110, .0302, and .0506</w:t>
      </w:r>
      <w:r w:rsidRPr="00B31E75">
        <w:rPr>
          <w:i/>
          <w:iCs/>
        </w:rPr>
        <w:t>.</w:t>
      </w:r>
    </w:p>
    <w:p w14:paraId="415E1F1C" w14:textId="77777777" w:rsidR="00E91AE1" w:rsidRPr="00DE73D1" w:rsidRDefault="00E91AE1" w:rsidP="001D2CEB">
      <w:pPr>
        <w:pStyle w:val="Base"/>
        <w:rPr>
          <w:i/>
        </w:rPr>
      </w:pPr>
    </w:p>
    <w:p w14:paraId="52DC58FA" w14:textId="77777777" w:rsidR="00E91AE1" w:rsidRPr="00B31E75" w:rsidRDefault="00E91AE1" w:rsidP="001D2CEB">
      <w:pPr>
        <w:pStyle w:val="Paragraph"/>
        <w:rPr>
          <w:b/>
          <w:i/>
        </w:rPr>
      </w:pPr>
      <w:r w:rsidRPr="00B31E75">
        <w:rPr>
          <w:b/>
        </w:rPr>
        <w:t>Link to agency website pursuant to G.S. 150B-19.1(c):</w:t>
      </w:r>
      <w:r w:rsidRPr="00B31E75">
        <w:rPr>
          <w:b/>
          <w:i/>
        </w:rPr>
        <w:t xml:space="preserve">  </w:t>
      </w:r>
      <w:r>
        <w:rPr>
          <w:i/>
        </w:rPr>
        <w:t>www.ncrec.gov</w:t>
      </w:r>
    </w:p>
    <w:p w14:paraId="6A4E468F" w14:textId="77777777" w:rsidR="00E91AE1" w:rsidRPr="00DE73D1" w:rsidRDefault="00E91AE1" w:rsidP="001D2CEB">
      <w:pPr>
        <w:pStyle w:val="Base"/>
        <w:rPr>
          <w:b/>
        </w:rPr>
      </w:pPr>
    </w:p>
    <w:p w14:paraId="57F5D0B0" w14:textId="77777777" w:rsidR="00E91AE1" w:rsidRPr="00B31E75" w:rsidRDefault="00E91AE1">
      <w:pPr>
        <w:pStyle w:val="Paragraph"/>
        <w:rPr>
          <w:i/>
        </w:rPr>
      </w:pPr>
      <w:r w:rsidRPr="00B31E75">
        <w:rPr>
          <w:b/>
          <w:bCs/>
        </w:rPr>
        <w:t>Proposed Effective Date:</w:t>
      </w:r>
      <w:r w:rsidRPr="00B31E75">
        <w:rPr>
          <w:b/>
          <w:bCs/>
          <w:i/>
        </w:rPr>
        <w:t xml:space="preserve">  </w:t>
      </w:r>
      <w:r>
        <w:rPr>
          <w:i/>
          <w:color w:val="000000"/>
          <w:highlight w:val="white"/>
        </w:rPr>
        <w:t>July 1, 2020</w:t>
      </w:r>
    </w:p>
    <w:p w14:paraId="0C53C9A1" w14:textId="77777777" w:rsidR="00E91AE1" w:rsidRPr="00B31E75" w:rsidRDefault="00E91AE1">
      <w:pPr>
        <w:pStyle w:val="Base"/>
      </w:pPr>
    </w:p>
    <w:p w14:paraId="056AE93A" w14:textId="77777777" w:rsidR="00E91AE1" w:rsidRDefault="00E91AE1" w:rsidP="001D2CEB">
      <w:pPr>
        <w:pStyle w:val="Base"/>
        <w:tabs>
          <w:tab w:val="left" w:pos="936"/>
        </w:tabs>
        <w:rPr>
          <w:b/>
        </w:rPr>
      </w:pPr>
      <w:r>
        <w:rPr>
          <w:b/>
        </w:rPr>
        <w:t>Public Hearing:</w:t>
      </w:r>
    </w:p>
    <w:p w14:paraId="71821156" w14:textId="77777777" w:rsidR="00E91AE1" w:rsidRDefault="00E91AE1" w:rsidP="001D2CEB">
      <w:pPr>
        <w:pStyle w:val="Base"/>
        <w:tabs>
          <w:tab w:val="left" w:pos="936"/>
        </w:tabs>
      </w:pPr>
      <w:r>
        <w:rPr>
          <w:b/>
        </w:rPr>
        <w:t>Date:</w:t>
      </w:r>
      <w:r>
        <w:rPr>
          <w:i/>
        </w:rPr>
        <w:t xml:space="preserve">  March 18, 2020</w:t>
      </w:r>
    </w:p>
    <w:p w14:paraId="25E00415" w14:textId="77777777" w:rsidR="00E91AE1" w:rsidRDefault="00E91AE1" w:rsidP="001D2CEB">
      <w:pPr>
        <w:pStyle w:val="Base"/>
        <w:tabs>
          <w:tab w:val="left" w:pos="936"/>
        </w:tabs>
      </w:pPr>
      <w:r>
        <w:rPr>
          <w:b/>
        </w:rPr>
        <w:t>Time:</w:t>
      </w:r>
      <w:r>
        <w:rPr>
          <w:i/>
        </w:rPr>
        <w:t xml:space="preserve">  9:00 a.m.</w:t>
      </w:r>
    </w:p>
    <w:p w14:paraId="1E096C94" w14:textId="77777777" w:rsidR="00E91AE1" w:rsidRDefault="00E91AE1" w:rsidP="001D2CEB">
      <w:pPr>
        <w:pStyle w:val="Base"/>
        <w:tabs>
          <w:tab w:val="left" w:pos="936"/>
        </w:tabs>
      </w:pPr>
      <w:r>
        <w:rPr>
          <w:b/>
        </w:rPr>
        <w:t>Location:</w:t>
      </w:r>
      <w:r>
        <w:rPr>
          <w:i/>
        </w:rPr>
        <w:t xml:space="preserve">  NC Real Estate Commission, 1313 Navaho Drive, Raleigh, NC 27609</w:t>
      </w:r>
    </w:p>
    <w:p w14:paraId="6A972029" w14:textId="77777777" w:rsidR="00E91AE1" w:rsidRDefault="00E91AE1" w:rsidP="001D2CEB">
      <w:pPr>
        <w:pStyle w:val="Base"/>
        <w:tabs>
          <w:tab w:val="left" w:pos="936"/>
        </w:tabs>
      </w:pPr>
    </w:p>
    <w:p w14:paraId="42B9C027" w14:textId="77777777" w:rsidR="00E91AE1" w:rsidRDefault="00E91AE1">
      <w:pPr>
        <w:pStyle w:val="Paragraph"/>
      </w:pPr>
      <w:r w:rsidRPr="00B31E75">
        <w:rPr>
          <w:b/>
          <w:bCs/>
        </w:rPr>
        <w:t>Reason for Proposed Action:</w:t>
      </w:r>
      <w:r w:rsidRPr="00B31E75">
        <w:t xml:space="preserve">  </w:t>
      </w:r>
    </w:p>
    <w:p w14:paraId="6B0D6A49" w14:textId="77777777" w:rsidR="00E91AE1" w:rsidRDefault="00E91AE1">
      <w:pPr>
        <w:pStyle w:val="Paragraph"/>
        <w:rPr>
          <w:i/>
          <w:color w:val="000000"/>
          <w:highlight w:val="white"/>
        </w:rPr>
      </w:pPr>
      <w:r w:rsidRPr="000246E6">
        <w:rPr>
          <w:b/>
          <w:bCs/>
          <w:i/>
          <w:color w:val="000000"/>
          <w:highlight w:val="white"/>
        </w:rPr>
        <w:t>21 NCAC 58A .0110</w:t>
      </w:r>
      <w:r>
        <w:rPr>
          <w:i/>
          <w:color w:val="000000"/>
          <w:highlight w:val="white"/>
        </w:rPr>
        <w:t xml:space="preserve"> - BROKER-IN-CHARGE</w:t>
      </w:r>
    </w:p>
    <w:p w14:paraId="7CB375B7" w14:textId="77777777" w:rsidR="00E91AE1" w:rsidRDefault="00E91AE1">
      <w:pPr>
        <w:pStyle w:val="Paragraph"/>
        <w:rPr>
          <w:i/>
          <w:color w:val="000000"/>
          <w:highlight w:val="white"/>
        </w:rPr>
      </w:pPr>
      <w:r>
        <w:rPr>
          <w:i/>
          <w:color w:val="000000"/>
          <w:highlight w:val="white"/>
        </w:rPr>
        <w:t>Amend this Rule to clarify that a broker-in-charge of a sole proprietorship can be someone other than the sole proprietor, delete  "Subchapter S corporation" from Paragraph (c)(2) and replace it with "pass-through business," and require brokers to complete the Commission’s Basic Trust Account Procedures course no later than 120 days after opening a trust account.</w:t>
      </w:r>
    </w:p>
    <w:p w14:paraId="0BB7EFC9" w14:textId="77777777" w:rsidR="00E91AE1" w:rsidRPr="00DE73D1" w:rsidRDefault="00E91AE1" w:rsidP="001D2CEB">
      <w:pPr>
        <w:pStyle w:val="Base"/>
        <w:rPr>
          <w:i/>
          <w:highlight w:val="white"/>
        </w:rPr>
      </w:pPr>
    </w:p>
    <w:p w14:paraId="2A76A0B4" w14:textId="77777777" w:rsidR="00E91AE1" w:rsidRDefault="00E91AE1">
      <w:pPr>
        <w:pStyle w:val="Paragraph"/>
        <w:rPr>
          <w:i/>
          <w:color w:val="000000"/>
          <w:highlight w:val="white"/>
        </w:rPr>
      </w:pPr>
      <w:r w:rsidRPr="000246E6">
        <w:rPr>
          <w:b/>
          <w:bCs/>
          <w:i/>
          <w:color w:val="000000"/>
          <w:highlight w:val="white"/>
        </w:rPr>
        <w:t>21 NCAC 58A .0302</w:t>
      </w:r>
      <w:r>
        <w:rPr>
          <w:i/>
          <w:color w:val="000000"/>
          <w:highlight w:val="white"/>
        </w:rPr>
        <w:t xml:space="preserve"> – LICENSE APPLICATION AND FEE</w:t>
      </w:r>
    </w:p>
    <w:p w14:paraId="23FFD316" w14:textId="77777777" w:rsidR="00E91AE1" w:rsidRDefault="00E91AE1">
      <w:pPr>
        <w:pStyle w:val="Paragraph"/>
        <w:rPr>
          <w:i/>
          <w:color w:val="000000"/>
          <w:highlight w:val="white"/>
        </w:rPr>
      </w:pPr>
      <w:r>
        <w:rPr>
          <w:i/>
          <w:color w:val="000000"/>
          <w:highlight w:val="white"/>
        </w:rPr>
        <w:t>Amend this Rule to reduce the time provided to an applicant to respond to a request for additional information before the application is cancelled from 90 to 45 days.</w:t>
      </w:r>
    </w:p>
    <w:p w14:paraId="2851C797" w14:textId="77777777" w:rsidR="00E91AE1" w:rsidRPr="00DE73D1" w:rsidRDefault="00E91AE1" w:rsidP="001D2CEB">
      <w:pPr>
        <w:pStyle w:val="Base"/>
        <w:rPr>
          <w:i/>
          <w:highlight w:val="white"/>
        </w:rPr>
      </w:pPr>
    </w:p>
    <w:p w14:paraId="6462A21A" w14:textId="77777777" w:rsidR="00E91AE1" w:rsidRDefault="00E91AE1">
      <w:pPr>
        <w:pStyle w:val="Paragraph"/>
        <w:rPr>
          <w:i/>
          <w:color w:val="000000"/>
          <w:highlight w:val="white"/>
        </w:rPr>
      </w:pPr>
      <w:r w:rsidRPr="000246E6">
        <w:rPr>
          <w:b/>
          <w:bCs/>
          <w:i/>
          <w:color w:val="000000"/>
          <w:highlight w:val="white"/>
        </w:rPr>
        <w:t>21 NCAC 58A .0305</w:t>
      </w:r>
      <w:r>
        <w:rPr>
          <w:i/>
          <w:color w:val="000000"/>
          <w:highlight w:val="white"/>
        </w:rPr>
        <w:t xml:space="preserve"> – PETITION FOR PREDETERMINATION</w:t>
      </w:r>
    </w:p>
    <w:p w14:paraId="36F1ACC4" w14:textId="77777777" w:rsidR="00E91AE1" w:rsidRDefault="00E91AE1">
      <w:pPr>
        <w:pStyle w:val="Paragraph"/>
        <w:rPr>
          <w:i/>
          <w:color w:val="000000"/>
          <w:highlight w:val="white"/>
        </w:rPr>
      </w:pPr>
      <w:r>
        <w:rPr>
          <w:i/>
          <w:color w:val="000000"/>
          <w:highlight w:val="white"/>
        </w:rPr>
        <w:t xml:space="preserve">Adopt this Rule to replace the temporary rule. This Rule would establish a process for individuals who wish to file a petition for a predetermination of whether the individual’s criminal history will likely disqualify them from obtaining a real estate license.  21 NCAC 58A .0305 is in response to the recently approved S.L. 2019-91, specifically Section 4, that is effective October 1, 2019.  </w:t>
      </w:r>
    </w:p>
    <w:p w14:paraId="707DB590" w14:textId="77777777" w:rsidR="00E91AE1" w:rsidRPr="00DE73D1" w:rsidRDefault="00E91AE1" w:rsidP="001D2CEB">
      <w:pPr>
        <w:pStyle w:val="Base"/>
        <w:rPr>
          <w:i/>
          <w:highlight w:val="white"/>
        </w:rPr>
      </w:pPr>
    </w:p>
    <w:p w14:paraId="21AB57C4" w14:textId="77777777" w:rsidR="00E91AE1" w:rsidRDefault="00E91AE1">
      <w:pPr>
        <w:pStyle w:val="Paragraph"/>
        <w:rPr>
          <w:i/>
          <w:color w:val="000000"/>
          <w:highlight w:val="white"/>
        </w:rPr>
      </w:pPr>
      <w:r w:rsidRPr="000246E6">
        <w:rPr>
          <w:b/>
          <w:bCs/>
          <w:i/>
          <w:color w:val="000000"/>
          <w:highlight w:val="white"/>
        </w:rPr>
        <w:t>21 NCAC 58A .0506</w:t>
      </w:r>
      <w:r>
        <w:rPr>
          <w:i/>
          <w:color w:val="000000"/>
          <w:highlight w:val="white"/>
        </w:rPr>
        <w:t xml:space="preserve"> – PROVISIONAL BROKER TO BE SUPERVISED BY BROKER</w:t>
      </w:r>
    </w:p>
    <w:p w14:paraId="4552B6D2" w14:textId="77777777" w:rsidR="00E91AE1" w:rsidRPr="00B31E75" w:rsidRDefault="00E91AE1">
      <w:pPr>
        <w:pStyle w:val="Paragraph"/>
        <w:rPr>
          <w:i/>
          <w:iCs/>
        </w:rPr>
      </w:pPr>
      <w:r>
        <w:rPr>
          <w:i/>
          <w:color w:val="000000"/>
          <w:highlight w:val="white"/>
        </w:rPr>
        <w:lastRenderedPageBreak/>
        <w:t>Amend this Rule to allow provisional brokers to be supervised by the broker-in-charge of a team and firm with which the team is affiliated.</w:t>
      </w:r>
    </w:p>
    <w:p w14:paraId="113C6E1C" w14:textId="77777777" w:rsidR="00E91AE1" w:rsidRPr="00DE73D1" w:rsidRDefault="00E91AE1" w:rsidP="001D2CEB">
      <w:pPr>
        <w:pStyle w:val="Base"/>
        <w:rPr>
          <w:i/>
        </w:rPr>
      </w:pPr>
    </w:p>
    <w:p w14:paraId="5658D727" w14:textId="77777777" w:rsidR="00E91AE1" w:rsidRPr="00B31E75" w:rsidRDefault="00E91AE1" w:rsidP="001D2CEB">
      <w:pPr>
        <w:pStyle w:val="Paragraph"/>
        <w:rPr>
          <w:iCs/>
        </w:rPr>
      </w:pPr>
      <w:r w:rsidRPr="00DE73D1">
        <w:rPr>
          <w:b/>
          <w:bCs/>
        </w:rPr>
        <w:t xml:space="preserve">Comments may be submitted </w:t>
      </w:r>
      <w:proofErr w:type="gramStart"/>
      <w:r w:rsidRPr="00DE73D1">
        <w:rPr>
          <w:b/>
          <w:bCs/>
        </w:rPr>
        <w:t>to:</w:t>
      </w:r>
      <w:proofErr w:type="gramEnd"/>
      <w:r w:rsidRPr="00DE73D1">
        <w:rPr>
          <w:b/>
          <w:bCs/>
        </w:rPr>
        <w:t xml:space="preserve">  </w:t>
      </w:r>
      <w:r w:rsidRPr="00DE73D1">
        <w:rPr>
          <w:i/>
          <w:iCs/>
          <w:highlight w:val="white"/>
        </w:rPr>
        <w:t>Melissa Vuotto, PO Box 17100, Raleigh, NC 27619; email Public.Comment@ncrec.gov</w:t>
      </w:r>
    </w:p>
    <w:p w14:paraId="2942C8BD" w14:textId="77777777" w:rsidR="00E91AE1" w:rsidRPr="00DE73D1" w:rsidRDefault="00E91AE1" w:rsidP="001D2CEB">
      <w:pPr>
        <w:pStyle w:val="Base"/>
        <w:rPr>
          <w:i/>
        </w:rPr>
      </w:pPr>
    </w:p>
    <w:p w14:paraId="021BBEC6" w14:textId="77777777" w:rsidR="00E91AE1" w:rsidRPr="00B31E75" w:rsidRDefault="00E91AE1" w:rsidP="001D2CEB">
      <w:pPr>
        <w:pStyle w:val="Paragraph"/>
        <w:rPr>
          <w:b/>
        </w:rPr>
      </w:pPr>
      <w:r w:rsidRPr="00B31E75">
        <w:rPr>
          <w:b/>
          <w:iCs/>
        </w:rPr>
        <w:t>Comment period ends:</w:t>
      </w:r>
      <w:r w:rsidRPr="00B31E75">
        <w:rPr>
          <w:b/>
          <w:i/>
          <w:iCs/>
        </w:rPr>
        <w:t xml:space="preserve">  </w:t>
      </w:r>
      <w:r>
        <w:rPr>
          <w:i/>
          <w:color w:val="000000"/>
          <w:highlight w:val="white"/>
        </w:rPr>
        <w:t>April 5, 2020</w:t>
      </w:r>
    </w:p>
    <w:p w14:paraId="7D7269AC" w14:textId="77777777" w:rsidR="00E91AE1" w:rsidRPr="00B31E75" w:rsidRDefault="00E91AE1" w:rsidP="001D2CEB">
      <w:pPr>
        <w:pStyle w:val="Base"/>
      </w:pPr>
    </w:p>
    <w:p w14:paraId="294CF116" w14:textId="77777777" w:rsidR="00E91AE1" w:rsidRPr="00B31E75" w:rsidRDefault="00E91AE1" w:rsidP="001D2CE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14:paraId="07C99E4E" w14:textId="77777777" w:rsidR="00E91AE1" w:rsidRPr="00B31E75" w:rsidRDefault="00E91AE1" w:rsidP="001D2CEB">
      <w:pPr>
        <w:pStyle w:val="Paragraph"/>
      </w:pPr>
    </w:p>
    <w:p w14:paraId="5CCACA7C" w14:textId="77777777" w:rsidR="00E91AE1" w:rsidRPr="00B31E75" w:rsidRDefault="00E91AE1" w:rsidP="001D2CEB">
      <w:pPr>
        <w:pStyle w:val="Paragraph"/>
        <w:rPr>
          <w:b/>
        </w:rPr>
      </w:pPr>
      <w:r w:rsidRPr="00B31E75">
        <w:rPr>
          <w:b/>
        </w:rPr>
        <w:t>Fiscal impact. Does any rule or combination of rules in this notice create an economic impact? Check all that apply.</w:t>
      </w:r>
    </w:p>
    <w:p w14:paraId="6AC6E111"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State funds affected</w:t>
      </w:r>
    </w:p>
    <w:p w14:paraId="6AB54A33"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Local funds affected</w:t>
      </w:r>
    </w:p>
    <w:p w14:paraId="47EC7EA3"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Substantial economic impact (&gt;= $1,000,000)</w:t>
      </w:r>
    </w:p>
    <w:p w14:paraId="56C31392"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Approved by OSBM</w:t>
      </w:r>
    </w:p>
    <w:p w14:paraId="14D2B882" w14:textId="77777777" w:rsidR="00E91AE1" w:rsidRPr="00D30C7E" w:rsidRDefault="00E91AE1" w:rsidP="001D2CE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5B0D62">
        <w:rPr>
          <w:b/>
        </w:rPr>
      </w:r>
      <w:r w:rsidR="005B0D62">
        <w:rPr>
          <w:b/>
        </w:rPr>
        <w:fldChar w:fldCharType="separate"/>
      </w:r>
      <w:r w:rsidRPr="00D30C7E">
        <w:rPr>
          <w:b/>
        </w:rPr>
        <w:fldChar w:fldCharType="end"/>
      </w:r>
      <w:r>
        <w:rPr>
          <w:b/>
        </w:rPr>
        <w:tab/>
        <w:t>No fiscal note required</w:t>
      </w:r>
    </w:p>
    <w:p w14:paraId="72FD1F5A" w14:textId="77777777" w:rsidR="00E91AE1" w:rsidRPr="00B31E75" w:rsidRDefault="00E91AE1" w:rsidP="001D2CEB">
      <w:pPr>
        <w:pStyle w:val="Base"/>
      </w:pPr>
    </w:p>
    <w:p w14:paraId="73A8AE83" w14:textId="77777777" w:rsidR="00E91AE1" w:rsidRDefault="00E91AE1" w:rsidP="001D2CEB">
      <w:pPr>
        <w:pStyle w:val="SubChapter"/>
      </w:pPr>
      <w:r>
        <w:t>SUBCHAPTER 58A – REAL ESTATE BROKERS</w:t>
      </w:r>
    </w:p>
    <w:p w14:paraId="293BCA4F" w14:textId="77777777" w:rsidR="00E91AE1" w:rsidRDefault="00E91AE1" w:rsidP="001D2CEB">
      <w:pPr>
        <w:pStyle w:val="Base"/>
      </w:pPr>
    </w:p>
    <w:p w14:paraId="75CCEFC5" w14:textId="77777777" w:rsidR="00E91AE1" w:rsidRDefault="00E91AE1" w:rsidP="001D2CEB">
      <w:pPr>
        <w:pStyle w:val="Section"/>
      </w:pPr>
      <w:r>
        <w:t>SECTION .0100 - GENERAL BROKERAGE</w:t>
      </w:r>
    </w:p>
    <w:p w14:paraId="521745D0" w14:textId="77777777" w:rsidR="00E91AE1" w:rsidRPr="00761008" w:rsidRDefault="00E91AE1" w:rsidP="001D2CEB">
      <w:pPr>
        <w:pStyle w:val="Base"/>
      </w:pPr>
    </w:p>
    <w:p w14:paraId="61DE101B" w14:textId="77777777" w:rsidR="00E91AE1" w:rsidRPr="00761008" w:rsidRDefault="00E91AE1" w:rsidP="001D2CEB">
      <w:pPr>
        <w:pStyle w:val="Rule"/>
      </w:pPr>
      <w:r w:rsidRPr="00761008">
        <w:t>21 NCAC 58A .0110</w:t>
      </w:r>
      <w:r w:rsidRPr="00761008">
        <w:tab/>
        <w:t>BROKER-IN-CHARGE</w:t>
      </w:r>
    </w:p>
    <w:p w14:paraId="1F1CC9F5" w14:textId="77777777" w:rsidR="00E91AE1" w:rsidRPr="00761008" w:rsidRDefault="00E91AE1" w:rsidP="001D2CEB">
      <w:pPr>
        <w:pStyle w:val="Paragraph"/>
      </w:pPr>
      <w:r w:rsidRPr="00761008">
        <w:t>(a)  Every real estate firm shall designate one BIC for its principal office and one BIC for each of its branch offices. No office of a firm shall have more than one designated BIC. A BIC shall not serve as BIC for more than one office unless each of those offices share the same physical office space and delivery address.</w:t>
      </w:r>
    </w:p>
    <w:p w14:paraId="2E7C6FEE" w14:textId="77777777" w:rsidR="00E91AE1" w:rsidRPr="00761008" w:rsidRDefault="00E91AE1" w:rsidP="001D2CEB">
      <w:pPr>
        <w:pStyle w:val="Paragraph"/>
      </w:pPr>
      <w:r w:rsidRPr="00761008">
        <w:t xml:space="preserve">(b)  Every </w:t>
      </w:r>
      <w:r w:rsidRPr="00761008">
        <w:rPr>
          <w:strike/>
        </w:rPr>
        <w:t>broker who is a</w:t>
      </w:r>
      <w:r w:rsidRPr="00761008">
        <w:t xml:space="preserve"> sole </w:t>
      </w:r>
      <w:r w:rsidRPr="00761008">
        <w:rPr>
          <w:strike/>
        </w:rPr>
        <w:t>proprietor</w:t>
      </w:r>
      <w:r w:rsidRPr="00761008">
        <w:t xml:space="preserve"> </w:t>
      </w:r>
      <w:r w:rsidRPr="00761008">
        <w:rPr>
          <w:u w:val="single"/>
        </w:rPr>
        <w:t>proprietorship</w:t>
      </w:r>
      <w:r w:rsidRPr="00761008">
        <w:t xml:space="preserve"> shall designate </w:t>
      </w:r>
      <w:r w:rsidRPr="00761008">
        <w:rPr>
          <w:strike/>
        </w:rPr>
        <w:t>himself or herself as</w:t>
      </w:r>
      <w:r w:rsidRPr="00761008">
        <w:t xml:space="preserve"> a BIC if the </w:t>
      </w:r>
      <w:r w:rsidRPr="00761008">
        <w:rPr>
          <w:strike/>
        </w:rPr>
        <w:t>broker:</w:t>
      </w:r>
      <w:r w:rsidRPr="00761008">
        <w:t xml:space="preserve"> </w:t>
      </w:r>
      <w:r w:rsidRPr="00761008">
        <w:rPr>
          <w:u w:val="single"/>
        </w:rPr>
        <w:t>sole proprietorship:</w:t>
      </w:r>
    </w:p>
    <w:p w14:paraId="76DED294" w14:textId="77777777" w:rsidR="00E91AE1" w:rsidRPr="00761008" w:rsidRDefault="00E91AE1" w:rsidP="001D2CEB">
      <w:pPr>
        <w:pStyle w:val="SubParagraph"/>
        <w:tabs>
          <w:tab w:val="clear" w:pos="1800"/>
        </w:tabs>
      </w:pPr>
      <w:r w:rsidRPr="00761008">
        <w:t>(1)</w:t>
      </w:r>
      <w:r w:rsidRPr="00761008">
        <w:tab/>
        <w:t xml:space="preserve">engages in any transaction where </w:t>
      </w:r>
      <w:proofErr w:type="gramStart"/>
      <w:r w:rsidRPr="00761008">
        <w:rPr>
          <w:strike/>
        </w:rPr>
        <w:t>the</w:t>
      </w:r>
      <w:r w:rsidRPr="00761008">
        <w:t xml:space="preserve"> </w:t>
      </w:r>
      <w:r w:rsidRPr="00761008">
        <w:rPr>
          <w:u w:val="single"/>
        </w:rPr>
        <w:t>a</w:t>
      </w:r>
      <w:proofErr w:type="gramEnd"/>
      <w:r w:rsidRPr="00761008">
        <w:t xml:space="preserve"> broker is required to deposit and maintain monies belonging to others in a trust account;</w:t>
      </w:r>
    </w:p>
    <w:p w14:paraId="5D415ECA" w14:textId="77777777" w:rsidR="00E91AE1" w:rsidRPr="00761008" w:rsidRDefault="00E91AE1" w:rsidP="001D2CEB">
      <w:pPr>
        <w:pStyle w:val="SubParagraph"/>
        <w:tabs>
          <w:tab w:val="clear" w:pos="1800"/>
        </w:tabs>
      </w:pPr>
      <w:r w:rsidRPr="00761008">
        <w:t>(2)</w:t>
      </w:r>
      <w:r w:rsidRPr="00761008">
        <w:tab/>
        <w:t xml:space="preserve">engages in advertising or promoting </w:t>
      </w:r>
      <w:r w:rsidRPr="00761008">
        <w:rPr>
          <w:strike/>
        </w:rPr>
        <w:t>his or her</w:t>
      </w:r>
      <w:r w:rsidRPr="00761008">
        <w:t xml:space="preserve"> services as a broker in any manner; or</w:t>
      </w:r>
    </w:p>
    <w:p w14:paraId="2FDE624C" w14:textId="77777777" w:rsidR="00E91AE1" w:rsidRPr="00761008" w:rsidRDefault="00E91AE1" w:rsidP="001D2CEB">
      <w:pPr>
        <w:pStyle w:val="SubParagraph"/>
        <w:tabs>
          <w:tab w:val="clear" w:pos="1800"/>
        </w:tabs>
      </w:pPr>
      <w:r w:rsidRPr="00761008">
        <w:t>(3)</w:t>
      </w:r>
      <w:r w:rsidRPr="00761008">
        <w:tab/>
        <w:t xml:space="preserve">has one or more other brokers affiliated with </w:t>
      </w:r>
      <w:r w:rsidRPr="00761008">
        <w:rPr>
          <w:strike/>
        </w:rPr>
        <w:t>him or her</w:t>
      </w:r>
      <w:r w:rsidRPr="00761008">
        <w:t xml:space="preserve"> </w:t>
      </w:r>
      <w:r w:rsidRPr="00761008">
        <w:rPr>
          <w:u w:val="single"/>
        </w:rPr>
        <w:t>the sole proprietorship</w:t>
      </w:r>
      <w:r w:rsidRPr="00761008">
        <w:t xml:space="preserve"> in the real estate business.</w:t>
      </w:r>
    </w:p>
    <w:p w14:paraId="016DBB34" w14:textId="77777777" w:rsidR="00E91AE1" w:rsidRPr="00761008" w:rsidRDefault="00E91AE1" w:rsidP="001D2CEB">
      <w:pPr>
        <w:pStyle w:val="Paragraph"/>
      </w:pPr>
      <w:r w:rsidRPr="00761008">
        <w:t>(c)  A licensed real estate firm shall not be required to have a BIC if it:</w:t>
      </w:r>
    </w:p>
    <w:p w14:paraId="69B37934" w14:textId="77777777" w:rsidR="00E91AE1" w:rsidRPr="00761008" w:rsidRDefault="00E91AE1" w:rsidP="001D2CEB">
      <w:pPr>
        <w:pStyle w:val="SubParagraph"/>
        <w:tabs>
          <w:tab w:val="clear" w:pos="1800"/>
        </w:tabs>
      </w:pPr>
      <w:r w:rsidRPr="00761008">
        <w:t>(1)</w:t>
      </w:r>
      <w:r w:rsidRPr="00761008">
        <w:tab/>
        <w:t xml:space="preserve">is organized for the sole purpose of receiving compensation for brokerage services furnished </w:t>
      </w:r>
      <w:r w:rsidRPr="00761008">
        <w:t>by its qualifying broker through another firm or broker;</w:t>
      </w:r>
    </w:p>
    <w:p w14:paraId="253DAC64" w14:textId="77777777" w:rsidR="00E91AE1" w:rsidRPr="00761008" w:rsidRDefault="00E91AE1" w:rsidP="001D2CEB">
      <w:pPr>
        <w:pStyle w:val="SubParagraph"/>
        <w:tabs>
          <w:tab w:val="clear" w:pos="1800"/>
        </w:tabs>
      </w:pPr>
      <w:r w:rsidRPr="00761008">
        <w:t>(2)</w:t>
      </w:r>
      <w:r w:rsidRPr="00761008">
        <w:tab/>
        <w:t xml:space="preserve">is treated for tax purposes as a </w:t>
      </w:r>
      <w:r w:rsidRPr="00761008">
        <w:rPr>
          <w:strike/>
        </w:rPr>
        <w:t>Subchapter S corporation</w:t>
      </w:r>
      <w:r w:rsidRPr="00761008">
        <w:t xml:space="preserve"> </w:t>
      </w:r>
      <w:r w:rsidRPr="00761008">
        <w:rPr>
          <w:u w:val="single"/>
        </w:rPr>
        <w:t>pass-through business</w:t>
      </w:r>
      <w:r w:rsidRPr="00761008">
        <w:t xml:space="preserve"> by the United States Internal Revenue Service;</w:t>
      </w:r>
    </w:p>
    <w:p w14:paraId="4A0B37DE" w14:textId="77777777" w:rsidR="00E91AE1" w:rsidRPr="00761008" w:rsidRDefault="00E91AE1" w:rsidP="001D2CEB">
      <w:pPr>
        <w:pStyle w:val="SubParagraph"/>
        <w:tabs>
          <w:tab w:val="clear" w:pos="1800"/>
        </w:tabs>
      </w:pPr>
      <w:r w:rsidRPr="00761008">
        <w:t>(3)</w:t>
      </w:r>
      <w:r w:rsidRPr="00761008">
        <w:tab/>
        <w:t>has no principal or branch office; and</w:t>
      </w:r>
    </w:p>
    <w:p w14:paraId="2B6B1AB0" w14:textId="77777777" w:rsidR="00E91AE1" w:rsidRPr="00761008" w:rsidRDefault="00E91AE1" w:rsidP="001D2CEB">
      <w:pPr>
        <w:pStyle w:val="SubParagraph"/>
        <w:tabs>
          <w:tab w:val="clear" w:pos="1800"/>
        </w:tabs>
      </w:pPr>
      <w:r w:rsidRPr="00761008">
        <w:t>(4)</w:t>
      </w:r>
      <w:r w:rsidRPr="00761008">
        <w:tab/>
        <w:t>has no licensed person associated with it other than its qualifying broker.</w:t>
      </w:r>
    </w:p>
    <w:p w14:paraId="46EBA003" w14:textId="77777777" w:rsidR="00E91AE1" w:rsidRPr="00761008" w:rsidRDefault="00E91AE1" w:rsidP="001D2CEB">
      <w:pPr>
        <w:pStyle w:val="Paragraph"/>
      </w:pPr>
      <w:r w:rsidRPr="00761008">
        <w:t>(d)  A broker who maintains a trust or escrow account for the sole purpose of holding residential tenant security deposits received by the broker on properties owned by the broker in compliance with G.S. 42-50 shall not be required to be a BIC.</w:t>
      </w:r>
    </w:p>
    <w:p w14:paraId="58667745" w14:textId="77777777" w:rsidR="00E91AE1" w:rsidRPr="00761008" w:rsidRDefault="00E91AE1" w:rsidP="001D2CEB">
      <w:pPr>
        <w:pStyle w:val="Paragraph"/>
      </w:pPr>
      <w:r w:rsidRPr="00761008">
        <w:t xml:space="preserve">(e)  In order for a broker to designate as a BIC for a sole proprietor, real estate firm, or branch office, a broker shall apply for BIC Eligible status by </w:t>
      </w:r>
      <w:proofErr w:type="gramStart"/>
      <w:r w:rsidRPr="00761008">
        <w:t>submitting an application</w:t>
      </w:r>
      <w:proofErr w:type="gramEnd"/>
      <w:r w:rsidRPr="00761008">
        <w:t xml:space="preserve"> on a form available on the Commission's website. The BIC Eligible status form shall include the broker's:</w:t>
      </w:r>
    </w:p>
    <w:p w14:paraId="6DFA6649" w14:textId="77777777" w:rsidR="00E91AE1" w:rsidRPr="00761008" w:rsidRDefault="00E91AE1" w:rsidP="001D2CEB">
      <w:pPr>
        <w:pStyle w:val="SubParagraph"/>
        <w:tabs>
          <w:tab w:val="clear" w:pos="1800"/>
        </w:tabs>
      </w:pPr>
      <w:r w:rsidRPr="00761008">
        <w:t>(1)</w:t>
      </w:r>
      <w:r w:rsidRPr="00761008">
        <w:tab/>
        <w:t>name;</w:t>
      </w:r>
    </w:p>
    <w:p w14:paraId="3A32DEA7" w14:textId="77777777" w:rsidR="00E91AE1" w:rsidRPr="00761008" w:rsidRDefault="00E91AE1" w:rsidP="001D2CEB">
      <w:pPr>
        <w:pStyle w:val="SubParagraph"/>
        <w:tabs>
          <w:tab w:val="clear" w:pos="1800"/>
        </w:tabs>
      </w:pPr>
      <w:r w:rsidRPr="00761008">
        <w:t>(2)</w:t>
      </w:r>
      <w:r w:rsidRPr="00761008">
        <w:tab/>
        <w:t>license number;</w:t>
      </w:r>
    </w:p>
    <w:p w14:paraId="4C94884E" w14:textId="77777777" w:rsidR="00E91AE1" w:rsidRPr="00761008" w:rsidRDefault="00E91AE1" w:rsidP="001D2CEB">
      <w:pPr>
        <w:pStyle w:val="SubParagraph"/>
        <w:tabs>
          <w:tab w:val="clear" w:pos="1800"/>
        </w:tabs>
      </w:pPr>
      <w:r w:rsidRPr="00761008">
        <w:t>(3)</w:t>
      </w:r>
      <w:r w:rsidRPr="00761008">
        <w:tab/>
        <w:t>telephone number;</w:t>
      </w:r>
    </w:p>
    <w:p w14:paraId="793DF7CB" w14:textId="77777777" w:rsidR="00E91AE1" w:rsidRPr="00761008" w:rsidRDefault="00E91AE1" w:rsidP="001D2CEB">
      <w:pPr>
        <w:pStyle w:val="SubParagraph"/>
        <w:tabs>
          <w:tab w:val="clear" w:pos="1800"/>
        </w:tabs>
      </w:pPr>
      <w:r w:rsidRPr="00761008">
        <w:t>(4)</w:t>
      </w:r>
      <w:r w:rsidRPr="00761008">
        <w:tab/>
        <w:t>email address;</w:t>
      </w:r>
    </w:p>
    <w:p w14:paraId="59581052" w14:textId="77777777" w:rsidR="00E91AE1" w:rsidRPr="00761008" w:rsidRDefault="00E91AE1" w:rsidP="001D2CEB">
      <w:pPr>
        <w:pStyle w:val="SubParagraph"/>
        <w:tabs>
          <w:tab w:val="clear" w:pos="1800"/>
        </w:tabs>
      </w:pPr>
      <w:r w:rsidRPr="00761008">
        <w:t>(5)</w:t>
      </w:r>
      <w:r w:rsidRPr="00761008">
        <w:tab/>
        <w:t>criminal history and history of occupational license disciplinary actions;</w:t>
      </w:r>
    </w:p>
    <w:p w14:paraId="2276F115" w14:textId="77777777" w:rsidR="00E91AE1" w:rsidRPr="00761008" w:rsidRDefault="00E91AE1" w:rsidP="001D2CEB">
      <w:pPr>
        <w:pStyle w:val="SubParagraph"/>
        <w:tabs>
          <w:tab w:val="clear" w:pos="1800"/>
        </w:tabs>
      </w:pPr>
      <w:r w:rsidRPr="00761008">
        <w:t>(6)</w:t>
      </w:r>
      <w:r w:rsidRPr="00761008">
        <w:tab/>
        <w:t>certification of compliance with G.S. 93A-4.2, including that:</w:t>
      </w:r>
    </w:p>
    <w:p w14:paraId="480B7D8F" w14:textId="77777777" w:rsidR="00E91AE1" w:rsidRPr="00761008" w:rsidRDefault="00E91AE1" w:rsidP="001D2CEB">
      <w:pPr>
        <w:pStyle w:val="Part"/>
        <w:tabs>
          <w:tab w:val="clear" w:pos="2520"/>
        </w:tabs>
      </w:pPr>
      <w:r w:rsidRPr="00761008">
        <w:t>(A)</w:t>
      </w:r>
      <w:r w:rsidRPr="00761008">
        <w:tab/>
        <w:t>his or her broker license is on active status;</w:t>
      </w:r>
    </w:p>
    <w:p w14:paraId="7BDCA300" w14:textId="77777777" w:rsidR="00E91AE1" w:rsidRPr="00761008" w:rsidRDefault="00E91AE1" w:rsidP="001D2CEB">
      <w:pPr>
        <w:pStyle w:val="Part"/>
        <w:tabs>
          <w:tab w:val="clear" w:pos="2520"/>
        </w:tabs>
      </w:pPr>
      <w:r w:rsidRPr="00761008">
        <w:t>(B)</w:t>
      </w:r>
      <w:r w:rsidRPr="00761008">
        <w:tab/>
        <w:t>the broker possesses at least two years of full-time or four years of part-time real estate brokerage experience within the previous five years or shall be a North Carolina licensed attorney with a practice that consisted primarily of handling real estate closings and related matters in North Carolina for three years immediately preceding application; and</w:t>
      </w:r>
    </w:p>
    <w:p w14:paraId="5A661ED9" w14:textId="77777777" w:rsidR="00E91AE1" w:rsidRPr="00761008" w:rsidRDefault="00E91AE1" w:rsidP="001D2CEB">
      <w:pPr>
        <w:pStyle w:val="Part"/>
        <w:tabs>
          <w:tab w:val="clear" w:pos="2520"/>
        </w:tabs>
      </w:pPr>
      <w:r w:rsidRPr="00761008">
        <w:t>(C)</w:t>
      </w:r>
      <w:r w:rsidRPr="00761008">
        <w:tab/>
        <w:t>the broker completed the 12-hour Broker-in-Charge Course no earlier than one year prior to application and no later than 120 days after application; and</w:t>
      </w:r>
    </w:p>
    <w:p w14:paraId="1ABA61BF" w14:textId="77777777" w:rsidR="00E91AE1" w:rsidRPr="00761008" w:rsidRDefault="00E91AE1" w:rsidP="001D2CEB">
      <w:pPr>
        <w:pStyle w:val="SubParagraph"/>
        <w:tabs>
          <w:tab w:val="clear" w:pos="1800"/>
        </w:tabs>
      </w:pPr>
      <w:r w:rsidRPr="00761008">
        <w:t>(7)</w:t>
      </w:r>
      <w:r w:rsidRPr="00761008">
        <w:tab/>
        <w:t>signature.</w:t>
      </w:r>
    </w:p>
    <w:p w14:paraId="7B4499F9" w14:textId="77777777" w:rsidR="00E91AE1" w:rsidRPr="00761008" w:rsidRDefault="00E91AE1" w:rsidP="001D2CEB">
      <w:pPr>
        <w:pStyle w:val="Paragraph"/>
      </w:pPr>
      <w:r w:rsidRPr="00761008">
        <w:t>(f)  A broker who holds BIC Eligible status shall submit a form to become the designated BIC for a sole proprietor, real estate firm, or branch office. The BIC designation form shall include:</w:t>
      </w:r>
    </w:p>
    <w:p w14:paraId="11D3F180" w14:textId="77777777" w:rsidR="00E91AE1" w:rsidRPr="00761008" w:rsidRDefault="00E91AE1" w:rsidP="001D2CEB">
      <w:pPr>
        <w:pStyle w:val="SubParagraph"/>
        <w:tabs>
          <w:tab w:val="clear" w:pos="1800"/>
        </w:tabs>
      </w:pPr>
      <w:r w:rsidRPr="00761008">
        <w:t>(1)</w:t>
      </w:r>
      <w:r w:rsidRPr="00761008">
        <w:tab/>
        <w:t>the broker's:</w:t>
      </w:r>
    </w:p>
    <w:p w14:paraId="0AE481B6" w14:textId="77777777" w:rsidR="00E91AE1" w:rsidRPr="00761008" w:rsidRDefault="00E91AE1" w:rsidP="001D2CEB">
      <w:pPr>
        <w:pStyle w:val="Part"/>
        <w:tabs>
          <w:tab w:val="clear" w:pos="2520"/>
        </w:tabs>
      </w:pPr>
      <w:r w:rsidRPr="00761008">
        <w:t>(A)</w:t>
      </w:r>
      <w:r w:rsidRPr="00761008">
        <w:tab/>
        <w:t>name;</w:t>
      </w:r>
    </w:p>
    <w:p w14:paraId="7B50DE28" w14:textId="77777777" w:rsidR="00E91AE1" w:rsidRPr="00761008" w:rsidRDefault="00E91AE1" w:rsidP="001D2CEB">
      <w:pPr>
        <w:pStyle w:val="Part"/>
        <w:tabs>
          <w:tab w:val="clear" w:pos="2520"/>
        </w:tabs>
      </w:pPr>
      <w:r w:rsidRPr="00761008">
        <w:t>(B)</w:t>
      </w:r>
      <w:r w:rsidRPr="00761008">
        <w:tab/>
        <w:t>license number;</w:t>
      </w:r>
    </w:p>
    <w:p w14:paraId="6867A9D4" w14:textId="77777777" w:rsidR="00E91AE1" w:rsidRPr="00761008" w:rsidRDefault="00E91AE1" w:rsidP="001D2CEB">
      <w:pPr>
        <w:pStyle w:val="Part"/>
        <w:tabs>
          <w:tab w:val="clear" w:pos="2520"/>
        </w:tabs>
      </w:pPr>
      <w:r w:rsidRPr="00761008">
        <w:t>(C)</w:t>
      </w:r>
      <w:r w:rsidRPr="00761008">
        <w:tab/>
        <w:t>telephone number;</w:t>
      </w:r>
    </w:p>
    <w:p w14:paraId="6BEB093F" w14:textId="77777777" w:rsidR="00E91AE1" w:rsidRPr="00761008" w:rsidRDefault="00E91AE1" w:rsidP="001D2CEB">
      <w:pPr>
        <w:pStyle w:val="Part"/>
        <w:tabs>
          <w:tab w:val="clear" w:pos="2520"/>
        </w:tabs>
      </w:pPr>
      <w:r w:rsidRPr="00761008">
        <w:t>(D)</w:t>
      </w:r>
      <w:r w:rsidRPr="00761008">
        <w:tab/>
        <w:t>email address; and</w:t>
      </w:r>
    </w:p>
    <w:p w14:paraId="32CEB0EC" w14:textId="77777777" w:rsidR="00E91AE1" w:rsidRPr="00761008" w:rsidRDefault="00E91AE1" w:rsidP="001D2CEB">
      <w:pPr>
        <w:pStyle w:val="Part"/>
        <w:tabs>
          <w:tab w:val="clear" w:pos="2520"/>
        </w:tabs>
      </w:pPr>
      <w:r w:rsidRPr="00761008">
        <w:t>(E)</w:t>
      </w:r>
      <w:r w:rsidRPr="00761008">
        <w:tab/>
        <w:t>criminal history and history of occupational license disciplinary actions; and</w:t>
      </w:r>
    </w:p>
    <w:p w14:paraId="3E660B1A" w14:textId="77777777" w:rsidR="00E91AE1" w:rsidRPr="00761008" w:rsidRDefault="00E91AE1" w:rsidP="001D2CEB">
      <w:pPr>
        <w:pStyle w:val="SubParagraph"/>
        <w:tabs>
          <w:tab w:val="clear" w:pos="1800"/>
        </w:tabs>
      </w:pPr>
      <w:r w:rsidRPr="00761008">
        <w:t>(2)</w:t>
      </w:r>
      <w:r w:rsidRPr="00761008">
        <w:tab/>
        <w:t>the firm's:</w:t>
      </w:r>
    </w:p>
    <w:p w14:paraId="6BC4B537" w14:textId="77777777" w:rsidR="00E91AE1" w:rsidRPr="00761008" w:rsidRDefault="00E91AE1" w:rsidP="001D2CEB">
      <w:pPr>
        <w:pStyle w:val="Part"/>
        <w:tabs>
          <w:tab w:val="clear" w:pos="2520"/>
        </w:tabs>
      </w:pPr>
      <w:r w:rsidRPr="00761008">
        <w:t>(A)</w:t>
      </w:r>
      <w:r w:rsidRPr="00761008">
        <w:tab/>
        <w:t>name; and</w:t>
      </w:r>
    </w:p>
    <w:p w14:paraId="7468F7D6" w14:textId="77777777" w:rsidR="00E91AE1" w:rsidRPr="00761008" w:rsidRDefault="00E91AE1" w:rsidP="001D2CEB">
      <w:pPr>
        <w:pStyle w:val="Part"/>
        <w:tabs>
          <w:tab w:val="clear" w:pos="2520"/>
        </w:tabs>
      </w:pPr>
      <w:r w:rsidRPr="00761008">
        <w:t>(B)</w:t>
      </w:r>
      <w:r w:rsidRPr="00761008">
        <w:tab/>
        <w:t>license number, if applicable;</w:t>
      </w:r>
    </w:p>
    <w:p w14:paraId="79F8CC7E" w14:textId="77777777" w:rsidR="00E91AE1" w:rsidRPr="00761008" w:rsidRDefault="00E91AE1" w:rsidP="001D2CEB">
      <w:pPr>
        <w:pStyle w:val="Paragraph"/>
      </w:pPr>
      <w:r w:rsidRPr="00761008">
        <w:t>(g)  A designated BIC shall:</w:t>
      </w:r>
    </w:p>
    <w:p w14:paraId="58C9F270" w14:textId="77777777" w:rsidR="00E91AE1" w:rsidRPr="00761008" w:rsidRDefault="00E91AE1" w:rsidP="001D2CEB">
      <w:pPr>
        <w:pStyle w:val="SubParagraph"/>
        <w:tabs>
          <w:tab w:val="clear" w:pos="1800"/>
        </w:tabs>
      </w:pPr>
      <w:r w:rsidRPr="00761008">
        <w:lastRenderedPageBreak/>
        <w:t>(1)</w:t>
      </w:r>
      <w:r w:rsidRPr="00761008">
        <w:tab/>
        <w:t>assure that each broker employed at the office has complied with Rules .0503, .0504, and .0506 of this Subchapter;</w:t>
      </w:r>
    </w:p>
    <w:p w14:paraId="5666857B" w14:textId="77777777" w:rsidR="00E91AE1" w:rsidRPr="00761008" w:rsidRDefault="00E91AE1" w:rsidP="001D2CEB">
      <w:pPr>
        <w:pStyle w:val="SubParagraph"/>
        <w:tabs>
          <w:tab w:val="clear" w:pos="1800"/>
        </w:tabs>
      </w:pPr>
      <w:r w:rsidRPr="00761008">
        <w:t>(2)</w:t>
      </w:r>
      <w:r w:rsidRPr="00761008">
        <w:tab/>
        <w:t>notify the Commission of any change of firm's business address or trade name and the registration of any assumed business name adopted by the firm for its use;</w:t>
      </w:r>
    </w:p>
    <w:p w14:paraId="361BB4DF" w14:textId="77777777" w:rsidR="00E91AE1" w:rsidRPr="00761008" w:rsidRDefault="00E91AE1" w:rsidP="001D2CEB">
      <w:pPr>
        <w:pStyle w:val="SubParagraph"/>
        <w:tabs>
          <w:tab w:val="clear" w:pos="1800"/>
        </w:tabs>
      </w:pPr>
      <w:r w:rsidRPr="00761008">
        <w:t>(3)</w:t>
      </w:r>
      <w:r w:rsidRPr="00761008">
        <w:tab/>
        <w:t>be responsible for the conduct of advertising by or in the name of the firm at such office;</w:t>
      </w:r>
    </w:p>
    <w:p w14:paraId="5FF6AC25" w14:textId="77777777" w:rsidR="00E91AE1" w:rsidRPr="00761008" w:rsidRDefault="00E91AE1" w:rsidP="001D2CEB">
      <w:pPr>
        <w:pStyle w:val="SubParagraph"/>
        <w:tabs>
          <w:tab w:val="clear" w:pos="1800"/>
        </w:tabs>
      </w:pPr>
      <w:r w:rsidRPr="00761008">
        <w:t>(4)</w:t>
      </w:r>
      <w:r w:rsidRPr="00761008">
        <w:tab/>
        <w:t>maintain the trust or escrow account of the firm and the records pertaining thereto;</w:t>
      </w:r>
    </w:p>
    <w:p w14:paraId="1536FF2E" w14:textId="77777777" w:rsidR="00E91AE1" w:rsidRPr="00761008" w:rsidRDefault="00E91AE1" w:rsidP="001D2CEB">
      <w:pPr>
        <w:pStyle w:val="SubParagraph"/>
        <w:tabs>
          <w:tab w:val="clear" w:pos="1800"/>
        </w:tabs>
      </w:pPr>
      <w:r w:rsidRPr="00761008">
        <w:t>(5)</w:t>
      </w:r>
      <w:r w:rsidRPr="00761008">
        <w:tab/>
        <w:t>retain and maintain records relating to transactions conducted by or on behalf of the firm, including those required to be retained pursuant to Rule .0108 of this Section;</w:t>
      </w:r>
    </w:p>
    <w:p w14:paraId="79E84539" w14:textId="77777777" w:rsidR="00E91AE1" w:rsidRPr="00761008" w:rsidRDefault="00E91AE1" w:rsidP="001D2CEB">
      <w:pPr>
        <w:pStyle w:val="SubParagraph"/>
        <w:tabs>
          <w:tab w:val="clear" w:pos="1800"/>
        </w:tabs>
      </w:pPr>
      <w:r w:rsidRPr="00761008">
        <w:t>(6)</w:t>
      </w:r>
      <w:r w:rsidRPr="00761008">
        <w:tab/>
        <w:t>supervise provisional brokers associated with or engaged on behalf of the firm at such office in accordance with the requirements of Rule .0506 of this Subchapter;</w:t>
      </w:r>
    </w:p>
    <w:p w14:paraId="5EB4A0C7" w14:textId="77777777" w:rsidR="00E91AE1" w:rsidRPr="00761008" w:rsidRDefault="00E91AE1" w:rsidP="001D2CEB">
      <w:pPr>
        <w:pStyle w:val="SubParagraph"/>
        <w:tabs>
          <w:tab w:val="clear" w:pos="1800"/>
        </w:tabs>
      </w:pPr>
      <w:r w:rsidRPr="00761008">
        <w:t>(7)</w:t>
      </w:r>
      <w:r w:rsidRPr="00761008">
        <w:tab/>
        <w:t xml:space="preserve">supervise all brokers employed at the office with respect to adherence to agency agreement and disclosure requirements; </w:t>
      </w:r>
      <w:r w:rsidRPr="00761008">
        <w:rPr>
          <w:strike/>
        </w:rPr>
        <w:t>and</w:t>
      </w:r>
    </w:p>
    <w:p w14:paraId="5288E2E9" w14:textId="77777777" w:rsidR="00E91AE1" w:rsidRPr="00761008" w:rsidRDefault="00E91AE1" w:rsidP="001D2CEB">
      <w:pPr>
        <w:pStyle w:val="SubParagraph"/>
        <w:tabs>
          <w:tab w:val="clear" w:pos="1800"/>
        </w:tabs>
      </w:pPr>
      <w:r w:rsidRPr="00761008">
        <w:t>(8)</w:t>
      </w:r>
      <w:r w:rsidRPr="00761008">
        <w:tab/>
        <w:t xml:space="preserve">notify the Commission in writing that he or she is no longer serving as BIC of a </w:t>
      </w:r>
      <w:proofErr w:type="gramStart"/>
      <w:r w:rsidRPr="00761008">
        <w:t>particular office</w:t>
      </w:r>
      <w:proofErr w:type="gramEnd"/>
      <w:r w:rsidRPr="00761008">
        <w:t xml:space="preserve"> within 10 days following any such </w:t>
      </w:r>
      <w:r w:rsidRPr="00761008">
        <w:rPr>
          <w:strike/>
        </w:rPr>
        <w:t>change.</w:t>
      </w:r>
      <w:r w:rsidRPr="00761008">
        <w:t xml:space="preserve"> </w:t>
      </w:r>
      <w:r w:rsidRPr="00761008">
        <w:rPr>
          <w:u w:val="single"/>
        </w:rPr>
        <w:t>change; and</w:t>
      </w:r>
    </w:p>
    <w:p w14:paraId="6875DEB5" w14:textId="77777777" w:rsidR="00E91AE1" w:rsidRPr="00761008" w:rsidRDefault="00E91AE1" w:rsidP="001D2CEB">
      <w:pPr>
        <w:pStyle w:val="SubParagraph"/>
        <w:tabs>
          <w:tab w:val="clear" w:pos="1800"/>
        </w:tabs>
      </w:pPr>
      <w:r w:rsidRPr="00761008">
        <w:rPr>
          <w:u w:val="single"/>
        </w:rPr>
        <w:t>(9)</w:t>
      </w:r>
      <w:r w:rsidRPr="00761008">
        <w:tab/>
      </w:r>
      <w:r w:rsidRPr="00761008">
        <w:rPr>
          <w:u w:val="single"/>
        </w:rPr>
        <w:t>shall complete the Commission's Basic Trust Account Procedures Course within 120 days of opening a trust account in accordance with G.S. 93A-6(g).</w:t>
      </w:r>
    </w:p>
    <w:p w14:paraId="0CEDAC56" w14:textId="77777777" w:rsidR="00E91AE1" w:rsidRPr="00761008" w:rsidRDefault="00E91AE1" w:rsidP="001D2CEB">
      <w:pPr>
        <w:pStyle w:val="Paragraph"/>
      </w:pPr>
      <w:r w:rsidRPr="00761008">
        <w:t>(h)  A broker holding BIC Eligible status shall take the Broker-in-Charge Update Course during the license year of designation, unless the broker has satisfied the requirements of Rule .1702 of this Subchapter prior to designation.</w:t>
      </w:r>
    </w:p>
    <w:p w14:paraId="14F905E8" w14:textId="77777777" w:rsidR="00E91AE1" w:rsidRPr="00761008" w:rsidRDefault="00E91AE1" w:rsidP="001D2CEB">
      <w:pPr>
        <w:pStyle w:val="Paragraph"/>
      </w:pPr>
      <w:r w:rsidRPr="00761008">
        <w:t>(i)  A broker's BIC Eligible status shall terminate if the broker:</w:t>
      </w:r>
    </w:p>
    <w:p w14:paraId="306464A2" w14:textId="77777777" w:rsidR="00E91AE1" w:rsidRPr="00761008" w:rsidRDefault="00E91AE1" w:rsidP="001D2CEB">
      <w:pPr>
        <w:pStyle w:val="SubParagraph"/>
        <w:tabs>
          <w:tab w:val="clear" w:pos="1800"/>
        </w:tabs>
      </w:pPr>
      <w:r w:rsidRPr="00761008">
        <w:t>(1)</w:t>
      </w:r>
      <w:r w:rsidRPr="00761008">
        <w:tab/>
        <w:t>made any false statements or presented any false, incomplete, or incorrect information in connection with an application;</w:t>
      </w:r>
    </w:p>
    <w:p w14:paraId="16755C0B" w14:textId="77777777" w:rsidR="00E91AE1" w:rsidRPr="00761008" w:rsidRDefault="00E91AE1" w:rsidP="001D2CEB">
      <w:pPr>
        <w:pStyle w:val="SubParagraph"/>
        <w:tabs>
          <w:tab w:val="clear" w:pos="1800"/>
        </w:tabs>
      </w:pPr>
      <w:r w:rsidRPr="00761008">
        <w:t>(2)</w:t>
      </w:r>
      <w:r w:rsidRPr="00761008">
        <w:tab/>
        <w:t>fails to complete the 12-hour Broker-in-Charge Course pursuant to Paragraph (e) of this Rule;</w:t>
      </w:r>
    </w:p>
    <w:p w14:paraId="2F58C686" w14:textId="77777777" w:rsidR="00E91AE1" w:rsidRPr="00761008" w:rsidRDefault="00E91AE1" w:rsidP="001D2CEB">
      <w:pPr>
        <w:pStyle w:val="SubParagraph"/>
        <w:tabs>
          <w:tab w:val="clear" w:pos="1800"/>
        </w:tabs>
      </w:pPr>
      <w:r w:rsidRPr="00761008">
        <w:t>(3)</w:t>
      </w:r>
      <w:r w:rsidRPr="00761008">
        <w:tab/>
        <w:t>fails to renew his or her broker license pursuant to Rule .0503 of this Subchapter, or the broker's license has been suspended, revoked, or surrendered; or</w:t>
      </w:r>
    </w:p>
    <w:p w14:paraId="7BC4C2D1" w14:textId="77777777" w:rsidR="00E91AE1" w:rsidRPr="00761008" w:rsidRDefault="00E91AE1" w:rsidP="001D2CEB">
      <w:pPr>
        <w:pStyle w:val="SubParagraph"/>
        <w:tabs>
          <w:tab w:val="clear" w:pos="1800"/>
        </w:tabs>
      </w:pPr>
      <w:r w:rsidRPr="00761008">
        <w:t>(4)</w:t>
      </w:r>
      <w:r w:rsidRPr="00761008">
        <w:tab/>
        <w:t xml:space="preserve">fails to complete the Broker-in-Charge Update Course and a </w:t>
      </w:r>
      <w:proofErr w:type="gramStart"/>
      <w:r w:rsidRPr="00761008">
        <w:t>four credit</w:t>
      </w:r>
      <w:proofErr w:type="gramEnd"/>
      <w:r w:rsidRPr="00761008">
        <w:t xml:space="preserve"> hour elective course pursuant to Rules .1702 and .1711 of this Subchapter, if applicable.</w:t>
      </w:r>
    </w:p>
    <w:p w14:paraId="4672B859" w14:textId="77777777" w:rsidR="00E91AE1" w:rsidRPr="00761008" w:rsidRDefault="00E91AE1" w:rsidP="001D2CEB">
      <w:pPr>
        <w:pStyle w:val="Paragraph"/>
      </w:pPr>
      <w:r w:rsidRPr="00761008">
        <w:t>(j)  In order to regain BIC Eligible status after a broker's BIC Eligible status terminates, the broker shall complete the 12-hour Broker-in-Charge Course prior to application and then submit a BIC Eligible status form pursuant to Paragraph (e) of this Rule.</w:t>
      </w:r>
    </w:p>
    <w:p w14:paraId="3A1701E1" w14:textId="77777777" w:rsidR="00E91AE1" w:rsidRPr="00761008" w:rsidRDefault="00E91AE1" w:rsidP="001D2CEB">
      <w:pPr>
        <w:pStyle w:val="Paragraph"/>
      </w:pPr>
      <w:r w:rsidRPr="00761008">
        <w:t>(k)  A nonresident commercial real estate broker licensed under the provisions of Section .1800 of this Subchapter shall not act as or serve in the capacity of a broker-in-charge of a firm or office in North Carolina.</w:t>
      </w:r>
    </w:p>
    <w:p w14:paraId="1FAFDC86" w14:textId="77777777" w:rsidR="00E91AE1" w:rsidRPr="00761008" w:rsidRDefault="00E91AE1" w:rsidP="001D2CEB">
      <w:pPr>
        <w:pStyle w:val="Base"/>
      </w:pPr>
    </w:p>
    <w:p w14:paraId="38ABB49B" w14:textId="20230674" w:rsidR="00E91AE1" w:rsidRPr="00761008" w:rsidRDefault="00E91AE1" w:rsidP="00E91AE1">
      <w:pPr>
        <w:pStyle w:val="HistoryAuthority"/>
      </w:pPr>
      <w:r w:rsidRPr="00761008">
        <w:t>Authority G.S. 93A-2; 93A-3(c); 93A-4; 93A-4.1; 93A-4.2; 93A-9</w:t>
      </w:r>
      <w:r>
        <w:t>.</w:t>
      </w:r>
    </w:p>
    <w:p w14:paraId="123CA115" w14:textId="77777777" w:rsidR="00E91AE1" w:rsidRDefault="00E91AE1" w:rsidP="001D2CEB">
      <w:pPr>
        <w:pStyle w:val="Section"/>
      </w:pPr>
      <w:r>
        <w:t>SECTION .0300 – APPLICATION FOR LICENSE</w:t>
      </w:r>
    </w:p>
    <w:p w14:paraId="3AFC5A3A" w14:textId="77777777" w:rsidR="00E91AE1" w:rsidRPr="00960B49" w:rsidRDefault="00E91AE1" w:rsidP="001D2CEB">
      <w:pPr>
        <w:pStyle w:val="Base"/>
      </w:pPr>
    </w:p>
    <w:p w14:paraId="7E1E345D" w14:textId="77777777" w:rsidR="00E91AE1" w:rsidRPr="00960B49" w:rsidRDefault="00E91AE1" w:rsidP="001D2CEB">
      <w:pPr>
        <w:pStyle w:val="Rule"/>
      </w:pPr>
      <w:r w:rsidRPr="00960B49">
        <w:t>21 NCAC 58A .0302</w:t>
      </w:r>
      <w:r w:rsidRPr="00960B49">
        <w:tab/>
        <w:t>license application and fee</w:t>
      </w:r>
    </w:p>
    <w:p w14:paraId="67CBD70F" w14:textId="77777777" w:rsidR="00E91AE1" w:rsidRPr="00960B49" w:rsidRDefault="00E91AE1" w:rsidP="001D2CEB">
      <w:pPr>
        <w:pStyle w:val="Paragraph"/>
      </w:pPr>
      <w:r w:rsidRPr="00960B49">
        <w:t>(a)  The fee for an original application of a broker or firm license shall be one hundred dollars ($100.00).</w:t>
      </w:r>
    </w:p>
    <w:p w14:paraId="12063D48" w14:textId="77777777" w:rsidR="00E91AE1" w:rsidRPr="00960B49" w:rsidRDefault="00E91AE1" w:rsidP="001D2CEB">
      <w:pPr>
        <w:pStyle w:val="Paragraph"/>
      </w:pPr>
      <w:r w:rsidRPr="00960B49">
        <w:t xml:space="preserve">(b)  An applicant shall update information provided in connection with a license application in writing to the Commission or submit a new application form that includes the updated information without request by the Commission to ensure that the information provided in the application is current and accurate. Failure to submit updated information prior to the issuance of a license may result in disciplinary action against a broker or firm in accordance with G.S. 93A-6(b)(1). Upon the request of the Commission, an applicant shall submit updated information or provide additional information necessary to complete the application within </w:t>
      </w:r>
      <w:r w:rsidRPr="00960B49">
        <w:rPr>
          <w:strike/>
        </w:rPr>
        <w:t>90</w:t>
      </w:r>
      <w:r w:rsidRPr="00960B49">
        <w:t xml:space="preserve"> </w:t>
      </w:r>
      <w:r w:rsidRPr="00960B49">
        <w:rPr>
          <w:u w:val="single"/>
        </w:rPr>
        <w:t>45</w:t>
      </w:r>
      <w:r w:rsidRPr="00960B49">
        <w:t xml:space="preserve"> days of the request or the license application shall be canceled.</w:t>
      </w:r>
    </w:p>
    <w:p w14:paraId="1469BD0A" w14:textId="77777777" w:rsidR="00E91AE1" w:rsidRPr="00960B49" w:rsidRDefault="00E91AE1" w:rsidP="001D2CEB">
      <w:pPr>
        <w:pStyle w:val="Paragraph"/>
      </w:pPr>
      <w:r w:rsidRPr="00960B49">
        <w:t>(c)  The license application of an individual shall be canceled if the applicant fails to:</w:t>
      </w:r>
    </w:p>
    <w:p w14:paraId="3785DFDB" w14:textId="77777777" w:rsidR="00E91AE1" w:rsidRPr="00960B49" w:rsidRDefault="00E91AE1" w:rsidP="001D2CEB">
      <w:pPr>
        <w:pStyle w:val="SubParagraph"/>
        <w:tabs>
          <w:tab w:val="clear" w:pos="1800"/>
        </w:tabs>
      </w:pPr>
      <w:r w:rsidRPr="00960B49">
        <w:t>(1)</w:t>
      </w:r>
      <w:r w:rsidRPr="00960B49">
        <w:tab/>
        <w:t>pass a scheduled license examination within 180 days of filing a complete application pursuant to Rule .0301 of this Section; or</w:t>
      </w:r>
    </w:p>
    <w:p w14:paraId="25E9A961" w14:textId="77777777" w:rsidR="00E91AE1" w:rsidRPr="00960B49" w:rsidRDefault="00E91AE1" w:rsidP="001D2CEB">
      <w:pPr>
        <w:pStyle w:val="SubParagraph"/>
        <w:tabs>
          <w:tab w:val="clear" w:pos="1800"/>
        </w:tabs>
      </w:pPr>
      <w:r w:rsidRPr="00960B49">
        <w:t>(2)</w:t>
      </w:r>
      <w:r w:rsidRPr="00960B49">
        <w:tab/>
        <w:t>appear for and take any scheduled examination without having the applicant's examination postponed or absence excused pursuant to Rule .0401 of this Subchapter.</w:t>
      </w:r>
    </w:p>
    <w:p w14:paraId="1013B965" w14:textId="77777777" w:rsidR="00E91AE1" w:rsidRPr="00960B49" w:rsidRDefault="00E91AE1" w:rsidP="001D2CEB">
      <w:pPr>
        <w:pStyle w:val="Base"/>
      </w:pPr>
    </w:p>
    <w:p w14:paraId="5FBC1249" w14:textId="5EDD3F34" w:rsidR="00E91AE1" w:rsidRPr="00960B49" w:rsidRDefault="00E91AE1" w:rsidP="00E91AE1">
      <w:pPr>
        <w:pStyle w:val="HistoryAuthority"/>
      </w:pPr>
      <w:r w:rsidRPr="00960B49">
        <w:t>Authority G.S. 93A-4; 93A-6(b)(1); 93A-9</w:t>
      </w:r>
      <w:r>
        <w:t>.</w:t>
      </w:r>
    </w:p>
    <w:p w14:paraId="7A93C801" w14:textId="77777777" w:rsidR="00E91AE1" w:rsidRPr="00960B49" w:rsidRDefault="00E91AE1" w:rsidP="001D2CEB">
      <w:pPr>
        <w:pStyle w:val="Base"/>
      </w:pPr>
    </w:p>
    <w:p w14:paraId="126CD8E9" w14:textId="77777777" w:rsidR="00E91AE1" w:rsidRPr="00487A16" w:rsidRDefault="00E91AE1" w:rsidP="001D2CEB">
      <w:pPr>
        <w:pStyle w:val="Rule"/>
      </w:pPr>
      <w:r w:rsidRPr="00487A16">
        <w:rPr>
          <w:u w:val="single"/>
        </w:rPr>
        <w:t>21 NCAC 58A .0305</w:t>
      </w:r>
      <w:r w:rsidRPr="00487A16">
        <w:tab/>
      </w:r>
      <w:r w:rsidRPr="00487A16">
        <w:rPr>
          <w:u w:val="single"/>
        </w:rPr>
        <w:t>PETITION FOR PREDETERMINATION</w:t>
      </w:r>
    </w:p>
    <w:p w14:paraId="74CA1093" w14:textId="77777777" w:rsidR="00E91AE1" w:rsidRPr="00487A16" w:rsidRDefault="00E91AE1" w:rsidP="001D2CEB">
      <w:pPr>
        <w:pStyle w:val="Paragraph"/>
      </w:pPr>
      <w:r w:rsidRPr="00487A16">
        <w:rPr>
          <w:u w:val="single"/>
        </w:rPr>
        <w:t>(a)  An individual who wishes to file a petition for a predetermination of whether the individual's criminal history will likely disqualify the individual from obtaining a real estate license shall submit a petition on the Commission's website.</w:t>
      </w:r>
    </w:p>
    <w:p w14:paraId="06EABE82" w14:textId="77777777" w:rsidR="00E91AE1" w:rsidRPr="00487A16" w:rsidRDefault="00E91AE1" w:rsidP="001D2CEB">
      <w:pPr>
        <w:pStyle w:val="Paragraph"/>
      </w:pPr>
      <w:r w:rsidRPr="00487A16">
        <w:rPr>
          <w:u w:val="single"/>
        </w:rPr>
        <w:t>(b)  The petition shall include the petitioner's:</w:t>
      </w:r>
    </w:p>
    <w:p w14:paraId="769B324D" w14:textId="77777777" w:rsidR="00E91AE1" w:rsidRPr="00487A16" w:rsidRDefault="00E91AE1" w:rsidP="001D2CEB">
      <w:pPr>
        <w:pStyle w:val="SubParagraph"/>
        <w:tabs>
          <w:tab w:val="clear" w:pos="1800"/>
        </w:tabs>
      </w:pPr>
      <w:r w:rsidRPr="00487A16">
        <w:rPr>
          <w:u w:val="single"/>
        </w:rPr>
        <w:t>(1)</w:t>
      </w:r>
      <w:r w:rsidRPr="00487A16">
        <w:tab/>
      </w:r>
      <w:r w:rsidRPr="00487A16">
        <w:rPr>
          <w:u w:val="single"/>
        </w:rPr>
        <w:t>legal name;</w:t>
      </w:r>
    </w:p>
    <w:p w14:paraId="3AE5B334" w14:textId="77777777" w:rsidR="00E91AE1" w:rsidRPr="00487A16" w:rsidRDefault="00E91AE1" w:rsidP="001D2CEB">
      <w:pPr>
        <w:pStyle w:val="SubParagraph"/>
        <w:tabs>
          <w:tab w:val="clear" w:pos="1800"/>
        </w:tabs>
      </w:pPr>
      <w:r w:rsidRPr="00487A16">
        <w:rPr>
          <w:u w:val="single"/>
        </w:rPr>
        <w:t>(2)</w:t>
      </w:r>
      <w:r w:rsidRPr="00487A16">
        <w:tab/>
      </w:r>
      <w:r w:rsidRPr="00487A16">
        <w:rPr>
          <w:u w:val="single"/>
        </w:rPr>
        <w:t>mailing, physical, and email addresses;</w:t>
      </w:r>
    </w:p>
    <w:p w14:paraId="191895DA" w14:textId="77777777" w:rsidR="00E91AE1" w:rsidRPr="00487A16" w:rsidRDefault="00E91AE1" w:rsidP="001D2CEB">
      <w:pPr>
        <w:pStyle w:val="SubParagraph"/>
        <w:tabs>
          <w:tab w:val="clear" w:pos="1800"/>
        </w:tabs>
      </w:pPr>
      <w:r w:rsidRPr="00487A16">
        <w:rPr>
          <w:u w:val="single"/>
        </w:rPr>
        <w:t>(3)</w:t>
      </w:r>
      <w:r w:rsidRPr="00487A16">
        <w:tab/>
      </w:r>
      <w:r w:rsidRPr="00487A16">
        <w:rPr>
          <w:u w:val="single"/>
        </w:rPr>
        <w:t>social security number;</w:t>
      </w:r>
    </w:p>
    <w:p w14:paraId="5F399C5E" w14:textId="77777777" w:rsidR="00E91AE1" w:rsidRPr="00487A16" w:rsidRDefault="00E91AE1" w:rsidP="001D2CEB">
      <w:pPr>
        <w:pStyle w:val="SubParagraph"/>
        <w:tabs>
          <w:tab w:val="clear" w:pos="1800"/>
        </w:tabs>
      </w:pPr>
      <w:r w:rsidRPr="00487A16">
        <w:rPr>
          <w:u w:val="single"/>
        </w:rPr>
        <w:t>(4)</w:t>
      </w:r>
      <w:r w:rsidRPr="00487A16">
        <w:tab/>
      </w:r>
      <w:r w:rsidRPr="00487A16">
        <w:rPr>
          <w:u w:val="single"/>
        </w:rPr>
        <w:t>date of birth;</w:t>
      </w:r>
    </w:p>
    <w:p w14:paraId="4030A9A0" w14:textId="77777777" w:rsidR="00E91AE1" w:rsidRPr="00487A16" w:rsidRDefault="00E91AE1" w:rsidP="001D2CEB">
      <w:pPr>
        <w:pStyle w:val="SubParagraph"/>
        <w:tabs>
          <w:tab w:val="clear" w:pos="1800"/>
        </w:tabs>
      </w:pPr>
      <w:r w:rsidRPr="00487A16">
        <w:rPr>
          <w:u w:val="single"/>
        </w:rPr>
        <w:t>(5)</w:t>
      </w:r>
      <w:r w:rsidRPr="00487A16">
        <w:tab/>
      </w:r>
      <w:r w:rsidRPr="00487A16">
        <w:rPr>
          <w:u w:val="single"/>
        </w:rPr>
        <w:t>telephone number;</w:t>
      </w:r>
    </w:p>
    <w:p w14:paraId="25E8330C" w14:textId="77777777" w:rsidR="00E91AE1" w:rsidRPr="00487A16" w:rsidRDefault="00E91AE1" w:rsidP="001D2CEB">
      <w:pPr>
        <w:pStyle w:val="SubParagraph"/>
        <w:tabs>
          <w:tab w:val="clear" w:pos="1800"/>
        </w:tabs>
      </w:pPr>
      <w:r w:rsidRPr="00487A16">
        <w:rPr>
          <w:u w:val="single"/>
        </w:rPr>
        <w:t>(6)</w:t>
      </w:r>
      <w:r w:rsidRPr="00487A16">
        <w:tab/>
      </w:r>
      <w:r w:rsidRPr="00487A16">
        <w:rPr>
          <w:u w:val="single"/>
        </w:rPr>
        <w:t>places of residence for the past seven years;</w:t>
      </w:r>
    </w:p>
    <w:p w14:paraId="57FB179E" w14:textId="77777777" w:rsidR="00E91AE1" w:rsidRPr="00487A16" w:rsidRDefault="00E91AE1" w:rsidP="001D2CEB">
      <w:pPr>
        <w:pStyle w:val="SubParagraph"/>
        <w:tabs>
          <w:tab w:val="clear" w:pos="1800"/>
        </w:tabs>
      </w:pPr>
      <w:r w:rsidRPr="00487A16">
        <w:rPr>
          <w:u w:val="single"/>
        </w:rPr>
        <w:t>(7)</w:t>
      </w:r>
      <w:r w:rsidRPr="00487A16">
        <w:tab/>
      </w:r>
      <w:r w:rsidRPr="00487A16">
        <w:rPr>
          <w:u w:val="single"/>
        </w:rPr>
        <w:t>employment history since the date the crime was committed;</w:t>
      </w:r>
    </w:p>
    <w:p w14:paraId="56C5F472" w14:textId="77777777" w:rsidR="00E91AE1" w:rsidRPr="00487A16" w:rsidRDefault="00E91AE1" w:rsidP="001D2CEB">
      <w:pPr>
        <w:pStyle w:val="SubParagraph"/>
        <w:tabs>
          <w:tab w:val="clear" w:pos="1800"/>
        </w:tabs>
      </w:pPr>
      <w:r w:rsidRPr="00487A16">
        <w:rPr>
          <w:u w:val="single"/>
        </w:rPr>
        <w:t>(8)</w:t>
      </w:r>
      <w:r w:rsidRPr="00487A16">
        <w:tab/>
      </w:r>
      <w:r w:rsidRPr="00487A16">
        <w:rPr>
          <w:u w:val="single"/>
        </w:rPr>
        <w:t>criminal record report prepared no more than 60 days prior to the date of petition;</w:t>
      </w:r>
    </w:p>
    <w:p w14:paraId="033F9069" w14:textId="77777777" w:rsidR="00E91AE1" w:rsidRPr="00487A16" w:rsidRDefault="00E91AE1" w:rsidP="001D2CEB">
      <w:pPr>
        <w:pStyle w:val="SubParagraph"/>
        <w:tabs>
          <w:tab w:val="clear" w:pos="1800"/>
        </w:tabs>
      </w:pPr>
      <w:r w:rsidRPr="00487A16">
        <w:rPr>
          <w:u w:val="single"/>
        </w:rPr>
        <w:t>(9)</w:t>
      </w:r>
      <w:r w:rsidRPr="00487A16">
        <w:tab/>
      </w:r>
      <w:r w:rsidRPr="00487A16">
        <w:rPr>
          <w:u w:val="single"/>
        </w:rPr>
        <w:t>written statement describing the circumstances surrounding the commission of the crime(s);</w:t>
      </w:r>
    </w:p>
    <w:p w14:paraId="3893BB33" w14:textId="77777777" w:rsidR="00E91AE1" w:rsidRPr="00487A16" w:rsidRDefault="00E91AE1" w:rsidP="001D2CEB">
      <w:pPr>
        <w:pStyle w:val="SubParagraph"/>
        <w:tabs>
          <w:tab w:val="clear" w:pos="1800"/>
        </w:tabs>
      </w:pPr>
      <w:r w:rsidRPr="00487A16">
        <w:rPr>
          <w:u w:val="single"/>
        </w:rPr>
        <w:t>(10)</w:t>
      </w:r>
      <w:r w:rsidRPr="00487A16">
        <w:tab/>
      </w:r>
      <w:r w:rsidRPr="00487A16">
        <w:rPr>
          <w:u w:val="single"/>
        </w:rPr>
        <w:t>written statement of any rehabilitation efforts, if applicable;</w:t>
      </w:r>
    </w:p>
    <w:p w14:paraId="16817012" w14:textId="77777777" w:rsidR="00E91AE1" w:rsidRPr="00487A16" w:rsidRDefault="00E91AE1" w:rsidP="001D2CEB">
      <w:pPr>
        <w:pStyle w:val="SubParagraph"/>
        <w:tabs>
          <w:tab w:val="clear" w:pos="1800"/>
        </w:tabs>
      </w:pPr>
      <w:r w:rsidRPr="00487A16">
        <w:rPr>
          <w:u w:val="single"/>
        </w:rPr>
        <w:t>(11)</w:t>
      </w:r>
      <w:r w:rsidRPr="00487A16">
        <w:tab/>
      </w:r>
      <w:r w:rsidRPr="00487A16">
        <w:rPr>
          <w:u w:val="single"/>
        </w:rPr>
        <w:t>rehabilitative drug or alcohol treatments, if applicable;</w:t>
      </w:r>
    </w:p>
    <w:p w14:paraId="7EB5132A" w14:textId="77777777" w:rsidR="00E91AE1" w:rsidRPr="00487A16" w:rsidRDefault="00E91AE1" w:rsidP="001D2CEB">
      <w:pPr>
        <w:pStyle w:val="SubParagraph"/>
        <w:tabs>
          <w:tab w:val="clear" w:pos="1800"/>
        </w:tabs>
      </w:pPr>
      <w:r w:rsidRPr="00487A16">
        <w:rPr>
          <w:u w:val="single"/>
        </w:rPr>
        <w:t>(12)</w:t>
      </w:r>
      <w:r w:rsidRPr="00487A16">
        <w:tab/>
      </w:r>
      <w:r w:rsidRPr="00487A16">
        <w:rPr>
          <w:u w:val="single"/>
        </w:rPr>
        <w:t>Certificate of Relief granted pursuant to G.S. 15A-173.2, if applicable;</w:t>
      </w:r>
    </w:p>
    <w:p w14:paraId="03AD2E0B" w14:textId="77777777" w:rsidR="00E91AE1" w:rsidRPr="00487A16" w:rsidRDefault="00E91AE1" w:rsidP="001D2CEB">
      <w:pPr>
        <w:pStyle w:val="SubParagraph"/>
        <w:tabs>
          <w:tab w:val="clear" w:pos="1800"/>
        </w:tabs>
      </w:pPr>
      <w:r w:rsidRPr="00487A16">
        <w:rPr>
          <w:u w:val="single"/>
        </w:rPr>
        <w:t>(13)</w:t>
      </w:r>
      <w:r w:rsidRPr="00487A16">
        <w:tab/>
      </w:r>
      <w:r w:rsidRPr="00487A16">
        <w:rPr>
          <w:u w:val="single"/>
        </w:rPr>
        <w:t>affidavits or other written documents, including character references, that the petitioner intends to submit for review;</w:t>
      </w:r>
    </w:p>
    <w:p w14:paraId="25CC122C" w14:textId="77777777" w:rsidR="00E91AE1" w:rsidRPr="00487A16" w:rsidRDefault="00E91AE1" w:rsidP="001D2CEB">
      <w:pPr>
        <w:pStyle w:val="SubParagraph"/>
        <w:tabs>
          <w:tab w:val="clear" w:pos="1800"/>
        </w:tabs>
      </w:pPr>
      <w:r w:rsidRPr="00487A16">
        <w:rPr>
          <w:u w:val="single"/>
        </w:rPr>
        <w:t>(14)</w:t>
      </w:r>
      <w:r w:rsidRPr="00487A16">
        <w:tab/>
      </w:r>
      <w:r w:rsidRPr="00487A16">
        <w:rPr>
          <w:u w:val="single"/>
        </w:rPr>
        <w:t>certification; and</w:t>
      </w:r>
    </w:p>
    <w:p w14:paraId="20E1E1FA" w14:textId="77777777" w:rsidR="00E91AE1" w:rsidRPr="00487A16" w:rsidRDefault="00E91AE1" w:rsidP="001D2CEB">
      <w:pPr>
        <w:pStyle w:val="SubParagraph"/>
        <w:tabs>
          <w:tab w:val="clear" w:pos="1800"/>
        </w:tabs>
      </w:pPr>
      <w:r w:rsidRPr="00487A16">
        <w:rPr>
          <w:u w:val="single"/>
        </w:rPr>
        <w:t>(15)</w:t>
      </w:r>
      <w:r w:rsidRPr="00487A16">
        <w:tab/>
      </w:r>
      <w:r w:rsidRPr="00487A16">
        <w:rPr>
          <w:u w:val="single"/>
        </w:rPr>
        <w:t>signature.</w:t>
      </w:r>
    </w:p>
    <w:p w14:paraId="14A6EBF2" w14:textId="77777777" w:rsidR="00E91AE1" w:rsidRPr="00487A16" w:rsidRDefault="00E91AE1" w:rsidP="001D2CEB">
      <w:pPr>
        <w:pStyle w:val="Paragraph"/>
      </w:pPr>
      <w:r w:rsidRPr="00487A16">
        <w:rPr>
          <w:u w:val="single"/>
        </w:rPr>
        <w:lastRenderedPageBreak/>
        <w:t>(c)  The fee for a petition for predetermination shall be forty-five dollars ($45.00).</w:t>
      </w:r>
    </w:p>
    <w:p w14:paraId="62B65843" w14:textId="77777777" w:rsidR="00E91AE1" w:rsidRPr="00487A16" w:rsidRDefault="00E91AE1" w:rsidP="001D2CEB">
      <w:pPr>
        <w:pStyle w:val="Base"/>
      </w:pPr>
    </w:p>
    <w:p w14:paraId="0864E8C5" w14:textId="4E07F5C5" w:rsidR="00E91AE1" w:rsidRPr="00487A16" w:rsidRDefault="00E91AE1" w:rsidP="00E91AE1">
      <w:pPr>
        <w:pStyle w:val="HistoryAuthority"/>
      </w:pPr>
      <w:r w:rsidRPr="00487A16">
        <w:t>Authority G.S. 93A-4; 93B-8.1</w:t>
      </w:r>
      <w:r>
        <w:t>.</w:t>
      </w:r>
    </w:p>
    <w:p w14:paraId="18281A91" w14:textId="77777777" w:rsidR="00E91AE1" w:rsidRPr="00487A16" w:rsidRDefault="00E91AE1" w:rsidP="001D2CEB">
      <w:pPr>
        <w:pStyle w:val="Base"/>
      </w:pPr>
    </w:p>
    <w:p w14:paraId="558FE83E" w14:textId="77777777" w:rsidR="00E91AE1" w:rsidRDefault="00E91AE1" w:rsidP="001D2CEB">
      <w:pPr>
        <w:pStyle w:val="Section"/>
      </w:pPr>
      <w:r>
        <w:t xml:space="preserve">SECTION .0500 </w:t>
      </w:r>
      <w:r>
        <w:noBreakHyphen/>
        <w:t xml:space="preserve"> LICENSING</w:t>
      </w:r>
    </w:p>
    <w:p w14:paraId="0CCD7BE0" w14:textId="77777777" w:rsidR="00E91AE1" w:rsidRPr="002924AE" w:rsidRDefault="00E91AE1" w:rsidP="001D2CEB">
      <w:pPr>
        <w:pStyle w:val="Base"/>
      </w:pPr>
    </w:p>
    <w:p w14:paraId="421602B0" w14:textId="77777777" w:rsidR="00E91AE1" w:rsidRPr="002924AE" w:rsidRDefault="00E91AE1" w:rsidP="001D2CEB">
      <w:pPr>
        <w:pStyle w:val="Rule"/>
      </w:pPr>
      <w:r w:rsidRPr="002924AE">
        <w:t>21 NCAC 58A .0506</w:t>
      </w:r>
      <w:r w:rsidRPr="002924AE">
        <w:tab/>
        <w:t>PROVISIONAL BROKER TO BE SUPERVISED BY BROKER-IN-CHARGE</w:t>
      </w:r>
    </w:p>
    <w:p w14:paraId="6171EA42" w14:textId="77777777" w:rsidR="00E91AE1" w:rsidRPr="002924AE" w:rsidRDefault="00E91AE1" w:rsidP="001D2CEB">
      <w:pPr>
        <w:pStyle w:val="Paragraph"/>
      </w:pPr>
      <w:r w:rsidRPr="002924AE">
        <w:t xml:space="preserve">(a)  A provisional broker may engage in or hold himself or herself out as engaging in activities requiring a real estate license only while his or her license is on active status pursuant to Rule .0504 of this Section and he or she is supervised by the broker-in-charge of the real estate firm or office with which the provisional broker is affiliated. A provisional broker shall be supervised by only one broker-in-charge at a </w:t>
      </w:r>
      <w:r w:rsidRPr="002924AE">
        <w:rPr>
          <w:strike/>
        </w:rPr>
        <w:t>time.</w:t>
      </w:r>
      <w:r w:rsidRPr="002924AE">
        <w:t xml:space="preserve"> </w:t>
      </w:r>
      <w:r w:rsidRPr="002924AE">
        <w:rPr>
          <w:u w:val="single"/>
        </w:rPr>
        <w:t>time except that a provisional broker may be supervised by no more than two brokers-in-charge of two licensed affiliated firms located in the same physical location and acting as co-listing or co-selling agents in real estate transactions. When a provisional broker is supervised by more than one broker-in-charge, both brokers-in-charge shall bear all supervision responsibility at all times.</w:t>
      </w:r>
    </w:p>
    <w:p w14:paraId="6A34DB63" w14:textId="77777777" w:rsidR="00E91AE1" w:rsidRPr="002924AE" w:rsidRDefault="00E91AE1" w:rsidP="001D2CEB">
      <w:pPr>
        <w:pStyle w:val="Paragraph"/>
      </w:pPr>
      <w:r w:rsidRPr="002924AE">
        <w:t>(b)  Upon a provisional broker's affiliation with a real estate broker or brokerage firm, the broker-in-charge of the office where the provisional broker will be engaged in the real estate business shall file with the Commission a License Activation and Broker Affiliation form that sets forth the:</w:t>
      </w:r>
    </w:p>
    <w:p w14:paraId="08D15702" w14:textId="77777777" w:rsidR="00E91AE1" w:rsidRPr="002924AE" w:rsidRDefault="00E91AE1" w:rsidP="001D2CEB">
      <w:pPr>
        <w:pStyle w:val="SubParagraph"/>
        <w:tabs>
          <w:tab w:val="clear" w:pos="1800"/>
        </w:tabs>
      </w:pPr>
      <w:r w:rsidRPr="002924AE">
        <w:t>(1)</w:t>
      </w:r>
      <w:r w:rsidRPr="002924AE">
        <w:tab/>
        <w:t>provisional broker's:</w:t>
      </w:r>
    </w:p>
    <w:p w14:paraId="6203ACBC" w14:textId="77777777" w:rsidR="00E91AE1" w:rsidRPr="002924AE" w:rsidRDefault="00E91AE1" w:rsidP="001D2CEB">
      <w:pPr>
        <w:pStyle w:val="Part"/>
        <w:tabs>
          <w:tab w:val="clear" w:pos="2520"/>
        </w:tabs>
      </w:pPr>
      <w:r w:rsidRPr="002924AE">
        <w:t>(A)</w:t>
      </w:r>
      <w:r w:rsidRPr="002924AE">
        <w:tab/>
        <w:t>name;</w:t>
      </w:r>
    </w:p>
    <w:p w14:paraId="42068D4D" w14:textId="77777777" w:rsidR="00E91AE1" w:rsidRPr="002924AE" w:rsidRDefault="00E91AE1" w:rsidP="001D2CEB">
      <w:pPr>
        <w:pStyle w:val="Part"/>
        <w:tabs>
          <w:tab w:val="clear" w:pos="2520"/>
        </w:tabs>
      </w:pPr>
      <w:r w:rsidRPr="002924AE">
        <w:t>(B)</w:t>
      </w:r>
      <w:r w:rsidRPr="002924AE">
        <w:tab/>
        <w:t>license number, type of license, and current license status;</w:t>
      </w:r>
    </w:p>
    <w:p w14:paraId="1067971F" w14:textId="77777777" w:rsidR="00E91AE1" w:rsidRPr="002924AE" w:rsidRDefault="00E91AE1" w:rsidP="001D2CEB">
      <w:pPr>
        <w:pStyle w:val="Part"/>
        <w:tabs>
          <w:tab w:val="clear" w:pos="2520"/>
        </w:tabs>
      </w:pPr>
      <w:r w:rsidRPr="002924AE">
        <w:t>(C)</w:t>
      </w:r>
      <w:r w:rsidRPr="002924AE">
        <w:tab/>
        <w:t>physical, mailing, and emailing addresses;</w:t>
      </w:r>
    </w:p>
    <w:p w14:paraId="711D330F" w14:textId="77777777" w:rsidR="00E91AE1" w:rsidRPr="002924AE" w:rsidRDefault="00E91AE1" w:rsidP="001D2CEB">
      <w:pPr>
        <w:pStyle w:val="Part"/>
        <w:tabs>
          <w:tab w:val="clear" w:pos="2520"/>
        </w:tabs>
      </w:pPr>
      <w:r w:rsidRPr="002924AE">
        <w:t>(D)</w:t>
      </w:r>
      <w:r w:rsidRPr="002924AE">
        <w:tab/>
        <w:t>public and private phone numbers;</w:t>
      </w:r>
    </w:p>
    <w:p w14:paraId="083CCC80" w14:textId="77777777" w:rsidR="00E91AE1" w:rsidRPr="002924AE" w:rsidRDefault="00E91AE1" w:rsidP="001D2CEB">
      <w:pPr>
        <w:pStyle w:val="Part"/>
        <w:tabs>
          <w:tab w:val="clear" w:pos="2520"/>
        </w:tabs>
      </w:pPr>
      <w:r w:rsidRPr="002924AE">
        <w:t>(E)</w:t>
      </w:r>
      <w:r w:rsidRPr="002924AE">
        <w:tab/>
        <w:t>completed Postlicensing courses, if necessary;</w:t>
      </w:r>
    </w:p>
    <w:p w14:paraId="1F7DFC54" w14:textId="77777777" w:rsidR="00E91AE1" w:rsidRPr="002924AE" w:rsidRDefault="00E91AE1" w:rsidP="001D2CEB">
      <w:pPr>
        <w:pStyle w:val="Part"/>
        <w:tabs>
          <w:tab w:val="clear" w:pos="2520"/>
        </w:tabs>
      </w:pPr>
      <w:r w:rsidRPr="002924AE">
        <w:t>(F)</w:t>
      </w:r>
      <w:r w:rsidRPr="002924AE">
        <w:tab/>
        <w:t>completed continuing education courses, if necessary; and</w:t>
      </w:r>
    </w:p>
    <w:p w14:paraId="3F45F456" w14:textId="77777777" w:rsidR="00E91AE1" w:rsidRPr="002924AE" w:rsidRDefault="00E91AE1" w:rsidP="001D2CEB">
      <w:pPr>
        <w:pStyle w:val="Part"/>
        <w:tabs>
          <w:tab w:val="clear" w:pos="2520"/>
        </w:tabs>
      </w:pPr>
      <w:r w:rsidRPr="002924AE">
        <w:t>(G)</w:t>
      </w:r>
      <w:r w:rsidRPr="002924AE">
        <w:tab/>
        <w:t>signature.</w:t>
      </w:r>
    </w:p>
    <w:p w14:paraId="79BB6E91" w14:textId="77777777" w:rsidR="00E91AE1" w:rsidRPr="002924AE" w:rsidRDefault="00E91AE1" w:rsidP="001D2CEB">
      <w:pPr>
        <w:pStyle w:val="SubParagraph"/>
        <w:tabs>
          <w:tab w:val="clear" w:pos="1800"/>
        </w:tabs>
      </w:pPr>
      <w:r w:rsidRPr="002924AE">
        <w:t>(2)</w:t>
      </w:r>
      <w:r w:rsidRPr="002924AE">
        <w:tab/>
        <w:t>broker-in-charge's:</w:t>
      </w:r>
    </w:p>
    <w:p w14:paraId="268D9D06" w14:textId="77777777" w:rsidR="00E91AE1" w:rsidRPr="002924AE" w:rsidRDefault="00E91AE1" w:rsidP="001D2CEB">
      <w:pPr>
        <w:pStyle w:val="Part"/>
        <w:tabs>
          <w:tab w:val="clear" w:pos="2520"/>
        </w:tabs>
      </w:pPr>
      <w:r w:rsidRPr="002924AE">
        <w:t>(A)</w:t>
      </w:r>
      <w:r w:rsidRPr="002924AE">
        <w:tab/>
        <w:t>name;</w:t>
      </w:r>
    </w:p>
    <w:p w14:paraId="21CDBBD5" w14:textId="77777777" w:rsidR="00E91AE1" w:rsidRPr="002924AE" w:rsidRDefault="00E91AE1" w:rsidP="001D2CEB">
      <w:pPr>
        <w:pStyle w:val="Part"/>
        <w:tabs>
          <w:tab w:val="clear" w:pos="2520"/>
        </w:tabs>
      </w:pPr>
      <w:r w:rsidRPr="002924AE">
        <w:t>(B)</w:t>
      </w:r>
      <w:r w:rsidRPr="002924AE">
        <w:tab/>
        <w:t>license number;</w:t>
      </w:r>
    </w:p>
    <w:p w14:paraId="6CABAD3F" w14:textId="77777777" w:rsidR="00E91AE1" w:rsidRPr="002924AE" w:rsidRDefault="00E91AE1" w:rsidP="001D2CEB">
      <w:pPr>
        <w:pStyle w:val="Part"/>
        <w:tabs>
          <w:tab w:val="clear" w:pos="2520"/>
        </w:tabs>
      </w:pPr>
      <w:r w:rsidRPr="002924AE">
        <w:t>(C)</w:t>
      </w:r>
      <w:r w:rsidRPr="002924AE">
        <w:tab/>
        <w:t>firm's name and license number;</w:t>
      </w:r>
    </w:p>
    <w:p w14:paraId="1122460C" w14:textId="77777777" w:rsidR="00E91AE1" w:rsidRPr="002924AE" w:rsidRDefault="00E91AE1" w:rsidP="001D2CEB">
      <w:pPr>
        <w:pStyle w:val="Part"/>
        <w:tabs>
          <w:tab w:val="clear" w:pos="2520"/>
        </w:tabs>
      </w:pPr>
      <w:r w:rsidRPr="002924AE">
        <w:t>(D)</w:t>
      </w:r>
      <w:r w:rsidRPr="002924AE">
        <w:tab/>
        <w:t>physical, mailing, and emailing addresses;</w:t>
      </w:r>
    </w:p>
    <w:p w14:paraId="6AE5ED15" w14:textId="77777777" w:rsidR="00E91AE1" w:rsidRPr="002924AE" w:rsidRDefault="00E91AE1" w:rsidP="001D2CEB">
      <w:pPr>
        <w:pStyle w:val="Part"/>
        <w:tabs>
          <w:tab w:val="clear" w:pos="2520"/>
        </w:tabs>
      </w:pPr>
      <w:r w:rsidRPr="002924AE">
        <w:t>(E)</w:t>
      </w:r>
      <w:r w:rsidRPr="002924AE">
        <w:tab/>
        <w:t>public and private phone numbers; and</w:t>
      </w:r>
    </w:p>
    <w:p w14:paraId="11C53DB6" w14:textId="77777777" w:rsidR="00E91AE1" w:rsidRPr="002924AE" w:rsidRDefault="00E91AE1" w:rsidP="001D2CEB">
      <w:pPr>
        <w:pStyle w:val="Part"/>
        <w:tabs>
          <w:tab w:val="clear" w:pos="2520"/>
        </w:tabs>
      </w:pPr>
      <w:r w:rsidRPr="002924AE">
        <w:t>(F)</w:t>
      </w:r>
      <w:r w:rsidRPr="002924AE">
        <w:tab/>
        <w:t>signature.</w:t>
      </w:r>
    </w:p>
    <w:p w14:paraId="56DD24FD" w14:textId="77777777" w:rsidR="00E91AE1" w:rsidRPr="002924AE" w:rsidRDefault="00E91AE1" w:rsidP="001D2CEB">
      <w:pPr>
        <w:pStyle w:val="Paragraph"/>
      </w:pPr>
      <w:r w:rsidRPr="002924AE">
        <w:t>(c)  Upon the submission of the License Activation and Broker Affiliation form, the provisional broker may engage in real estate brokerage activities requiring a license under the supervision of the broker-in-charge; however, if the provisional broker and broker-in-charge do not receive from the Commission a written acknowledgment of the provisional broker supervision notification and, if appropriate, the request for license activation, within 30 days of the date shown on the form, the provisional broker shall cease all real estate brokerage activities pending receipt of the written acknowledgment from the Commission.</w:t>
      </w:r>
    </w:p>
    <w:p w14:paraId="7CE0EEC0" w14:textId="77777777" w:rsidR="00E91AE1" w:rsidRPr="002924AE" w:rsidRDefault="00E91AE1" w:rsidP="001D2CEB">
      <w:pPr>
        <w:pStyle w:val="Paragraph"/>
      </w:pPr>
      <w:r w:rsidRPr="002924AE">
        <w:t xml:space="preserve">(d)  A broker-in-charge shall supervise the provisional broker in a manner that assures that the provisional broker performs all acts for which a real estate license is required in accordance with the Real Estate License Law and Commission rules. A supervising broker who fails to supervise a provisional broker as prescribed in this Rule may be subject to disciplinary action </w:t>
      </w:r>
      <w:r w:rsidRPr="002924AE">
        <w:rPr>
          <w:strike/>
        </w:rPr>
        <w:t>by the</w:t>
      </w:r>
      <w:r w:rsidRPr="002924AE">
        <w:t xml:space="preserve"> pursuant to Rule .0110 of this Subchapter.</w:t>
      </w:r>
    </w:p>
    <w:p w14:paraId="5C342AB8" w14:textId="77777777" w:rsidR="00E91AE1" w:rsidRPr="002924AE" w:rsidRDefault="00E91AE1" w:rsidP="001D2CEB">
      <w:pPr>
        <w:pStyle w:val="Paragraph"/>
      </w:pPr>
      <w:r w:rsidRPr="002924AE">
        <w:t>(e)  Upon the termination of the supervisory relationship between a provisional broker and his or her broker-in-charge, the provisional broker and the broker-in-charge shall provide written notification of the date of termination to the Commission not later than 10 days following the termination.</w:t>
      </w:r>
    </w:p>
    <w:p w14:paraId="5857AF22" w14:textId="77777777" w:rsidR="00E91AE1" w:rsidRPr="002924AE" w:rsidRDefault="00E91AE1" w:rsidP="001D2CEB">
      <w:pPr>
        <w:pStyle w:val="Base"/>
      </w:pPr>
    </w:p>
    <w:p w14:paraId="36E68079" w14:textId="60FB41CE" w:rsidR="00E91AE1" w:rsidRPr="002924AE" w:rsidRDefault="00E91AE1" w:rsidP="00E91AE1">
      <w:pPr>
        <w:pStyle w:val="HistoryAuthority"/>
      </w:pPr>
      <w:r w:rsidRPr="002924AE">
        <w:t>Authority G.S. 93A-2(b); 93A-3; 93A-9</w:t>
      </w:r>
      <w:r>
        <w:t>.</w:t>
      </w:r>
    </w:p>
    <w:p w14:paraId="48E7904D" w14:textId="77777777" w:rsidR="00E91AE1" w:rsidRPr="005E4FB1" w:rsidRDefault="00E91AE1" w:rsidP="001D2CEB">
      <w:pPr>
        <w:pStyle w:val="Base"/>
      </w:pPr>
    </w:p>
    <w:p w14:paraId="37B857D7" w14:textId="77777777" w:rsidR="00E91AE1" w:rsidRDefault="00E91AE1" w:rsidP="00D52FD0">
      <w:pPr>
        <w:pStyle w:val="Base"/>
      </w:pP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2D3D00E" w14:textId="77777777" w:rsidR="00D52FD0" w:rsidRDefault="00D52FD0" w:rsidP="00D52FD0">
      <w:pPr>
        <w:rPr>
          <w:i/>
          <w:iCs/>
          <w:kern w:val="0"/>
        </w:rPr>
        <w:sectPr w:rsidR="00D52FD0">
          <w:headerReference w:type="default" r:id="rId20"/>
          <w:footerReference w:type="default" r:id="rId21"/>
          <w:endnotePr>
            <w:numFmt w:val="decimal"/>
          </w:endnotePr>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A2D378C" w14:textId="77777777"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14:paraId="12E15958" w14:textId="77777777"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14:paraId="63B8D7A4" w14:textId="77777777" w:rsidR="00D52FD0" w:rsidRDefault="00D52FD0" w:rsidP="00D52FD0">
      <w:pPr>
        <w:rPr>
          <w:kern w:val="0"/>
        </w:rPr>
        <w:sectPr w:rsidR="00D52FD0">
          <w:headerReference w:type="default" r:id="rId22"/>
          <w:footerReference w:type="default" r:id="rId23"/>
          <w:endnotePr>
            <w:numFmt w:val="decimal"/>
          </w:endnotePr>
          <w:pgSz w:w="12240" w:h="15840"/>
          <w:pgMar w:top="360" w:right="720" w:bottom="360" w:left="720" w:header="360" w:footer="360" w:gutter="0"/>
          <w:cols w:space="720"/>
        </w:sectPr>
      </w:pPr>
    </w:p>
    <w:p w14:paraId="556EC0D3" w14:textId="77777777" w:rsidR="006A0BDB" w:rsidRPr="00D85BB7" w:rsidRDefault="006A0BDB" w:rsidP="001D2CEB">
      <w:pPr>
        <w:rPr>
          <w:i/>
        </w:rPr>
      </w:pPr>
      <w:r w:rsidRPr="00D85BB7">
        <w:rPr>
          <w:i/>
        </w:rPr>
        <w:t xml:space="preserve">Rules approved by the Rules Review Commission at its meeting on </w:t>
      </w:r>
      <w:r>
        <w:rPr>
          <w:i/>
        </w:rPr>
        <w:t>December 19, 2019 Meeting.</w:t>
      </w:r>
    </w:p>
    <w:p w14:paraId="14E845FB" w14:textId="77777777" w:rsidR="006A0BDB" w:rsidRPr="004807E7" w:rsidRDefault="006A0BDB" w:rsidP="001D2CEB"/>
    <w:p w14:paraId="2DD1742B" w14:textId="77777777" w:rsidR="006A0BDB" w:rsidRPr="00D85BB7" w:rsidRDefault="006A0BDB" w:rsidP="001D2CEB">
      <w:pPr>
        <w:tabs>
          <w:tab w:val="center" w:pos="9180"/>
        </w:tabs>
        <w:rPr>
          <w:b/>
        </w:rPr>
      </w:pPr>
      <w:r>
        <w:rPr>
          <w:b/>
        </w:rPr>
        <w:tab/>
      </w:r>
      <w:r w:rsidRPr="00D85BB7">
        <w:rPr>
          <w:b/>
        </w:rPr>
        <w:t>REGISTER CITATION TO THE</w:t>
      </w:r>
    </w:p>
    <w:p w14:paraId="5762621F" w14:textId="77777777" w:rsidR="006A0BDB" w:rsidRPr="00D85BB7" w:rsidRDefault="006A0BDB" w:rsidP="001D2CEB">
      <w:pPr>
        <w:tabs>
          <w:tab w:val="center" w:pos="9180"/>
        </w:tabs>
        <w:rPr>
          <w:b/>
        </w:rPr>
      </w:pPr>
      <w:r>
        <w:rPr>
          <w:b/>
        </w:rPr>
        <w:tab/>
      </w:r>
      <w:r w:rsidRPr="00D85BB7">
        <w:rPr>
          <w:b/>
        </w:rPr>
        <w:t>NOTICE OF TEXT</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1842"/>
      </w:tblGrid>
      <w:tr w:rsidR="006A0BDB" w:rsidRPr="00C75581" w14:paraId="687C8DFB" w14:textId="77777777" w:rsidTr="001D2CEB">
        <w:trPr>
          <w:tblCellSpacing w:w="14" w:type="dxa"/>
        </w:trPr>
        <w:tc>
          <w:tcPr>
            <w:tcW w:w="10924" w:type="dxa"/>
            <w:gridSpan w:val="6"/>
          </w:tcPr>
          <w:p w14:paraId="745B2A8E"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Medical Care Commission</w:t>
            </w:r>
          </w:p>
        </w:tc>
      </w:tr>
      <w:tr w:rsidR="006A0BDB" w:rsidRPr="00C75581" w14:paraId="002F64D4" w14:textId="77777777" w:rsidTr="001D2CEB">
        <w:trPr>
          <w:tblCellSpacing w:w="14" w:type="dxa"/>
        </w:trPr>
        <w:tc>
          <w:tcPr>
            <w:tcW w:w="5904" w:type="dxa"/>
          </w:tcPr>
          <w:p w14:paraId="0D5FD4E4" w14:textId="77777777" w:rsidR="006A0BDB" w:rsidRPr="00C75581" w:rsidRDefault="006A0BDB" w:rsidP="001D2CEB">
            <w:pPr>
              <w:rPr>
                <w:rFonts w:ascii="Arial" w:hAnsi="Arial" w:cs="Arial"/>
                <w:kern w:val="0"/>
              </w:rPr>
            </w:pPr>
            <w:r w:rsidRPr="00C75581">
              <w:rPr>
                <w:rFonts w:ascii="Arial" w:hAnsi="Arial" w:cs="Arial"/>
                <w:kern w:val="0"/>
                <w:u w:val="single"/>
              </w:rPr>
              <w:t>Definitions</w:t>
            </w:r>
          </w:p>
        </w:tc>
        <w:tc>
          <w:tcPr>
            <w:tcW w:w="849" w:type="dxa"/>
          </w:tcPr>
          <w:p w14:paraId="3076E839"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CB7B1CA"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E2C7F7B"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C235724" w14:textId="77777777" w:rsidR="006A0BDB" w:rsidRPr="00C75581" w:rsidRDefault="006A0BDB" w:rsidP="001D2CEB">
            <w:pPr>
              <w:rPr>
                <w:rFonts w:ascii="Arial" w:hAnsi="Arial" w:cs="Arial"/>
                <w:kern w:val="0"/>
              </w:rPr>
            </w:pPr>
            <w:r w:rsidRPr="00C75581">
              <w:rPr>
                <w:rFonts w:ascii="Arial" w:hAnsi="Arial" w:cs="Arial"/>
                <w:kern w:val="0"/>
              </w:rPr>
              <w:t>.1401</w:t>
            </w:r>
          </w:p>
        </w:tc>
        <w:tc>
          <w:tcPr>
            <w:tcW w:w="1800" w:type="dxa"/>
          </w:tcPr>
          <w:p w14:paraId="52D2E887"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2B9BAAA5" w14:textId="77777777" w:rsidTr="001D2CEB">
        <w:trPr>
          <w:tblCellSpacing w:w="14" w:type="dxa"/>
        </w:trPr>
        <w:tc>
          <w:tcPr>
            <w:tcW w:w="5904" w:type="dxa"/>
          </w:tcPr>
          <w:p w14:paraId="353BCE11" w14:textId="77777777" w:rsidR="006A0BDB" w:rsidRPr="00C75581" w:rsidRDefault="006A0BDB" w:rsidP="001D2CEB">
            <w:pPr>
              <w:rPr>
                <w:rFonts w:ascii="Arial" w:hAnsi="Arial" w:cs="Arial"/>
                <w:kern w:val="0"/>
              </w:rPr>
            </w:pPr>
            <w:r w:rsidRPr="00C75581">
              <w:rPr>
                <w:rFonts w:ascii="Arial" w:hAnsi="Arial" w:cs="Arial"/>
                <w:kern w:val="0"/>
                <w:u w:val="single"/>
              </w:rPr>
              <w:t>List of Referenced Guidelines, Codes, Standards, and Regu...</w:t>
            </w:r>
          </w:p>
        </w:tc>
        <w:tc>
          <w:tcPr>
            <w:tcW w:w="849" w:type="dxa"/>
          </w:tcPr>
          <w:p w14:paraId="525D2CBB"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B89DFE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35F257D"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042E0953" w14:textId="77777777" w:rsidR="006A0BDB" w:rsidRPr="00C75581" w:rsidRDefault="006A0BDB" w:rsidP="001D2CEB">
            <w:pPr>
              <w:rPr>
                <w:rFonts w:ascii="Arial" w:hAnsi="Arial" w:cs="Arial"/>
                <w:kern w:val="0"/>
              </w:rPr>
            </w:pPr>
            <w:r w:rsidRPr="00C75581">
              <w:rPr>
                <w:rFonts w:ascii="Arial" w:hAnsi="Arial" w:cs="Arial"/>
                <w:kern w:val="0"/>
              </w:rPr>
              <w:t>.1402</w:t>
            </w:r>
          </w:p>
        </w:tc>
        <w:tc>
          <w:tcPr>
            <w:tcW w:w="1800" w:type="dxa"/>
          </w:tcPr>
          <w:p w14:paraId="7528719E"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756D8198" w14:textId="77777777" w:rsidTr="001D2CEB">
        <w:trPr>
          <w:tblCellSpacing w:w="14" w:type="dxa"/>
        </w:trPr>
        <w:tc>
          <w:tcPr>
            <w:tcW w:w="5904" w:type="dxa"/>
          </w:tcPr>
          <w:p w14:paraId="0DEE3351" w14:textId="77777777" w:rsidR="006A0BDB" w:rsidRPr="00C75581" w:rsidRDefault="006A0BDB" w:rsidP="001D2CEB">
            <w:pPr>
              <w:rPr>
                <w:rFonts w:ascii="Arial" w:hAnsi="Arial" w:cs="Arial"/>
                <w:kern w:val="0"/>
              </w:rPr>
            </w:pPr>
            <w:r w:rsidRPr="00C75581">
              <w:rPr>
                <w:rFonts w:ascii="Arial" w:hAnsi="Arial" w:cs="Arial"/>
                <w:kern w:val="0"/>
                <w:u w:val="single"/>
              </w:rPr>
              <w:t>General and Emergency</w:t>
            </w:r>
          </w:p>
        </w:tc>
        <w:tc>
          <w:tcPr>
            <w:tcW w:w="849" w:type="dxa"/>
          </w:tcPr>
          <w:p w14:paraId="063366D2"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7CFC493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5910B3B"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868D13D" w14:textId="77777777" w:rsidR="006A0BDB" w:rsidRPr="00C75581" w:rsidRDefault="006A0BDB" w:rsidP="001D2CEB">
            <w:pPr>
              <w:rPr>
                <w:rFonts w:ascii="Arial" w:hAnsi="Arial" w:cs="Arial"/>
                <w:kern w:val="0"/>
              </w:rPr>
            </w:pPr>
            <w:r w:rsidRPr="00C75581">
              <w:rPr>
                <w:rFonts w:ascii="Arial" w:hAnsi="Arial" w:cs="Arial"/>
                <w:kern w:val="0"/>
              </w:rPr>
              <w:t>.1403</w:t>
            </w:r>
            <w:r>
              <w:rPr>
                <w:rFonts w:ascii="Arial" w:hAnsi="Arial" w:cs="Arial"/>
                <w:kern w:val="0"/>
              </w:rPr>
              <w:t>*</w:t>
            </w:r>
          </w:p>
        </w:tc>
        <w:tc>
          <w:tcPr>
            <w:tcW w:w="1800" w:type="dxa"/>
          </w:tcPr>
          <w:p w14:paraId="48300646"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61F8507B" w14:textId="77777777" w:rsidTr="001D2CEB">
        <w:trPr>
          <w:tblCellSpacing w:w="14" w:type="dxa"/>
        </w:trPr>
        <w:tc>
          <w:tcPr>
            <w:tcW w:w="5904" w:type="dxa"/>
          </w:tcPr>
          <w:p w14:paraId="0511A014" w14:textId="77777777" w:rsidR="006A0BDB" w:rsidRPr="00C75581" w:rsidRDefault="006A0BDB" w:rsidP="001D2CEB">
            <w:pPr>
              <w:rPr>
                <w:rFonts w:ascii="Arial" w:hAnsi="Arial" w:cs="Arial"/>
                <w:kern w:val="0"/>
              </w:rPr>
            </w:pPr>
            <w:r w:rsidRPr="00C75581">
              <w:rPr>
                <w:rFonts w:ascii="Arial" w:hAnsi="Arial" w:cs="Arial"/>
                <w:kern w:val="0"/>
                <w:u w:val="single"/>
              </w:rPr>
              <w:t>Equivalency and Conflicts with Requirements</w:t>
            </w:r>
          </w:p>
        </w:tc>
        <w:tc>
          <w:tcPr>
            <w:tcW w:w="849" w:type="dxa"/>
          </w:tcPr>
          <w:p w14:paraId="1036DC7C"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3B543E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BFA0FD6"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433E83AC" w14:textId="77777777" w:rsidR="006A0BDB" w:rsidRPr="00C75581" w:rsidRDefault="006A0BDB" w:rsidP="001D2CEB">
            <w:pPr>
              <w:rPr>
                <w:rFonts w:ascii="Arial" w:hAnsi="Arial" w:cs="Arial"/>
                <w:kern w:val="0"/>
              </w:rPr>
            </w:pPr>
            <w:r w:rsidRPr="00C75581">
              <w:rPr>
                <w:rFonts w:ascii="Arial" w:hAnsi="Arial" w:cs="Arial"/>
                <w:kern w:val="0"/>
              </w:rPr>
              <w:t>.1404</w:t>
            </w:r>
          </w:p>
        </w:tc>
        <w:tc>
          <w:tcPr>
            <w:tcW w:w="1800" w:type="dxa"/>
          </w:tcPr>
          <w:p w14:paraId="504E2BEF"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3F9C265B" w14:textId="77777777" w:rsidTr="001D2CEB">
        <w:trPr>
          <w:tblCellSpacing w:w="14" w:type="dxa"/>
        </w:trPr>
        <w:tc>
          <w:tcPr>
            <w:tcW w:w="5904" w:type="dxa"/>
          </w:tcPr>
          <w:p w14:paraId="0E3464AA" w14:textId="77777777" w:rsidR="006A0BDB" w:rsidRPr="00C75581" w:rsidRDefault="006A0BDB" w:rsidP="001D2CEB">
            <w:pPr>
              <w:rPr>
                <w:rFonts w:ascii="Arial" w:hAnsi="Arial" w:cs="Arial"/>
                <w:kern w:val="0"/>
              </w:rPr>
            </w:pPr>
            <w:r w:rsidRPr="00C75581">
              <w:rPr>
                <w:rFonts w:ascii="Arial" w:hAnsi="Arial" w:cs="Arial"/>
                <w:kern w:val="0"/>
                <w:u w:val="single"/>
              </w:rPr>
              <w:t>Mechanical Requirements</w:t>
            </w:r>
          </w:p>
        </w:tc>
        <w:tc>
          <w:tcPr>
            <w:tcW w:w="849" w:type="dxa"/>
          </w:tcPr>
          <w:p w14:paraId="0B068967"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14D1FE6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7186710"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E36C7DF" w14:textId="77777777" w:rsidR="006A0BDB" w:rsidRPr="00C75581" w:rsidRDefault="006A0BDB" w:rsidP="001D2CEB">
            <w:pPr>
              <w:rPr>
                <w:rFonts w:ascii="Arial" w:hAnsi="Arial" w:cs="Arial"/>
                <w:kern w:val="0"/>
              </w:rPr>
            </w:pPr>
            <w:r w:rsidRPr="00C75581">
              <w:rPr>
                <w:rFonts w:ascii="Arial" w:hAnsi="Arial" w:cs="Arial"/>
                <w:kern w:val="0"/>
              </w:rPr>
              <w:t>.1405</w:t>
            </w:r>
          </w:p>
        </w:tc>
        <w:tc>
          <w:tcPr>
            <w:tcW w:w="1800" w:type="dxa"/>
          </w:tcPr>
          <w:p w14:paraId="769EA7E6"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44CA61FC" w14:textId="77777777" w:rsidTr="001D2CEB">
        <w:trPr>
          <w:tblCellSpacing w:w="14" w:type="dxa"/>
        </w:trPr>
        <w:tc>
          <w:tcPr>
            <w:tcW w:w="5904" w:type="dxa"/>
          </w:tcPr>
          <w:p w14:paraId="64783804" w14:textId="77777777" w:rsidR="006A0BDB" w:rsidRPr="00C75581" w:rsidRDefault="006A0BDB" w:rsidP="001D2CEB">
            <w:pPr>
              <w:rPr>
                <w:rFonts w:ascii="Arial" w:hAnsi="Arial" w:cs="Arial"/>
                <w:kern w:val="0"/>
              </w:rPr>
            </w:pPr>
            <w:r w:rsidRPr="00C75581">
              <w:rPr>
                <w:rFonts w:ascii="Arial" w:hAnsi="Arial" w:cs="Arial"/>
                <w:kern w:val="0"/>
                <w:u w:val="single"/>
              </w:rPr>
              <w:t>Plumbing and Other Piping Systems</w:t>
            </w:r>
          </w:p>
        </w:tc>
        <w:tc>
          <w:tcPr>
            <w:tcW w:w="849" w:type="dxa"/>
          </w:tcPr>
          <w:p w14:paraId="7309CBD0"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9DCED0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B7D6F13"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661ADD5A" w14:textId="77777777" w:rsidR="006A0BDB" w:rsidRPr="00C75581" w:rsidRDefault="006A0BDB" w:rsidP="001D2CEB">
            <w:pPr>
              <w:rPr>
                <w:rFonts w:ascii="Arial" w:hAnsi="Arial" w:cs="Arial"/>
                <w:kern w:val="0"/>
              </w:rPr>
            </w:pPr>
            <w:r w:rsidRPr="00C75581">
              <w:rPr>
                <w:rFonts w:ascii="Arial" w:hAnsi="Arial" w:cs="Arial"/>
                <w:kern w:val="0"/>
              </w:rPr>
              <w:t>.1406</w:t>
            </w:r>
          </w:p>
        </w:tc>
        <w:tc>
          <w:tcPr>
            <w:tcW w:w="1800" w:type="dxa"/>
          </w:tcPr>
          <w:p w14:paraId="2FAAC167"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4D2841FC" w14:textId="77777777" w:rsidTr="001D2CEB">
        <w:trPr>
          <w:tblCellSpacing w:w="14" w:type="dxa"/>
        </w:trPr>
        <w:tc>
          <w:tcPr>
            <w:tcW w:w="5904" w:type="dxa"/>
          </w:tcPr>
          <w:p w14:paraId="231DEB06" w14:textId="77777777" w:rsidR="006A0BDB" w:rsidRPr="00C75581" w:rsidRDefault="006A0BDB" w:rsidP="001D2CEB">
            <w:pPr>
              <w:rPr>
                <w:rFonts w:ascii="Arial" w:hAnsi="Arial" w:cs="Arial"/>
                <w:kern w:val="0"/>
              </w:rPr>
            </w:pPr>
            <w:r w:rsidRPr="00C75581">
              <w:rPr>
                <w:rFonts w:ascii="Arial" w:hAnsi="Arial" w:cs="Arial"/>
                <w:kern w:val="0"/>
                <w:u w:val="single"/>
              </w:rPr>
              <w:t>Electrical Requirements</w:t>
            </w:r>
          </w:p>
        </w:tc>
        <w:tc>
          <w:tcPr>
            <w:tcW w:w="849" w:type="dxa"/>
          </w:tcPr>
          <w:p w14:paraId="4DCDFCED"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726CEF5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826648C"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3EC3297" w14:textId="77777777" w:rsidR="006A0BDB" w:rsidRPr="00C75581" w:rsidRDefault="006A0BDB" w:rsidP="001D2CEB">
            <w:pPr>
              <w:rPr>
                <w:rFonts w:ascii="Arial" w:hAnsi="Arial" w:cs="Arial"/>
                <w:kern w:val="0"/>
              </w:rPr>
            </w:pPr>
            <w:r w:rsidRPr="00C75581">
              <w:rPr>
                <w:rFonts w:ascii="Arial" w:hAnsi="Arial" w:cs="Arial"/>
                <w:kern w:val="0"/>
              </w:rPr>
              <w:t>.1407</w:t>
            </w:r>
          </w:p>
        </w:tc>
        <w:tc>
          <w:tcPr>
            <w:tcW w:w="1800" w:type="dxa"/>
          </w:tcPr>
          <w:p w14:paraId="275D9BA1"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6D283497" w14:textId="77777777" w:rsidTr="001D2CEB">
        <w:trPr>
          <w:tblCellSpacing w:w="14" w:type="dxa"/>
        </w:trPr>
        <w:tc>
          <w:tcPr>
            <w:tcW w:w="5904" w:type="dxa"/>
          </w:tcPr>
          <w:p w14:paraId="1C7839DD" w14:textId="77777777" w:rsidR="006A0BDB" w:rsidRPr="00C75581" w:rsidRDefault="006A0BDB" w:rsidP="001D2CEB">
            <w:pPr>
              <w:rPr>
                <w:rFonts w:ascii="Arial" w:hAnsi="Arial" w:cs="Arial"/>
                <w:kern w:val="0"/>
              </w:rPr>
            </w:pPr>
            <w:r w:rsidRPr="00C75581">
              <w:rPr>
                <w:rFonts w:ascii="Arial" w:hAnsi="Arial" w:cs="Arial"/>
                <w:kern w:val="0"/>
                <w:u w:val="single"/>
              </w:rPr>
              <w:t>General</w:t>
            </w:r>
          </w:p>
        </w:tc>
        <w:tc>
          <w:tcPr>
            <w:tcW w:w="849" w:type="dxa"/>
          </w:tcPr>
          <w:p w14:paraId="4B509A8B"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6E45965E"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EA6861C"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573EB03" w14:textId="77777777" w:rsidR="006A0BDB" w:rsidRPr="00C75581" w:rsidRDefault="006A0BDB" w:rsidP="001D2CEB">
            <w:pPr>
              <w:rPr>
                <w:rFonts w:ascii="Arial" w:hAnsi="Arial" w:cs="Arial"/>
                <w:kern w:val="0"/>
              </w:rPr>
            </w:pPr>
            <w:r w:rsidRPr="00C75581">
              <w:rPr>
                <w:rFonts w:ascii="Arial" w:hAnsi="Arial" w:cs="Arial"/>
                <w:kern w:val="0"/>
              </w:rPr>
              <w:t>.1408</w:t>
            </w:r>
          </w:p>
        </w:tc>
        <w:tc>
          <w:tcPr>
            <w:tcW w:w="1800" w:type="dxa"/>
          </w:tcPr>
          <w:p w14:paraId="5B0BC242"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4C53182B" w14:textId="77777777" w:rsidTr="001D2CEB">
        <w:trPr>
          <w:tblCellSpacing w:w="14" w:type="dxa"/>
        </w:trPr>
        <w:tc>
          <w:tcPr>
            <w:tcW w:w="5904" w:type="dxa"/>
          </w:tcPr>
          <w:p w14:paraId="3A768429" w14:textId="77777777" w:rsidR="006A0BDB" w:rsidRPr="00C75581" w:rsidRDefault="006A0BDB" w:rsidP="001D2CEB">
            <w:pPr>
              <w:rPr>
                <w:rFonts w:ascii="Arial" w:hAnsi="Arial" w:cs="Arial"/>
                <w:kern w:val="0"/>
              </w:rPr>
            </w:pPr>
            <w:r w:rsidRPr="00C75581">
              <w:rPr>
                <w:rFonts w:ascii="Arial" w:hAnsi="Arial" w:cs="Arial"/>
                <w:kern w:val="0"/>
                <w:u w:val="single"/>
              </w:rPr>
              <w:t>List of Referenced Codes and Standards</w:t>
            </w:r>
          </w:p>
        </w:tc>
        <w:tc>
          <w:tcPr>
            <w:tcW w:w="849" w:type="dxa"/>
          </w:tcPr>
          <w:p w14:paraId="6FB8E3BF"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30601D6"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8813480"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4FC7F076" w14:textId="77777777" w:rsidR="006A0BDB" w:rsidRPr="00C75581" w:rsidRDefault="006A0BDB" w:rsidP="001D2CEB">
            <w:pPr>
              <w:rPr>
                <w:rFonts w:ascii="Arial" w:hAnsi="Arial" w:cs="Arial"/>
                <w:kern w:val="0"/>
              </w:rPr>
            </w:pPr>
            <w:r w:rsidRPr="00C75581">
              <w:rPr>
                <w:rFonts w:ascii="Arial" w:hAnsi="Arial" w:cs="Arial"/>
                <w:kern w:val="0"/>
              </w:rPr>
              <w:t>.1409</w:t>
            </w:r>
          </w:p>
        </w:tc>
        <w:tc>
          <w:tcPr>
            <w:tcW w:w="1800" w:type="dxa"/>
          </w:tcPr>
          <w:p w14:paraId="4460B02A"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5692A181" w14:textId="77777777" w:rsidTr="001D2CEB">
        <w:trPr>
          <w:tblCellSpacing w:w="14" w:type="dxa"/>
        </w:trPr>
        <w:tc>
          <w:tcPr>
            <w:tcW w:w="5904" w:type="dxa"/>
          </w:tcPr>
          <w:p w14:paraId="2AD30C74" w14:textId="77777777" w:rsidR="006A0BDB" w:rsidRPr="00C75581" w:rsidRDefault="006A0BDB" w:rsidP="001D2CEB">
            <w:pPr>
              <w:rPr>
                <w:rFonts w:ascii="Arial" w:hAnsi="Arial" w:cs="Arial"/>
                <w:kern w:val="0"/>
              </w:rPr>
            </w:pPr>
            <w:r w:rsidRPr="00C75581">
              <w:rPr>
                <w:rFonts w:ascii="Arial" w:hAnsi="Arial" w:cs="Arial"/>
                <w:kern w:val="0"/>
                <w:u w:val="single"/>
              </w:rPr>
              <w:t>Application of Physical Plant Requirements</w:t>
            </w:r>
          </w:p>
        </w:tc>
        <w:tc>
          <w:tcPr>
            <w:tcW w:w="849" w:type="dxa"/>
          </w:tcPr>
          <w:p w14:paraId="7D918804"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31C0567"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508154F" w14:textId="77777777" w:rsidR="006A0BDB" w:rsidRPr="00C75581" w:rsidRDefault="006A0BDB" w:rsidP="001D2CEB">
            <w:pPr>
              <w:rPr>
                <w:rFonts w:ascii="Arial" w:hAnsi="Arial" w:cs="Arial"/>
                <w:kern w:val="0"/>
              </w:rPr>
            </w:pPr>
            <w:r w:rsidRPr="00C75581">
              <w:rPr>
                <w:rFonts w:ascii="Arial" w:hAnsi="Arial" w:cs="Arial"/>
                <w:kern w:val="0"/>
              </w:rPr>
              <w:t>13C</w:t>
            </w:r>
          </w:p>
        </w:tc>
        <w:tc>
          <w:tcPr>
            <w:tcW w:w="1152" w:type="dxa"/>
          </w:tcPr>
          <w:p w14:paraId="5226702F" w14:textId="77777777" w:rsidR="006A0BDB" w:rsidRPr="00C75581" w:rsidRDefault="006A0BDB" w:rsidP="001D2CEB">
            <w:pPr>
              <w:rPr>
                <w:rFonts w:ascii="Arial" w:hAnsi="Arial" w:cs="Arial"/>
                <w:kern w:val="0"/>
              </w:rPr>
            </w:pPr>
            <w:r w:rsidRPr="00C75581">
              <w:rPr>
                <w:rFonts w:ascii="Arial" w:hAnsi="Arial" w:cs="Arial"/>
                <w:kern w:val="0"/>
              </w:rPr>
              <w:t>.1410</w:t>
            </w:r>
          </w:p>
        </w:tc>
        <w:tc>
          <w:tcPr>
            <w:tcW w:w="1800" w:type="dxa"/>
          </w:tcPr>
          <w:p w14:paraId="27AA97EA"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37D5C381" w14:textId="77777777" w:rsidTr="001D2CEB">
        <w:trPr>
          <w:tblCellSpacing w:w="14" w:type="dxa"/>
        </w:trPr>
        <w:tc>
          <w:tcPr>
            <w:tcW w:w="5904" w:type="dxa"/>
          </w:tcPr>
          <w:p w14:paraId="524AC63A" w14:textId="77777777" w:rsidR="006A0BDB" w:rsidRPr="00C75581" w:rsidRDefault="006A0BDB" w:rsidP="001D2CEB">
            <w:pPr>
              <w:rPr>
                <w:rFonts w:ascii="Arial" w:hAnsi="Arial" w:cs="Arial"/>
                <w:kern w:val="0"/>
              </w:rPr>
            </w:pPr>
            <w:r w:rsidRPr="00C75581">
              <w:rPr>
                <w:rFonts w:ascii="Arial" w:hAnsi="Arial" w:cs="Arial"/>
                <w:kern w:val="0"/>
                <w:u w:val="single"/>
              </w:rPr>
              <w:t>Persons not Eligible for New Adult Care Home Licenses</w:t>
            </w:r>
          </w:p>
        </w:tc>
        <w:tc>
          <w:tcPr>
            <w:tcW w:w="849" w:type="dxa"/>
          </w:tcPr>
          <w:p w14:paraId="19A37C49"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FE3AE7F"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4CAA1DE5" w14:textId="77777777" w:rsidR="006A0BDB" w:rsidRPr="00C75581" w:rsidRDefault="006A0BDB" w:rsidP="001D2CEB">
            <w:pPr>
              <w:rPr>
                <w:rFonts w:ascii="Arial" w:hAnsi="Arial" w:cs="Arial"/>
                <w:kern w:val="0"/>
              </w:rPr>
            </w:pPr>
            <w:r w:rsidRPr="00C75581">
              <w:rPr>
                <w:rFonts w:ascii="Arial" w:hAnsi="Arial" w:cs="Arial"/>
                <w:kern w:val="0"/>
              </w:rPr>
              <w:t>13F</w:t>
            </w:r>
          </w:p>
        </w:tc>
        <w:tc>
          <w:tcPr>
            <w:tcW w:w="1152" w:type="dxa"/>
          </w:tcPr>
          <w:p w14:paraId="3549B947" w14:textId="77777777" w:rsidR="006A0BDB" w:rsidRPr="00C75581" w:rsidRDefault="006A0BDB" w:rsidP="001D2CEB">
            <w:pPr>
              <w:rPr>
                <w:rFonts w:ascii="Arial" w:hAnsi="Arial" w:cs="Arial"/>
                <w:kern w:val="0"/>
              </w:rPr>
            </w:pPr>
            <w:r w:rsidRPr="00C75581">
              <w:rPr>
                <w:rFonts w:ascii="Arial" w:hAnsi="Arial" w:cs="Arial"/>
                <w:kern w:val="0"/>
              </w:rPr>
              <w:t>.0203</w:t>
            </w:r>
          </w:p>
        </w:tc>
        <w:tc>
          <w:tcPr>
            <w:tcW w:w="1800" w:type="dxa"/>
          </w:tcPr>
          <w:p w14:paraId="68559F86"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4E71E5DC" w14:textId="77777777" w:rsidTr="001D2CEB">
        <w:trPr>
          <w:tblCellSpacing w:w="14" w:type="dxa"/>
        </w:trPr>
        <w:tc>
          <w:tcPr>
            <w:tcW w:w="5904" w:type="dxa"/>
          </w:tcPr>
          <w:p w14:paraId="1EB9EDF4" w14:textId="77777777" w:rsidR="006A0BDB" w:rsidRPr="00C75581" w:rsidRDefault="006A0BDB" w:rsidP="001D2CEB">
            <w:pPr>
              <w:rPr>
                <w:rFonts w:ascii="Arial" w:hAnsi="Arial" w:cs="Arial"/>
                <w:kern w:val="0"/>
              </w:rPr>
            </w:pPr>
            <w:r w:rsidRPr="00C75581">
              <w:rPr>
                <w:rFonts w:ascii="Arial" w:hAnsi="Arial" w:cs="Arial"/>
                <w:kern w:val="0"/>
                <w:u w:val="single"/>
              </w:rPr>
              <w:t>Change of License</w:t>
            </w:r>
          </w:p>
        </w:tc>
        <w:tc>
          <w:tcPr>
            <w:tcW w:w="849" w:type="dxa"/>
          </w:tcPr>
          <w:p w14:paraId="5DEA650F"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0433CBDE"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220A7D7" w14:textId="77777777" w:rsidR="006A0BDB" w:rsidRPr="00C75581" w:rsidRDefault="006A0BDB" w:rsidP="001D2CEB">
            <w:pPr>
              <w:rPr>
                <w:rFonts w:ascii="Arial" w:hAnsi="Arial" w:cs="Arial"/>
                <w:kern w:val="0"/>
              </w:rPr>
            </w:pPr>
            <w:r w:rsidRPr="00C75581">
              <w:rPr>
                <w:rFonts w:ascii="Arial" w:hAnsi="Arial" w:cs="Arial"/>
                <w:kern w:val="0"/>
              </w:rPr>
              <w:t>13F</w:t>
            </w:r>
          </w:p>
        </w:tc>
        <w:tc>
          <w:tcPr>
            <w:tcW w:w="1152" w:type="dxa"/>
          </w:tcPr>
          <w:p w14:paraId="49D3B2AE" w14:textId="77777777" w:rsidR="006A0BDB" w:rsidRPr="00C75581" w:rsidRDefault="006A0BDB" w:rsidP="001D2CEB">
            <w:pPr>
              <w:rPr>
                <w:rFonts w:ascii="Arial" w:hAnsi="Arial" w:cs="Arial"/>
                <w:kern w:val="0"/>
              </w:rPr>
            </w:pPr>
            <w:r w:rsidRPr="00C75581">
              <w:rPr>
                <w:rFonts w:ascii="Arial" w:hAnsi="Arial" w:cs="Arial"/>
                <w:kern w:val="0"/>
              </w:rPr>
              <w:t>.0207</w:t>
            </w:r>
            <w:r>
              <w:rPr>
                <w:rFonts w:ascii="Arial" w:hAnsi="Arial" w:cs="Arial"/>
                <w:kern w:val="0"/>
              </w:rPr>
              <w:t>*</w:t>
            </w:r>
          </w:p>
        </w:tc>
        <w:tc>
          <w:tcPr>
            <w:tcW w:w="1800" w:type="dxa"/>
          </w:tcPr>
          <w:p w14:paraId="597A934D"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6C7B07F5" w14:textId="77777777" w:rsidTr="001D2CEB">
        <w:trPr>
          <w:tblCellSpacing w:w="14" w:type="dxa"/>
        </w:trPr>
        <w:tc>
          <w:tcPr>
            <w:tcW w:w="5904" w:type="dxa"/>
          </w:tcPr>
          <w:p w14:paraId="028C108D" w14:textId="77777777" w:rsidR="006A0BDB" w:rsidRPr="00C75581" w:rsidRDefault="006A0BDB" w:rsidP="001D2CEB">
            <w:pPr>
              <w:rPr>
                <w:rFonts w:ascii="Arial" w:hAnsi="Arial" w:cs="Arial"/>
                <w:kern w:val="0"/>
              </w:rPr>
            </w:pPr>
            <w:r w:rsidRPr="00C75581">
              <w:rPr>
                <w:rFonts w:ascii="Arial" w:hAnsi="Arial" w:cs="Arial"/>
                <w:kern w:val="0"/>
                <w:u w:val="single"/>
              </w:rPr>
              <w:t>Suspension of Admissions</w:t>
            </w:r>
          </w:p>
        </w:tc>
        <w:tc>
          <w:tcPr>
            <w:tcW w:w="849" w:type="dxa"/>
          </w:tcPr>
          <w:p w14:paraId="5263ACB7"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4E5CADD"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EA45DB9" w14:textId="77777777" w:rsidR="006A0BDB" w:rsidRPr="00C75581" w:rsidRDefault="006A0BDB" w:rsidP="001D2CEB">
            <w:pPr>
              <w:rPr>
                <w:rFonts w:ascii="Arial" w:hAnsi="Arial" w:cs="Arial"/>
                <w:kern w:val="0"/>
              </w:rPr>
            </w:pPr>
            <w:r w:rsidRPr="00C75581">
              <w:rPr>
                <w:rFonts w:ascii="Arial" w:hAnsi="Arial" w:cs="Arial"/>
                <w:kern w:val="0"/>
              </w:rPr>
              <w:t>13F</w:t>
            </w:r>
          </w:p>
        </w:tc>
        <w:tc>
          <w:tcPr>
            <w:tcW w:w="1152" w:type="dxa"/>
          </w:tcPr>
          <w:p w14:paraId="52AC4917" w14:textId="77777777" w:rsidR="006A0BDB" w:rsidRPr="00C75581" w:rsidRDefault="006A0BDB" w:rsidP="001D2CEB">
            <w:pPr>
              <w:rPr>
                <w:rFonts w:ascii="Arial" w:hAnsi="Arial" w:cs="Arial"/>
                <w:kern w:val="0"/>
              </w:rPr>
            </w:pPr>
            <w:r w:rsidRPr="00C75581">
              <w:rPr>
                <w:rFonts w:ascii="Arial" w:hAnsi="Arial" w:cs="Arial"/>
                <w:kern w:val="0"/>
              </w:rPr>
              <w:t>.0214</w:t>
            </w:r>
          </w:p>
        </w:tc>
        <w:tc>
          <w:tcPr>
            <w:tcW w:w="1800" w:type="dxa"/>
          </w:tcPr>
          <w:p w14:paraId="367CCAC0"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649F9529" w14:textId="77777777" w:rsidTr="001D2CEB">
        <w:trPr>
          <w:tblCellSpacing w:w="14" w:type="dxa"/>
        </w:trPr>
        <w:tc>
          <w:tcPr>
            <w:tcW w:w="5904" w:type="dxa"/>
          </w:tcPr>
          <w:p w14:paraId="46ED2489" w14:textId="77777777" w:rsidR="006A0BDB" w:rsidRPr="00C75581" w:rsidRDefault="006A0BDB" w:rsidP="001D2CEB">
            <w:pPr>
              <w:rPr>
                <w:rFonts w:ascii="Arial" w:hAnsi="Arial" w:cs="Arial"/>
                <w:kern w:val="0"/>
              </w:rPr>
            </w:pPr>
            <w:r w:rsidRPr="00C75581">
              <w:rPr>
                <w:rFonts w:ascii="Arial" w:hAnsi="Arial" w:cs="Arial"/>
                <w:kern w:val="0"/>
                <w:u w:val="single"/>
              </w:rPr>
              <w:t>Marketing</w:t>
            </w:r>
          </w:p>
        </w:tc>
        <w:tc>
          <w:tcPr>
            <w:tcW w:w="849" w:type="dxa"/>
          </w:tcPr>
          <w:p w14:paraId="129F7038"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09A0BCA9"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672483A" w14:textId="77777777" w:rsidR="006A0BDB" w:rsidRPr="00C75581" w:rsidRDefault="006A0BDB" w:rsidP="001D2CEB">
            <w:pPr>
              <w:rPr>
                <w:rFonts w:ascii="Arial" w:hAnsi="Arial" w:cs="Arial"/>
                <w:kern w:val="0"/>
              </w:rPr>
            </w:pPr>
            <w:r w:rsidRPr="00C75581">
              <w:rPr>
                <w:rFonts w:ascii="Arial" w:hAnsi="Arial" w:cs="Arial"/>
                <w:kern w:val="0"/>
              </w:rPr>
              <w:t>13F</w:t>
            </w:r>
          </w:p>
        </w:tc>
        <w:tc>
          <w:tcPr>
            <w:tcW w:w="1152" w:type="dxa"/>
          </w:tcPr>
          <w:p w14:paraId="1949D90D" w14:textId="77777777" w:rsidR="006A0BDB" w:rsidRPr="00C75581" w:rsidRDefault="006A0BDB" w:rsidP="001D2CEB">
            <w:pPr>
              <w:rPr>
                <w:rFonts w:ascii="Arial" w:hAnsi="Arial" w:cs="Arial"/>
                <w:kern w:val="0"/>
              </w:rPr>
            </w:pPr>
            <w:r w:rsidRPr="00C75581">
              <w:rPr>
                <w:rFonts w:ascii="Arial" w:hAnsi="Arial" w:cs="Arial"/>
                <w:kern w:val="0"/>
              </w:rPr>
              <w:t>.1206</w:t>
            </w:r>
          </w:p>
        </w:tc>
        <w:tc>
          <w:tcPr>
            <w:tcW w:w="1800" w:type="dxa"/>
          </w:tcPr>
          <w:p w14:paraId="4118847D"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551D966E" w14:textId="77777777" w:rsidTr="001D2CEB">
        <w:trPr>
          <w:tblCellSpacing w:w="14" w:type="dxa"/>
        </w:trPr>
        <w:tc>
          <w:tcPr>
            <w:tcW w:w="5904" w:type="dxa"/>
          </w:tcPr>
          <w:p w14:paraId="592A395C" w14:textId="77777777" w:rsidR="006A0BDB" w:rsidRPr="00C75581" w:rsidRDefault="006A0BDB" w:rsidP="001D2CEB">
            <w:pPr>
              <w:rPr>
                <w:rFonts w:ascii="Arial" w:hAnsi="Arial" w:cs="Arial"/>
                <w:kern w:val="0"/>
              </w:rPr>
            </w:pPr>
            <w:r w:rsidRPr="00C75581">
              <w:rPr>
                <w:rFonts w:ascii="Arial" w:hAnsi="Arial" w:cs="Arial"/>
                <w:kern w:val="0"/>
                <w:u w:val="single"/>
              </w:rPr>
              <w:t>Change of Licensee</w:t>
            </w:r>
          </w:p>
        </w:tc>
        <w:tc>
          <w:tcPr>
            <w:tcW w:w="849" w:type="dxa"/>
          </w:tcPr>
          <w:p w14:paraId="43E754BD"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1CAABA1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CB1DF9E" w14:textId="77777777" w:rsidR="006A0BDB" w:rsidRPr="00C75581" w:rsidRDefault="006A0BDB" w:rsidP="001D2CEB">
            <w:pPr>
              <w:rPr>
                <w:rFonts w:ascii="Arial" w:hAnsi="Arial" w:cs="Arial"/>
                <w:kern w:val="0"/>
              </w:rPr>
            </w:pPr>
            <w:r w:rsidRPr="00C75581">
              <w:rPr>
                <w:rFonts w:ascii="Arial" w:hAnsi="Arial" w:cs="Arial"/>
                <w:kern w:val="0"/>
              </w:rPr>
              <w:t>13G</w:t>
            </w:r>
          </w:p>
        </w:tc>
        <w:tc>
          <w:tcPr>
            <w:tcW w:w="1152" w:type="dxa"/>
          </w:tcPr>
          <w:p w14:paraId="2EDC9361" w14:textId="77777777" w:rsidR="006A0BDB" w:rsidRPr="00C75581" w:rsidRDefault="006A0BDB" w:rsidP="001D2CEB">
            <w:pPr>
              <w:rPr>
                <w:rFonts w:ascii="Arial" w:hAnsi="Arial" w:cs="Arial"/>
                <w:kern w:val="0"/>
              </w:rPr>
            </w:pPr>
            <w:r w:rsidRPr="00C75581">
              <w:rPr>
                <w:rFonts w:ascii="Arial" w:hAnsi="Arial" w:cs="Arial"/>
                <w:kern w:val="0"/>
              </w:rPr>
              <w:t>.0207</w:t>
            </w:r>
            <w:r>
              <w:rPr>
                <w:rFonts w:ascii="Arial" w:hAnsi="Arial" w:cs="Arial"/>
                <w:kern w:val="0"/>
              </w:rPr>
              <w:t>*</w:t>
            </w:r>
          </w:p>
        </w:tc>
        <w:tc>
          <w:tcPr>
            <w:tcW w:w="1800" w:type="dxa"/>
          </w:tcPr>
          <w:p w14:paraId="5F0EC80D"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52A155D4" w14:textId="77777777" w:rsidTr="001D2CEB">
        <w:trPr>
          <w:tblCellSpacing w:w="14" w:type="dxa"/>
        </w:trPr>
        <w:tc>
          <w:tcPr>
            <w:tcW w:w="5904" w:type="dxa"/>
          </w:tcPr>
          <w:p w14:paraId="6B20CF87" w14:textId="77777777" w:rsidR="006A0BDB" w:rsidRPr="00C75581" w:rsidRDefault="006A0BDB" w:rsidP="001D2CEB">
            <w:pPr>
              <w:rPr>
                <w:rFonts w:ascii="Arial" w:hAnsi="Arial" w:cs="Arial"/>
                <w:kern w:val="0"/>
              </w:rPr>
            </w:pPr>
            <w:r w:rsidRPr="00C75581">
              <w:rPr>
                <w:rFonts w:ascii="Arial" w:hAnsi="Arial" w:cs="Arial"/>
                <w:kern w:val="0"/>
                <w:u w:val="single"/>
              </w:rPr>
              <w:t>Suspension of Admissions</w:t>
            </w:r>
          </w:p>
        </w:tc>
        <w:tc>
          <w:tcPr>
            <w:tcW w:w="849" w:type="dxa"/>
          </w:tcPr>
          <w:p w14:paraId="64C65884"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83E9E2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5458AEC" w14:textId="77777777" w:rsidR="006A0BDB" w:rsidRPr="00C75581" w:rsidRDefault="006A0BDB" w:rsidP="001D2CEB">
            <w:pPr>
              <w:rPr>
                <w:rFonts w:ascii="Arial" w:hAnsi="Arial" w:cs="Arial"/>
                <w:kern w:val="0"/>
              </w:rPr>
            </w:pPr>
            <w:r w:rsidRPr="00C75581">
              <w:rPr>
                <w:rFonts w:ascii="Arial" w:hAnsi="Arial" w:cs="Arial"/>
                <w:kern w:val="0"/>
              </w:rPr>
              <w:t>13G</w:t>
            </w:r>
          </w:p>
        </w:tc>
        <w:tc>
          <w:tcPr>
            <w:tcW w:w="1152" w:type="dxa"/>
          </w:tcPr>
          <w:p w14:paraId="57EF29EB" w14:textId="77777777" w:rsidR="006A0BDB" w:rsidRPr="00C75581" w:rsidRDefault="006A0BDB" w:rsidP="001D2CEB">
            <w:pPr>
              <w:rPr>
                <w:rFonts w:ascii="Arial" w:hAnsi="Arial" w:cs="Arial"/>
                <w:kern w:val="0"/>
              </w:rPr>
            </w:pPr>
            <w:r w:rsidRPr="00C75581">
              <w:rPr>
                <w:rFonts w:ascii="Arial" w:hAnsi="Arial" w:cs="Arial"/>
                <w:kern w:val="0"/>
              </w:rPr>
              <w:t>.0214</w:t>
            </w:r>
          </w:p>
        </w:tc>
        <w:tc>
          <w:tcPr>
            <w:tcW w:w="1800" w:type="dxa"/>
          </w:tcPr>
          <w:p w14:paraId="0D280054"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67AD5B17" w14:textId="77777777" w:rsidTr="001D2CEB">
        <w:trPr>
          <w:tblCellSpacing w:w="14" w:type="dxa"/>
        </w:trPr>
        <w:tc>
          <w:tcPr>
            <w:tcW w:w="5904" w:type="dxa"/>
          </w:tcPr>
          <w:p w14:paraId="12669284" w14:textId="77777777" w:rsidR="006A0BDB" w:rsidRPr="00C75581" w:rsidRDefault="006A0BDB" w:rsidP="001D2CEB">
            <w:pPr>
              <w:rPr>
                <w:rFonts w:ascii="Arial" w:hAnsi="Arial" w:cs="Arial"/>
                <w:kern w:val="0"/>
              </w:rPr>
            </w:pPr>
            <w:r w:rsidRPr="00C75581">
              <w:rPr>
                <w:rFonts w:ascii="Arial" w:hAnsi="Arial" w:cs="Arial"/>
                <w:kern w:val="0"/>
                <w:u w:val="single"/>
              </w:rPr>
              <w:t>Marketing</w:t>
            </w:r>
          </w:p>
        </w:tc>
        <w:tc>
          <w:tcPr>
            <w:tcW w:w="849" w:type="dxa"/>
          </w:tcPr>
          <w:p w14:paraId="040F8608"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62959D99"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0CBD55E" w14:textId="77777777" w:rsidR="006A0BDB" w:rsidRPr="00C75581" w:rsidRDefault="006A0BDB" w:rsidP="001D2CEB">
            <w:pPr>
              <w:rPr>
                <w:rFonts w:ascii="Arial" w:hAnsi="Arial" w:cs="Arial"/>
                <w:kern w:val="0"/>
              </w:rPr>
            </w:pPr>
            <w:r w:rsidRPr="00C75581">
              <w:rPr>
                <w:rFonts w:ascii="Arial" w:hAnsi="Arial" w:cs="Arial"/>
                <w:kern w:val="0"/>
              </w:rPr>
              <w:t>13G</w:t>
            </w:r>
          </w:p>
        </w:tc>
        <w:tc>
          <w:tcPr>
            <w:tcW w:w="1152" w:type="dxa"/>
          </w:tcPr>
          <w:p w14:paraId="46C5485F" w14:textId="77777777" w:rsidR="006A0BDB" w:rsidRPr="00C75581" w:rsidRDefault="006A0BDB" w:rsidP="001D2CEB">
            <w:pPr>
              <w:rPr>
                <w:rFonts w:ascii="Arial" w:hAnsi="Arial" w:cs="Arial"/>
                <w:kern w:val="0"/>
              </w:rPr>
            </w:pPr>
            <w:r w:rsidRPr="00C75581">
              <w:rPr>
                <w:rFonts w:ascii="Arial" w:hAnsi="Arial" w:cs="Arial"/>
                <w:kern w:val="0"/>
              </w:rPr>
              <w:t>.1207</w:t>
            </w:r>
          </w:p>
        </w:tc>
        <w:tc>
          <w:tcPr>
            <w:tcW w:w="1800" w:type="dxa"/>
          </w:tcPr>
          <w:p w14:paraId="19763A75" w14:textId="77777777" w:rsidR="006A0BDB" w:rsidRPr="00C75581" w:rsidRDefault="006A0BDB" w:rsidP="001D2CEB">
            <w:pPr>
              <w:rPr>
                <w:rFonts w:ascii="Arial" w:hAnsi="Arial" w:cs="Arial"/>
                <w:kern w:val="0"/>
              </w:rPr>
            </w:pPr>
            <w:r>
              <w:rPr>
                <w:rFonts w:ascii="Arial" w:hAnsi="Arial" w:cs="Arial"/>
                <w:kern w:val="0"/>
              </w:rPr>
              <w:t>33:24 NCR</w:t>
            </w:r>
          </w:p>
        </w:tc>
      </w:tr>
      <w:tr w:rsidR="006A0BDB" w:rsidRPr="00C75581" w14:paraId="26E078D1" w14:textId="77777777" w:rsidTr="001D2CEB">
        <w:trPr>
          <w:tblCellSpacing w:w="14" w:type="dxa"/>
        </w:trPr>
        <w:tc>
          <w:tcPr>
            <w:tcW w:w="10924" w:type="dxa"/>
            <w:gridSpan w:val="6"/>
          </w:tcPr>
          <w:p w14:paraId="008C713A"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Public Health, Commission for</w:t>
            </w:r>
          </w:p>
        </w:tc>
      </w:tr>
      <w:tr w:rsidR="006A0BDB" w:rsidRPr="00C75581" w14:paraId="1B4B7DAD" w14:textId="77777777" w:rsidTr="001D2CEB">
        <w:trPr>
          <w:tblCellSpacing w:w="14" w:type="dxa"/>
        </w:trPr>
        <w:tc>
          <w:tcPr>
            <w:tcW w:w="5904" w:type="dxa"/>
          </w:tcPr>
          <w:p w14:paraId="0C87ACFE" w14:textId="77777777" w:rsidR="006A0BDB" w:rsidRPr="00C75581" w:rsidRDefault="006A0BDB" w:rsidP="001D2CEB">
            <w:pPr>
              <w:rPr>
                <w:rFonts w:ascii="Arial" w:hAnsi="Arial" w:cs="Arial"/>
                <w:kern w:val="0"/>
              </w:rPr>
            </w:pPr>
            <w:r w:rsidRPr="00C75581">
              <w:rPr>
                <w:rFonts w:ascii="Arial" w:hAnsi="Arial" w:cs="Arial"/>
                <w:kern w:val="0"/>
                <w:u w:val="single"/>
              </w:rPr>
              <w:t>Definitions</w:t>
            </w:r>
          </w:p>
        </w:tc>
        <w:tc>
          <w:tcPr>
            <w:tcW w:w="849" w:type="dxa"/>
          </w:tcPr>
          <w:p w14:paraId="4C043AB1"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94C7326"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4EA6F0A" w14:textId="77777777" w:rsidR="006A0BDB" w:rsidRPr="00C75581" w:rsidRDefault="006A0BDB" w:rsidP="001D2CEB">
            <w:pPr>
              <w:rPr>
                <w:rFonts w:ascii="Arial" w:hAnsi="Arial" w:cs="Arial"/>
                <w:kern w:val="0"/>
              </w:rPr>
            </w:pPr>
            <w:r w:rsidRPr="00C75581">
              <w:rPr>
                <w:rFonts w:ascii="Arial" w:hAnsi="Arial" w:cs="Arial"/>
                <w:kern w:val="0"/>
              </w:rPr>
              <w:t>41C</w:t>
            </w:r>
          </w:p>
        </w:tc>
        <w:tc>
          <w:tcPr>
            <w:tcW w:w="1152" w:type="dxa"/>
          </w:tcPr>
          <w:p w14:paraId="10B2C49A" w14:textId="77777777" w:rsidR="006A0BDB" w:rsidRPr="00C75581" w:rsidRDefault="006A0BDB" w:rsidP="001D2CEB">
            <w:pPr>
              <w:rPr>
                <w:rFonts w:ascii="Arial" w:hAnsi="Arial" w:cs="Arial"/>
                <w:kern w:val="0"/>
              </w:rPr>
            </w:pPr>
            <w:r w:rsidRPr="00C75581">
              <w:rPr>
                <w:rFonts w:ascii="Arial" w:hAnsi="Arial" w:cs="Arial"/>
                <w:kern w:val="0"/>
              </w:rPr>
              <w:t>.0701</w:t>
            </w:r>
            <w:r>
              <w:rPr>
                <w:rFonts w:ascii="Arial" w:hAnsi="Arial" w:cs="Arial"/>
                <w:kern w:val="0"/>
              </w:rPr>
              <w:t>*</w:t>
            </w:r>
          </w:p>
        </w:tc>
        <w:tc>
          <w:tcPr>
            <w:tcW w:w="1800" w:type="dxa"/>
          </w:tcPr>
          <w:p w14:paraId="352D05FD"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3B2E94D7" w14:textId="77777777" w:rsidTr="001D2CEB">
        <w:trPr>
          <w:tblCellSpacing w:w="14" w:type="dxa"/>
        </w:trPr>
        <w:tc>
          <w:tcPr>
            <w:tcW w:w="5904" w:type="dxa"/>
          </w:tcPr>
          <w:p w14:paraId="3A210341" w14:textId="77777777" w:rsidR="006A0BDB" w:rsidRPr="00C75581" w:rsidRDefault="006A0BDB" w:rsidP="001D2CEB">
            <w:pPr>
              <w:rPr>
                <w:rFonts w:ascii="Arial" w:hAnsi="Arial" w:cs="Arial"/>
                <w:kern w:val="0"/>
              </w:rPr>
            </w:pPr>
            <w:r w:rsidRPr="00C75581">
              <w:rPr>
                <w:rFonts w:ascii="Arial" w:hAnsi="Arial" w:cs="Arial"/>
                <w:kern w:val="0"/>
                <w:u w:val="single"/>
              </w:rPr>
              <w:t>Reportable Diseases, Illnesses, and Injuries</w:t>
            </w:r>
          </w:p>
        </w:tc>
        <w:tc>
          <w:tcPr>
            <w:tcW w:w="849" w:type="dxa"/>
          </w:tcPr>
          <w:p w14:paraId="1F86B14D"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0D4CA4E7"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05EE1CC" w14:textId="77777777" w:rsidR="006A0BDB" w:rsidRPr="00C75581" w:rsidRDefault="006A0BDB" w:rsidP="001D2CEB">
            <w:pPr>
              <w:rPr>
                <w:rFonts w:ascii="Arial" w:hAnsi="Arial" w:cs="Arial"/>
                <w:kern w:val="0"/>
              </w:rPr>
            </w:pPr>
            <w:r w:rsidRPr="00C75581">
              <w:rPr>
                <w:rFonts w:ascii="Arial" w:hAnsi="Arial" w:cs="Arial"/>
                <w:kern w:val="0"/>
              </w:rPr>
              <w:t>41C</w:t>
            </w:r>
          </w:p>
        </w:tc>
        <w:tc>
          <w:tcPr>
            <w:tcW w:w="1152" w:type="dxa"/>
          </w:tcPr>
          <w:p w14:paraId="63092B92" w14:textId="77777777" w:rsidR="006A0BDB" w:rsidRPr="00C75581" w:rsidRDefault="006A0BDB" w:rsidP="001D2CEB">
            <w:pPr>
              <w:rPr>
                <w:rFonts w:ascii="Arial" w:hAnsi="Arial" w:cs="Arial"/>
                <w:kern w:val="0"/>
              </w:rPr>
            </w:pPr>
            <w:r w:rsidRPr="00C75581">
              <w:rPr>
                <w:rFonts w:ascii="Arial" w:hAnsi="Arial" w:cs="Arial"/>
                <w:kern w:val="0"/>
              </w:rPr>
              <w:t>.0702</w:t>
            </w:r>
            <w:r>
              <w:rPr>
                <w:rFonts w:ascii="Arial" w:hAnsi="Arial" w:cs="Arial"/>
                <w:kern w:val="0"/>
              </w:rPr>
              <w:t>*</w:t>
            </w:r>
          </w:p>
        </w:tc>
        <w:tc>
          <w:tcPr>
            <w:tcW w:w="1800" w:type="dxa"/>
          </w:tcPr>
          <w:p w14:paraId="71D95F6C"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77F1E03E" w14:textId="77777777" w:rsidTr="001D2CEB">
        <w:trPr>
          <w:tblCellSpacing w:w="14" w:type="dxa"/>
        </w:trPr>
        <w:tc>
          <w:tcPr>
            <w:tcW w:w="5904" w:type="dxa"/>
          </w:tcPr>
          <w:p w14:paraId="0510D772" w14:textId="77777777" w:rsidR="006A0BDB" w:rsidRPr="00C75581" w:rsidRDefault="006A0BDB" w:rsidP="001D2CEB">
            <w:pPr>
              <w:rPr>
                <w:rFonts w:ascii="Arial" w:hAnsi="Arial" w:cs="Arial"/>
                <w:kern w:val="0"/>
              </w:rPr>
            </w:pPr>
            <w:r w:rsidRPr="00C75581">
              <w:rPr>
                <w:rFonts w:ascii="Arial" w:hAnsi="Arial" w:cs="Arial"/>
                <w:kern w:val="0"/>
                <w:u w:val="single"/>
              </w:rPr>
              <w:t>Method of Reporting</w:t>
            </w:r>
          </w:p>
        </w:tc>
        <w:tc>
          <w:tcPr>
            <w:tcW w:w="849" w:type="dxa"/>
          </w:tcPr>
          <w:p w14:paraId="7225F3FF"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350E77B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712BD76" w14:textId="77777777" w:rsidR="006A0BDB" w:rsidRPr="00C75581" w:rsidRDefault="006A0BDB" w:rsidP="001D2CEB">
            <w:pPr>
              <w:rPr>
                <w:rFonts w:ascii="Arial" w:hAnsi="Arial" w:cs="Arial"/>
                <w:kern w:val="0"/>
              </w:rPr>
            </w:pPr>
            <w:r w:rsidRPr="00C75581">
              <w:rPr>
                <w:rFonts w:ascii="Arial" w:hAnsi="Arial" w:cs="Arial"/>
                <w:kern w:val="0"/>
              </w:rPr>
              <w:t>41C</w:t>
            </w:r>
          </w:p>
        </w:tc>
        <w:tc>
          <w:tcPr>
            <w:tcW w:w="1152" w:type="dxa"/>
          </w:tcPr>
          <w:p w14:paraId="74FB0A84" w14:textId="77777777" w:rsidR="006A0BDB" w:rsidRPr="00C75581" w:rsidRDefault="006A0BDB" w:rsidP="001D2CEB">
            <w:pPr>
              <w:rPr>
                <w:rFonts w:ascii="Arial" w:hAnsi="Arial" w:cs="Arial"/>
                <w:kern w:val="0"/>
              </w:rPr>
            </w:pPr>
            <w:r w:rsidRPr="00C75581">
              <w:rPr>
                <w:rFonts w:ascii="Arial" w:hAnsi="Arial" w:cs="Arial"/>
                <w:kern w:val="0"/>
              </w:rPr>
              <w:t>.0703</w:t>
            </w:r>
            <w:r>
              <w:rPr>
                <w:rFonts w:ascii="Arial" w:hAnsi="Arial" w:cs="Arial"/>
                <w:kern w:val="0"/>
              </w:rPr>
              <w:t>*</w:t>
            </w:r>
          </w:p>
        </w:tc>
        <w:tc>
          <w:tcPr>
            <w:tcW w:w="1800" w:type="dxa"/>
          </w:tcPr>
          <w:p w14:paraId="5DCF6210"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31E7F20B" w14:textId="77777777" w:rsidTr="001D2CEB">
        <w:trPr>
          <w:tblCellSpacing w:w="14" w:type="dxa"/>
        </w:trPr>
        <w:tc>
          <w:tcPr>
            <w:tcW w:w="5904" w:type="dxa"/>
          </w:tcPr>
          <w:p w14:paraId="1534A1F6" w14:textId="77777777" w:rsidR="006A0BDB" w:rsidRPr="00C75581" w:rsidRDefault="006A0BDB" w:rsidP="001D2CEB">
            <w:pPr>
              <w:rPr>
                <w:rFonts w:ascii="Arial" w:hAnsi="Arial" w:cs="Arial"/>
                <w:kern w:val="0"/>
              </w:rPr>
            </w:pPr>
            <w:r w:rsidRPr="00C75581">
              <w:rPr>
                <w:rFonts w:ascii="Arial" w:hAnsi="Arial" w:cs="Arial"/>
                <w:kern w:val="0"/>
                <w:u w:val="single"/>
              </w:rPr>
              <w:t>Definitions</w:t>
            </w:r>
          </w:p>
        </w:tc>
        <w:tc>
          <w:tcPr>
            <w:tcW w:w="849" w:type="dxa"/>
          </w:tcPr>
          <w:p w14:paraId="1F362287"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7AD7457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F900D4B"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445AB8DB" w14:textId="77777777" w:rsidR="006A0BDB" w:rsidRPr="00C75581" w:rsidRDefault="006A0BDB" w:rsidP="001D2CEB">
            <w:pPr>
              <w:rPr>
                <w:rFonts w:ascii="Arial" w:hAnsi="Arial" w:cs="Arial"/>
                <w:kern w:val="0"/>
              </w:rPr>
            </w:pPr>
            <w:r w:rsidRPr="00C75581">
              <w:rPr>
                <w:rFonts w:ascii="Arial" w:hAnsi="Arial" w:cs="Arial"/>
                <w:kern w:val="0"/>
              </w:rPr>
              <w:t>.0202</w:t>
            </w:r>
            <w:r>
              <w:rPr>
                <w:rFonts w:ascii="Arial" w:hAnsi="Arial" w:cs="Arial"/>
                <w:kern w:val="0"/>
              </w:rPr>
              <w:t>*</w:t>
            </w:r>
          </w:p>
        </w:tc>
        <w:tc>
          <w:tcPr>
            <w:tcW w:w="1800" w:type="dxa"/>
          </w:tcPr>
          <w:p w14:paraId="677295C1"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754B640A" w14:textId="77777777" w:rsidTr="001D2CEB">
        <w:trPr>
          <w:tblCellSpacing w:w="14" w:type="dxa"/>
        </w:trPr>
        <w:tc>
          <w:tcPr>
            <w:tcW w:w="5904" w:type="dxa"/>
          </w:tcPr>
          <w:p w14:paraId="2A3D5D2D" w14:textId="77777777" w:rsidR="006A0BDB" w:rsidRPr="00C75581" w:rsidRDefault="006A0BDB" w:rsidP="001D2CEB">
            <w:pPr>
              <w:rPr>
                <w:rFonts w:ascii="Arial" w:hAnsi="Arial" w:cs="Arial"/>
                <w:kern w:val="0"/>
              </w:rPr>
            </w:pPr>
            <w:r w:rsidRPr="00C75581">
              <w:rPr>
                <w:rFonts w:ascii="Arial" w:hAnsi="Arial" w:cs="Arial"/>
                <w:kern w:val="0"/>
                <w:u w:val="single"/>
              </w:rPr>
              <w:t>Waiting List</w:t>
            </w:r>
          </w:p>
        </w:tc>
        <w:tc>
          <w:tcPr>
            <w:tcW w:w="849" w:type="dxa"/>
          </w:tcPr>
          <w:p w14:paraId="0F2C3E46"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F5DBC6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A108A83"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279EA30D" w14:textId="77777777" w:rsidR="006A0BDB" w:rsidRPr="00C75581" w:rsidRDefault="006A0BDB" w:rsidP="001D2CEB">
            <w:pPr>
              <w:rPr>
                <w:rFonts w:ascii="Arial" w:hAnsi="Arial" w:cs="Arial"/>
                <w:kern w:val="0"/>
              </w:rPr>
            </w:pPr>
            <w:r w:rsidRPr="00C75581">
              <w:rPr>
                <w:rFonts w:ascii="Arial" w:hAnsi="Arial" w:cs="Arial"/>
                <w:kern w:val="0"/>
              </w:rPr>
              <w:t>.0408</w:t>
            </w:r>
            <w:r>
              <w:rPr>
                <w:rFonts w:ascii="Arial" w:hAnsi="Arial" w:cs="Arial"/>
                <w:kern w:val="0"/>
              </w:rPr>
              <w:t>*</w:t>
            </w:r>
          </w:p>
        </w:tc>
        <w:tc>
          <w:tcPr>
            <w:tcW w:w="1800" w:type="dxa"/>
          </w:tcPr>
          <w:p w14:paraId="0BE1ECF0"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58A84E5A" w14:textId="77777777" w:rsidTr="001D2CEB">
        <w:trPr>
          <w:tblCellSpacing w:w="14" w:type="dxa"/>
        </w:trPr>
        <w:tc>
          <w:tcPr>
            <w:tcW w:w="5904" w:type="dxa"/>
          </w:tcPr>
          <w:p w14:paraId="6849BDF4" w14:textId="77777777" w:rsidR="006A0BDB" w:rsidRPr="00C75581" w:rsidRDefault="006A0BDB" w:rsidP="001D2CEB">
            <w:pPr>
              <w:rPr>
                <w:rFonts w:ascii="Arial" w:hAnsi="Arial" w:cs="Arial"/>
                <w:kern w:val="0"/>
              </w:rPr>
            </w:pPr>
            <w:r w:rsidRPr="00C75581">
              <w:rPr>
                <w:rFonts w:ascii="Arial" w:hAnsi="Arial" w:cs="Arial"/>
                <w:kern w:val="0"/>
                <w:u w:val="single"/>
              </w:rPr>
              <w:t>Supplemental Foods</w:t>
            </w:r>
          </w:p>
        </w:tc>
        <w:tc>
          <w:tcPr>
            <w:tcW w:w="849" w:type="dxa"/>
          </w:tcPr>
          <w:p w14:paraId="70093040"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2B8CF5B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9BA7D9C"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6271C29B" w14:textId="77777777" w:rsidR="006A0BDB" w:rsidRPr="00C75581" w:rsidRDefault="006A0BDB" w:rsidP="001D2CEB">
            <w:pPr>
              <w:rPr>
                <w:rFonts w:ascii="Arial" w:hAnsi="Arial" w:cs="Arial"/>
                <w:kern w:val="0"/>
              </w:rPr>
            </w:pPr>
            <w:r w:rsidRPr="00C75581">
              <w:rPr>
                <w:rFonts w:ascii="Arial" w:hAnsi="Arial" w:cs="Arial"/>
                <w:kern w:val="0"/>
              </w:rPr>
              <w:t>.0501</w:t>
            </w:r>
            <w:r>
              <w:rPr>
                <w:rFonts w:ascii="Arial" w:hAnsi="Arial" w:cs="Arial"/>
                <w:kern w:val="0"/>
              </w:rPr>
              <w:t>*</w:t>
            </w:r>
          </w:p>
        </w:tc>
        <w:tc>
          <w:tcPr>
            <w:tcW w:w="1800" w:type="dxa"/>
          </w:tcPr>
          <w:p w14:paraId="41439497"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312EBD24" w14:textId="77777777" w:rsidTr="001D2CEB">
        <w:trPr>
          <w:tblCellSpacing w:w="14" w:type="dxa"/>
        </w:trPr>
        <w:tc>
          <w:tcPr>
            <w:tcW w:w="5904" w:type="dxa"/>
          </w:tcPr>
          <w:p w14:paraId="4BD2C94E" w14:textId="77777777" w:rsidR="006A0BDB" w:rsidRPr="00C75581" w:rsidRDefault="006A0BDB" w:rsidP="001D2CEB">
            <w:pPr>
              <w:rPr>
                <w:rFonts w:ascii="Arial" w:hAnsi="Arial" w:cs="Arial"/>
                <w:kern w:val="0"/>
              </w:rPr>
            </w:pPr>
            <w:r w:rsidRPr="00C75581">
              <w:rPr>
                <w:rFonts w:ascii="Arial" w:hAnsi="Arial" w:cs="Arial"/>
                <w:kern w:val="0"/>
                <w:u w:val="single"/>
              </w:rPr>
              <w:t>The North Carolina Automated WIC System</w:t>
            </w:r>
          </w:p>
        </w:tc>
        <w:tc>
          <w:tcPr>
            <w:tcW w:w="849" w:type="dxa"/>
          </w:tcPr>
          <w:p w14:paraId="7081A3C7"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3874FF75"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B78F036"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69A4371C" w14:textId="77777777" w:rsidR="006A0BDB" w:rsidRPr="00C75581" w:rsidRDefault="006A0BDB" w:rsidP="001D2CEB">
            <w:pPr>
              <w:rPr>
                <w:rFonts w:ascii="Arial" w:hAnsi="Arial" w:cs="Arial"/>
                <w:kern w:val="0"/>
              </w:rPr>
            </w:pPr>
            <w:r w:rsidRPr="00C75581">
              <w:rPr>
                <w:rFonts w:ascii="Arial" w:hAnsi="Arial" w:cs="Arial"/>
                <w:kern w:val="0"/>
              </w:rPr>
              <w:t>.0701</w:t>
            </w:r>
            <w:r>
              <w:rPr>
                <w:rFonts w:ascii="Arial" w:hAnsi="Arial" w:cs="Arial"/>
                <w:kern w:val="0"/>
              </w:rPr>
              <w:t>*</w:t>
            </w:r>
          </w:p>
        </w:tc>
        <w:tc>
          <w:tcPr>
            <w:tcW w:w="1800" w:type="dxa"/>
          </w:tcPr>
          <w:p w14:paraId="5BE311CD"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4708F833" w14:textId="77777777" w:rsidTr="001D2CEB">
        <w:trPr>
          <w:tblCellSpacing w:w="14" w:type="dxa"/>
        </w:trPr>
        <w:tc>
          <w:tcPr>
            <w:tcW w:w="5904" w:type="dxa"/>
          </w:tcPr>
          <w:p w14:paraId="691AD57C" w14:textId="77777777" w:rsidR="006A0BDB" w:rsidRPr="00C75581" w:rsidRDefault="006A0BDB" w:rsidP="001D2CEB">
            <w:pPr>
              <w:rPr>
                <w:rFonts w:ascii="Arial" w:hAnsi="Arial" w:cs="Arial"/>
                <w:kern w:val="0"/>
              </w:rPr>
            </w:pPr>
            <w:r w:rsidRPr="00C75581">
              <w:rPr>
                <w:rFonts w:ascii="Arial" w:hAnsi="Arial" w:cs="Arial"/>
                <w:kern w:val="0"/>
                <w:u w:val="single"/>
              </w:rPr>
              <w:t>Issuance of Food Benefits</w:t>
            </w:r>
          </w:p>
        </w:tc>
        <w:tc>
          <w:tcPr>
            <w:tcW w:w="849" w:type="dxa"/>
          </w:tcPr>
          <w:p w14:paraId="457CD3DB"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60D8624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83F494F"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5EEC3DC7" w14:textId="77777777" w:rsidR="006A0BDB" w:rsidRPr="00C75581" w:rsidRDefault="006A0BDB" w:rsidP="001D2CEB">
            <w:pPr>
              <w:rPr>
                <w:rFonts w:ascii="Arial" w:hAnsi="Arial" w:cs="Arial"/>
                <w:kern w:val="0"/>
              </w:rPr>
            </w:pPr>
            <w:r w:rsidRPr="00C75581">
              <w:rPr>
                <w:rFonts w:ascii="Arial" w:hAnsi="Arial" w:cs="Arial"/>
                <w:kern w:val="0"/>
              </w:rPr>
              <w:t>.0702</w:t>
            </w:r>
            <w:r>
              <w:rPr>
                <w:rFonts w:ascii="Arial" w:hAnsi="Arial" w:cs="Arial"/>
                <w:kern w:val="0"/>
              </w:rPr>
              <w:t>*</w:t>
            </w:r>
          </w:p>
        </w:tc>
        <w:tc>
          <w:tcPr>
            <w:tcW w:w="1800" w:type="dxa"/>
          </w:tcPr>
          <w:p w14:paraId="280AF295"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5E1E455A" w14:textId="77777777" w:rsidTr="001D2CEB">
        <w:trPr>
          <w:tblCellSpacing w:w="14" w:type="dxa"/>
        </w:trPr>
        <w:tc>
          <w:tcPr>
            <w:tcW w:w="5904" w:type="dxa"/>
          </w:tcPr>
          <w:p w14:paraId="3E268D9A" w14:textId="77777777" w:rsidR="006A0BDB" w:rsidRPr="00C75581" w:rsidRDefault="006A0BDB" w:rsidP="001D2CEB">
            <w:pPr>
              <w:rPr>
                <w:rFonts w:ascii="Arial" w:hAnsi="Arial" w:cs="Arial"/>
                <w:kern w:val="0"/>
              </w:rPr>
            </w:pPr>
            <w:r w:rsidRPr="00C75581">
              <w:rPr>
                <w:rFonts w:ascii="Arial" w:hAnsi="Arial" w:cs="Arial"/>
                <w:kern w:val="0"/>
                <w:u w:val="single"/>
              </w:rPr>
              <w:t>Use of Food Benefits</w:t>
            </w:r>
          </w:p>
        </w:tc>
        <w:tc>
          <w:tcPr>
            <w:tcW w:w="849" w:type="dxa"/>
          </w:tcPr>
          <w:p w14:paraId="681314F3"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3F179D79"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800F3B7"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27927545" w14:textId="77777777" w:rsidR="006A0BDB" w:rsidRPr="00C75581" w:rsidRDefault="006A0BDB" w:rsidP="001D2CEB">
            <w:pPr>
              <w:rPr>
                <w:rFonts w:ascii="Arial" w:hAnsi="Arial" w:cs="Arial"/>
                <w:kern w:val="0"/>
              </w:rPr>
            </w:pPr>
            <w:r w:rsidRPr="00C75581">
              <w:rPr>
                <w:rFonts w:ascii="Arial" w:hAnsi="Arial" w:cs="Arial"/>
                <w:kern w:val="0"/>
              </w:rPr>
              <w:t>.0703</w:t>
            </w:r>
            <w:r>
              <w:rPr>
                <w:rFonts w:ascii="Arial" w:hAnsi="Arial" w:cs="Arial"/>
                <w:kern w:val="0"/>
              </w:rPr>
              <w:t>*</w:t>
            </w:r>
          </w:p>
        </w:tc>
        <w:tc>
          <w:tcPr>
            <w:tcW w:w="1800" w:type="dxa"/>
          </w:tcPr>
          <w:p w14:paraId="38A99DFA"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6000A142" w14:textId="77777777" w:rsidTr="001D2CEB">
        <w:trPr>
          <w:tblCellSpacing w:w="14" w:type="dxa"/>
        </w:trPr>
        <w:tc>
          <w:tcPr>
            <w:tcW w:w="5904" w:type="dxa"/>
          </w:tcPr>
          <w:p w14:paraId="4A577D1D" w14:textId="77777777" w:rsidR="006A0BDB" w:rsidRPr="00C75581" w:rsidRDefault="006A0BDB" w:rsidP="001D2CEB">
            <w:pPr>
              <w:rPr>
                <w:rFonts w:ascii="Arial" w:hAnsi="Arial" w:cs="Arial"/>
                <w:kern w:val="0"/>
              </w:rPr>
            </w:pPr>
            <w:r w:rsidRPr="00C75581">
              <w:rPr>
                <w:rFonts w:ascii="Arial" w:hAnsi="Arial" w:cs="Arial"/>
                <w:kern w:val="0"/>
                <w:u w:val="single"/>
              </w:rPr>
              <w:t>Validity of Food Instruments and Cash-Value Vouchers</w:t>
            </w:r>
          </w:p>
        </w:tc>
        <w:tc>
          <w:tcPr>
            <w:tcW w:w="849" w:type="dxa"/>
          </w:tcPr>
          <w:p w14:paraId="19679F33"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37531CF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A8A83AD"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7EEA3ED0" w14:textId="77777777" w:rsidR="006A0BDB" w:rsidRPr="00C75581" w:rsidRDefault="006A0BDB" w:rsidP="001D2CEB">
            <w:pPr>
              <w:rPr>
                <w:rFonts w:ascii="Arial" w:hAnsi="Arial" w:cs="Arial"/>
                <w:kern w:val="0"/>
              </w:rPr>
            </w:pPr>
            <w:r w:rsidRPr="00C75581">
              <w:rPr>
                <w:rFonts w:ascii="Arial" w:hAnsi="Arial" w:cs="Arial"/>
                <w:kern w:val="0"/>
              </w:rPr>
              <w:t>.0704</w:t>
            </w:r>
          </w:p>
        </w:tc>
        <w:tc>
          <w:tcPr>
            <w:tcW w:w="1800" w:type="dxa"/>
          </w:tcPr>
          <w:p w14:paraId="7B78AFE3"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243599BF" w14:textId="77777777" w:rsidTr="001D2CEB">
        <w:trPr>
          <w:tblCellSpacing w:w="14" w:type="dxa"/>
        </w:trPr>
        <w:tc>
          <w:tcPr>
            <w:tcW w:w="5904" w:type="dxa"/>
          </w:tcPr>
          <w:p w14:paraId="13373C51" w14:textId="77777777" w:rsidR="006A0BDB" w:rsidRPr="00C75581" w:rsidRDefault="006A0BDB" w:rsidP="001D2CEB">
            <w:pPr>
              <w:rPr>
                <w:rFonts w:ascii="Arial" w:hAnsi="Arial" w:cs="Arial"/>
                <w:kern w:val="0"/>
              </w:rPr>
            </w:pPr>
            <w:r w:rsidRPr="00C75581">
              <w:rPr>
                <w:rFonts w:ascii="Arial" w:hAnsi="Arial" w:cs="Arial"/>
                <w:kern w:val="0"/>
                <w:u w:val="single"/>
              </w:rPr>
              <w:t>Payment of WIC Food Benefits</w:t>
            </w:r>
          </w:p>
        </w:tc>
        <w:tc>
          <w:tcPr>
            <w:tcW w:w="849" w:type="dxa"/>
          </w:tcPr>
          <w:p w14:paraId="4911B303"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470D4DC9"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46DEDBC"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68463DB4" w14:textId="77777777" w:rsidR="006A0BDB" w:rsidRPr="00C75581" w:rsidRDefault="006A0BDB" w:rsidP="001D2CEB">
            <w:pPr>
              <w:rPr>
                <w:rFonts w:ascii="Arial" w:hAnsi="Arial" w:cs="Arial"/>
                <w:kern w:val="0"/>
              </w:rPr>
            </w:pPr>
            <w:r w:rsidRPr="00C75581">
              <w:rPr>
                <w:rFonts w:ascii="Arial" w:hAnsi="Arial" w:cs="Arial"/>
                <w:kern w:val="0"/>
              </w:rPr>
              <w:t>.0705</w:t>
            </w:r>
            <w:r>
              <w:rPr>
                <w:rFonts w:ascii="Arial" w:hAnsi="Arial" w:cs="Arial"/>
                <w:kern w:val="0"/>
              </w:rPr>
              <w:t>*</w:t>
            </w:r>
          </w:p>
        </w:tc>
        <w:tc>
          <w:tcPr>
            <w:tcW w:w="1800" w:type="dxa"/>
          </w:tcPr>
          <w:p w14:paraId="69BA1E9F"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5CE732BB" w14:textId="77777777" w:rsidTr="001D2CEB">
        <w:trPr>
          <w:tblCellSpacing w:w="14" w:type="dxa"/>
        </w:trPr>
        <w:tc>
          <w:tcPr>
            <w:tcW w:w="5904" w:type="dxa"/>
          </w:tcPr>
          <w:p w14:paraId="37580203" w14:textId="77777777" w:rsidR="006A0BDB" w:rsidRPr="00C75581" w:rsidRDefault="006A0BDB" w:rsidP="001D2CEB">
            <w:pPr>
              <w:rPr>
                <w:rFonts w:ascii="Arial" w:hAnsi="Arial" w:cs="Arial"/>
                <w:kern w:val="0"/>
              </w:rPr>
            </w:pPr>
            <w:r w:rsidRPr="00C75581">
              <w:rPr>
                <w:rFonts w:ascii="Arial" w:hAnsi="Arial" w:cs="Arial"/>
                <w:kern w:val="0"/>
                <w:u w:val="single"/>
              </w:rPr>
              <w:t>Vendor Peer Groups</w:t>
            </w:r>
          </w:p>
        </w:tc>
        <w:tc>
          <w:tcPr>
            <w:tcW w:w="849" w:type="dxa"/>
          </w:tcPr>
          <w:p w14:paraId="46520DD2"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4E91E3C"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E39C1AF"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58C820E7" w14:textId="77777777" w:rsidR="006A0BDB" w:rsidRPr="00C75581" w:rsidRDefault="006A0BDB" w:rsidP="001D2CEB">
            <w:pPr>
              <w:rPr>
                <w:rFonts w:ascii="Arial" w:hAnsi="Arial" w:cs="Arial"/>
                <w:kern w:val="0"/>
              </w:rPr>
            </w:pPr>
            <w:r w:rsidRPr="00C75581">
              <w:rPr>
                <w:rFonts w:ascii="Arial" w:hAnsi="Arial" w:cs="Arial"/>
                <w:kern w:val="0"/>
              </w:rPr>
              <w:t>.0706</w:t>
            </w:r>
            <w:r>
              <w:rPr>
                <w:rFonts w:ascii="Arial" w:hAnsi="Arial" w:cs="Arial"/>
                <w:kern w:val="0"/>
              </w:rPr>
              <w:t>*</w:t>
            </w:r>
          </w:p>
        </w:tc>
        <w:tc>
          <w:tcPr>
            <w:tcW w:w="1800" w:type="dxa"/>
          </w:tcPr>
          <w:p w14:paraId="10A31EF4"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673CE239" w14:textId="77777777" w:rsidTr="001D2CEB">
        <w:trPr>
          <w:tblCellSpacing w:w="14" w:type="dxa"/>
        </w:trPr>
        <w:tc>
          <w:tcPr>
            <w:tcW w:w="5904" w:type="dxa"/>
          </w:tcPr>
          <w:p w14:paraId="2C9223B3" w14:textId="77777777" w:rsidR="006A0BDB" w:rsidRPr="00C75581" w:rsidRDefault="006A0BDB" w:rsidP="001D2CEB">
            <w:pPr>
              <w:rPr>
                <w:rFonts w:ascii="Arial" w:hAnsi="Arial" w:cs="Arial"/>
                <w:kern w:val="0"/>
              </w:rPr>
            </w:pPr>
            <w:r w:rsidRPr="00C75581">
              <w:rPr>
                <w:rFonts w:ascii="Arial" w:hAnsi="Arial" w:cs="Arial"/>
                <w:kern w:val="0"/>
                <w:u w:val="single"/>
              </w:rPr>
              <w:t>Vendor Applicants</w:t>
            </w:r>
          </w:p>
        </w:tc>
        <w:tc>
          <w:tcPr>
            <w:tcW w:w="849" w:type="dxa"/>
          </w:tcPr>
          <w:p w14:paraId="7D7055DA"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599A8581"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180082B4"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66A2E8E3" w14:textId="77777777" w:rsidR="006A0BDB" w:rsidRPr="00C75581" w:rsidRDefault="006A0BDB" w:rsidP="001D2CEB">
            <w:pPr>
              <w:rPr>
                <w:rFonts w:ascii="Arial" w:hAnsi="Arial" w:cs="Arial"/>
                <w:kern w:val="0"/>
              </w:rPr>
            </w:pPr>
            <w:r w:rsidRPr="00C75581">
              <w:rPr>
                <w:rFonts w:ascii="Arial" w:hAnsi="Arial" w:cs="Arial"/>
                <w:kern w:val="0"/>
              </w:rPr>
              <w:t>.0707</w:t>
            </w:r>
            <w:r>
              <w:rPr>
                <w:rFonts w:ascii="Arial" w:hAnsi="Arial" w:cs="Arial"/>
                <w:kern w:val="0"/>
              </w:rPr>
              <w:t>*</w:t>
            </w:r>
          </w:p>
        </w:tc>
        <w:tc>
          <w:tcPr>
            <w:tcW w:w="1800" w:type="dxa"/>
          </w:tcPr>
          <w:p w14:paraId="12CD40D5"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4CF5700F" w14:textId="77777777" w:rsidTr="001D2CEB">
        <w:trPr>
          <w:tblCellSpacing w:w="14" w:type="dxa"/>
        </w:trPr>
        <w:tc>
          <w:tcPr>
            <w:tcW w:w="5904" w:type="dxa"/>
          </w:tcPr>
          <w:p w14:paraId="25BFA36A" w14:textId="77777777" w:rsidR="006A0BDB" w:rsidRPr="00C75581" w:rsidRDefault="006A0BDB" w:rsidP="001D2CEB">
            <w:pPr>
              <w:rPr>
                <w:rFonts w:ascii="Arial" w:hAnsi="Arial" w:cs="Arial"/>
                <w:kern w:val="0"/>
              </w:rPr>
            </w:pPr>
            <w:r w:rsidRPr="00C75581">
              <w:rPr>
                <w:rFonts w:ascii="Arial" w:hAnsi="Arial" w:cs="Arial"/>
                <w:kern w:val="0"/>
                <w:u w:val="single"/>
              </w:rPr>
              <w:t>Authorized Vendors</w:t>
            </w:r>
          </w:p>
        </w:tc>
        <w:tc>
          <w:tcPr>
            <w:tcW w:w="849" w:type="dxa"/>
          </w:tcPr>
          <w:p w14:paraId="43ECD2E7"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6F63C70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1D63818"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7232DC8A" w14:textId="77777777" w:rsidR="006A0BDB" w:rsidRPr="00C75581" w:rsidRDefault="006A0BDB" w:rsidP="001D2CEB">
            <w:pPr>
              <w:rPr>
                <w:rFonts w:ascii="Arial" w:hAnsi="Arial" w:cs="Arial"/>
                <w:kern w:val="0"/>
              </w:rPr>
            </w:pPr>
            <w:r w:rsidRPr="00C75581">
              <w:rPr>
                <w:rFonts w:ascii="Arial" w:hAnsi="Arial" w:cs="Arial"/>
                <w:kern w:val="0"/>
              </w:rPr>
              <w:t>.0708</w:t>
            </w:r>
            <w:r>
              <w:rPr>
                <w:rFonts w:ascii="Arial" w:hAnsi="Arial" w:cs="Arial"/>
                <w:kern w:val="0"/>
              </w:rPr>
              <w:t>*</w:t>
            </w:r>
          </w:p>
        </w:tc>
        <w:tc>
          <w:tcPr>
            <w:tcW w:w="1800" w:type="dxa"/>
          </w:tcPr>
          <w:p w14:paraId="24438296"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4A6507F7" w14:textId="77777777" w:rsidTr="001D2CEB">
        <w:trPr>
          <w:tblCellSpacing w:w="14" w:type="dxa"/>
        </w:trPr>
        <w:tc>
          <w:tcPr>
            <w:tcW w:w="5904" w:type="dxa"/>
          </w:tcPr>
          <w:p w14:paraId="7ED8D8CB" w14:textId="77777777" w:rsidR="006A0BDB" w:rsidRPr="00C75581" w:rsidRDefault="006A0BDB" w:rsidP="001D2CEB">
            <w:pPr>
              <w:rPr>
                <w:rFonts w:ascii="Arial" w:hAnsi="Arial" w:cs="Arial"/>
                <w:kern w:val="0"/>
              </w:rPr>
            </w:pPr>
            <w:r w:rsidRPr="00C75581">
              <w:rPr>
                <w:rFonts w:ascii="Arial" w:hAnsi="Arial" w:cs="Arial"/>
                <w:kern w:val="0"/>
                <w:u w:val="single"/>
              </w:rPr>
              <w:t>Vendor Violations and Sanctions</w:t>
            </w:r>
          </w:p>
        </w:tc>
        <w:tc>
          <w:tcPr>
            <w:tcW w:w="849" w:type="dxa"/>
          </w:tcPr>
          <w:p w14:paraId="6001F2C8"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45CBD96B"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860B3E4"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70E1F962" w14:textId="77777777" w:rsidR="006A0BDB" w:rsidRPr="00C75581" w:rsidRDefault="006A0BDB" w:rsidP="001D2CEB">
            <w:pPr>
              <w:rPr>
                <w:rFonts w:ascii="Arial" w:hAnsi="Arial" w:cs="Arial"/>
                <w:kern w:val="0"/>
              </w:rPr>
            </w:pPr>
            <w:r w:rsidRPr="00C75581">
              <w:rPr>
                <w:rFonts w:ascii="Arial" w:hAnsi="Arial" w:cs="Arial"/>
                <w:kern w:val="0"/>
              </w:rPr>
              <w:t>.0710</w:t>
            </w:r>
            <w:r>
              <w:rPr>
                <w:rFonts w:ascii="Arial" w:hAnsi="Arial" w:cs="Arial"/>
                <w:kern w:val="0"/>
              </w:rPr>
              <w:t>*</w:t>
            </w:r>
          </w:p>
        </w:tc>
        <w:tc>
          <w:tcPr>
            <w:tcW w:w="1800" w:type="dxa"/>
          </w:tcPr>
          <w:p w14:paraId="2829105A"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3FAAC4C2" w14:textId="77777777" w:rsidTr="001D2CEB">
        <w:trPr>
          <w:tblCellSpacing w:w="14" w:type="dxa"/>
        </w:trPr>
        <w:tc>
          <w:tcPr>
            <w:tcW w:w="5904" w:type="dxa"/>
          </w:tcPr>
          <w:p w14:paraId="20EF5C35" w14:textId="77777777" w:rsidR="006A0BDB" w:rsidRPr="00C75581" w:rsidRDefault="006A0BDB" w:rsidP="001D2CEB">
            <w:pPr>
              <w:rPr>
                <w:rFonts w:ascii="Arial" w:hAnsi="Arial" w:cs="Arial"/>
                <w:kern w:val="0"/>
              </w:rPr>
            </w:pPr>
            <w:r w:rsidRPr="00C75581">
              <w:rPr>
                <w:rFonts w:ascii="Arial" w:hAnsi="Arial" w:cs="Arial"/>
                <w:kern w:val="0"/>
                <w:u w:val="single"/>
              </w:rPr>
              <w:t>Notice of Hearing</w:t>
            </w:r>
          </w:p>
        </w:tc>
        <w:tc>
          <w:tcPr>
            <w:tcW w:w="849" w:type="dxa"/>
          </w:tcPr>
          <w:p w14:paraId="19B1300D" w14:textId="77777777" w:rsidR="006A0BDB" w:rsidRPr="00C75581" w:rsidRDefault="006A0BDB" w:rsidP="001D2CEB">
            <w:pPr>
              <w:jc w:val="right"/>
              <w:rPr>
                <w:rFonts w:ascii="Arial" w:hAnsi="Arial" w:cs="Arial"/>
                <w:kern w:val="0"/>
              </w:rPr>
            </w:pPr>
            <w:r w:rsidRPr="00C75581">
              <w:rPr>
                <w:rFonts w:ascii="Arial" w:hAnsi="Arial" w:cs="Arial"/>
                <w:kern w:val="0"/>
              </w:rPr>
              <w:t>10A</w:t>
            </w:r>
          </w:p>
        </w:tc>
        <w:tc>
          <w:tcPr>
            <w:tcW w:w="633" w:type="dxa"/>
          </w:tcPr>
          <w:p w14:paraId="3D8D318C"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CB2A4FE" w14:textId="77777777" w:rsidR="006A0BDB" w:rsidRPr="00C75581" w:rsidRDefault="006A0BDB" w:rsidP="001D2CEB">
            <w:pPr>
              <w:rPr>
                <w:rFonts w:ascii="Arial" w:hAnsi="Arial" w:cs="Arial"/>
                <w:kern w:val="0"/>
              </w:rPr>
            </w:pPr>
            <w:r w:rsidRPr="00C75581">
              <w:rPr>
                <w:rFonts w:ascii="Arial" w:hAnsi="Arial" w:cs="Arial"/>
                <w:kern w:val="0"/>
              </w:rPr>
              <w:t>43D</w:t>
            </w:r>
          </w:p>
        </w:tc>
        <w:tc>
          <w:tcPr>
            <w:tcW w:w="1152" w:type="dxa"/>
          </w:tcPr>
          <w:p w14:paraId="1C709C03" w14:textId="77777777" w:rsidR="006A0BDB" w:rsidRPr="00C75581" w:rsidRDefault="006A0BDB" w:rsidP="001D2CEB">
            <w:pPr>
              <w:rPr>
                <w:rFonts w:ascii="Arial" w:hAnsi="Arial" w:cs="Arial"/>
                <w:kern w:val="0"/>
              </w:rPr>
            </w:pPr>
            <w:r w:rsidRPr="00C75581">
              <w:rPr>
                <w:rFonts w:ascii="Arial" w:hAnsi="Arial" w:cs="Arial"/>
                <w:kern w:val="0"/>
              </w:rPr>
              <w:t>.0908</w:t>
            </w:r>
            <w:r>
              <w:rPr>
                <w:rFonts w:ascii="Arial" w:hAnsi="Arial" w:cs="Arial"/>
                <w:kern w:val="0"/>
              </w:rPr>
              <w:t>*</w:t>
            </w:r>
          </w:p>
        </w:tc>
        <w:tc>
          <w:tcPr>
            <w:tcW w:w="1800" w:type="dxa"/>
          </w:tcPr>
          <w:p w14:paraId="271DDCC2" w14:textId="77777777" w:rsidR="006A0BDB" w:rsidRPr="00C75581" w:rsidRDefault="006A0BDB" w:rsidP="001D2CEB">
            <w:pPr>
              <w:rPr>
                <w:rFonts w:ascii="Arial" w:hAnsi="Arial" w:cs="Arial"/>
                <w:kern w:val="0"/>
              </w:rPr>
            </w:pPr>
            <w:r>
              <w:rPr>
                <w:rFonts w:ascii="Arial" w:hAnsi="Arial" w:cs="Arial"/>
                <w:kern w:val="0"/>
              </w:rPr>
              <w:t>34:05 NCR</w:t>
            </w:r>
          </w:p>
        </w:tc>
      </w:tr>
      <w:tr w:rsidR="006A0BDB" w:rsidRPr="00C75581" w14:paraId="00513C03" w14:textId="77777777" w:rsidTr="001D2CEB">
        <w:trPr>
          <w:tblCellSpacing w:w="14" w:type="dxa"/>
        </w:trPr>
        <w:tc>
          <w:tcPr>
            <w:tcW w:w="10924" w:type="dxa"/>
            <w:gridSpan w:val="6"/>
          </w:tcPr>
          <w:p w14:paraId="154B2EDB"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Alcoholic Beverage Control Commission</w:t>
            </w:r>
          </w:p>
        </w:tc>
      </w:tr>
      <w:tr w:rsidR="006A0BDB" w:rsidRPr="00C75581" w14:paraId="2FBF1AFE" w14:textId="77777777" w:rsidTr="001D2CEB">
        <w:trPr>
          <w:tblCellSpacing w:w="14" w:type="dxa"/>
        </w:trPr>
        <w:tc>
          <w:tcPr>
            <w:tcW w:w="5904" w:type="dxa"/>
          </w:tcPr>
          <w:p w14:paraId="4777F843" w14:textId="77777777" w:rsidR="006A0BDB" w:rsidRPr="00C75581" w:rsidRDefault="006A0BDB" w:rsidP="001D2CEB">
            <w:pPr>
              <w:rPr>
                <w:rFonts w:ascii="Arial" w:hAnsi="Arial" w:cs="Arial"/>
                <w:kern w:val="0"/>
              </w:rPr>
            </w:pPr>
            <w:r w:rsidRPr="00C75581">
              <w:rPr>
                <w:rFonts w:ascii="Arial" w:hAnsi="Arial" w:cs="Arial"/>
                <w:kern w:val="0"/>
                <w:u w:val="single"/>
              </w:rPr>
              <w:t>Payment</w:t>
            </w:r>
          </w:p>
        </w:tc>
        <w:tc>
          <w:tcPr>
            <w:tcW w:w="849" w:type="dxa"/>
          </w:tcPr>
          <w:p w14:paraId="607BEC85" w14:textId="77777777" w:rsidR="006A0BDB" w:rsidRPr="00C75581" w:rsidRDefault="006A0BDB" w:rsidP="001D2CEB">
            <w:pPr>
              <w:jc w:val="right"/>
              <w:rPr>
                <w:rFonts w:ascii="Arial" w:hAnsi="Arial" w:cs="Arial"/>
                <w:kern w:val="0"/>
              </w:rPr>
            </w:pPr>
            <w:r w:rsidRPr="00C75581">
              <w:rPr>
                <w:rFonts w:ascii="Arial" w:hAnsi="Arial" w:cs="Arial"/>
                <w:kern w:val="0"/>
              </w:rPr>
              <w:t>14B</w:t>
            </w:r>
          </w:p>
        </w:tc>
        <w:tc>
          <w:tcPr>
            <w:tcW w:w="633" w:type="dxa"/>
          </w:tcPr>
          <w:p w14:paraId="0D2D8BCD"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758F704" w14:textId="77777777" w:rsidR="006A0BDB" w:rsidRPr="00C75581" w:rsidRDefault="006A0BDB" w:rsidP="001D2CEB">
            <w:pPr>
              <w:rPr>
                <w:rFonts w:ascii="Arial" w:hAnsi="Arial" w:cs="Arial"/>
                <w:kern w:val="0"/>
              </w:rPr>
            </w:pPr>
            <w:r w:rsidRPr="00C75581">
              <w:rPr>
                <w:rFonts w:ascii="Arial" w:hAnsi="Arial" w:cs="Arial"/>
                <w:kern w:val="0"/>
              </w:rPr>
              <w:t>15A</w:t>
            </w:r>
          </w:p>
        </w:tc>
        <w:tc>
          <w:tcPr>
            <w:tcW w:w="1152" w:type="dxa"/>
          </w:tcPr>
          <w:p w14:paraId="1B090921" w14:textId="77777777" w:rsidR="006A0BDB" w:rsidRPr="00C75581" w:rsidRDefault="006A0BDB" w:rsidP="001D2CEB">
            <w:pPr>
              <w:rPr>
                <w:rFonts w:ascii="Arial" w:hAnsi="Arial" w:cs="Arial"/>
                <w:kern w:val="0"/>
              </w:rPr>
            </w:pPr>
            <w:r w:rsidRPr="00C75581">
              <w:rPr>
                <w:rFonts w:ascii="Arial" w:hAnsi="Arial" w:cs="Arial"/>
                <w:kern w:val="0"/>
              </w:rPr>
              <w:t>.1406</w:t>
            </w:r>
            <w:r>
              <w:rPr>
                <w:rFonts w:ascii="Arial" w:hAnsi="Arial" w:cs="Arial"/>
                <w:kern w:val="0"/>
              </w:rPr>
              <w:t>*</w:t>
            </w:r>
          </w:p>
        </w:tc>
        <w:tc>
          <w:tcPr>
            <w:tcW w:w="1800" w:type="dxa"/>
          </w:tcPr>
          <w:p w14:paraId="44B00510" w14:textId="77777777" w:rsidR="006A0BDB" w:rsidRPr="00C75581" w:rsidRDefault="006A0BDB" w:rsidP="001D2CEB">
            <w:pPr>
              <w:rPr>
                <w:rFonts w:ascii="Arial" w:hAnsi="Arial" w:cs="Arial"/>
                <w:kern w:val="0"/>
              </w:rPr>
            </w:pPr>
            <w:r>
              <w:rPr>
                <w:rFonts w:ascii="Arial" w:hAnsi="Arial" w:cs="Arial"/>
                <w:kern w:val="0"/>
              </w:rPr>
              <w:t>34:02 NCR</w:t>
            </w:r>
          </w:p>
        </w:tc>
      </w:tr>
      <w:tr w:rsidR="006A0BDB" w:rsidRPr="00C75581" w14:paraId="03B1FFE9" w14:textId="77777777" w:rsidTr="001D2CEB">
        <w:trPr>
          <w:tblCellSpacing w:w="14" w:type="dxa"/>
        </w:trPr>
        <w:tc>
          <w:tcPr>
            <w:tcW w:w="10924" w:type="dxa"/>
            <w:gridSpan w:val="6"/>
          </w:tcPr>
          <w:p w14:paraId="517B567E"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lastRenderedPageBreak/>
              <w:t>Environmental Management Commission</w:t>
            </w:r>
          </w:p>
        </w:tc>
      </w:tr>
      <w:tr w:rsidR="006A0BDB" w:rsidRPr="00C75581" w14:paraId="2835D7D4" w14:textId="77777777" w:rsidTr="001D2CEB">
        <w:trPr>
          <w:tblCellSpacing w:w="14" w:type="dxa"/>
        </w:trPr>
        <w:tc>
          <w:tcPr>
            <w:tcW w:w="5904" w:type="dxa"/>
          </w:tcPr>
          <w:p w14:paraId="5EB342D8" w14:textId="77777777" w:rsidR="006A0BDB" w:rsidRPr="00C75581" w:rsidRDefault="006A0BDB" w:rsidP="001D2CEB">
            <w:pPr>
              <w:rPr>
                <w:rFonts w:ascii="Arial" w:hAnsi="Arial" w:cs="Arial"/>
                <w:kern w:val="0"/>
              </w:rPr>
            </w:pPr>
            <w:r w:rsidRPr="00C75581">
              <w:rPr>
                <w:rFonts w:ascii="Arial" w:hAnsi="Arial" w:cs="Arial"/>
                <w:kern w:val="0"/>
                <w:u w:val="single"/>
              </w:rPr>
              <w:t>Neuse River Basin-Nutrient Sensitive Waters Management St...</w:t>
            </w:r>
          </w:p>
        </w:tc>
        <w:tc>
          <w:tcPr>
            <w:tcW w:w="849" w:type="dxa"/>
          </w:tcPr>
          <w:p w14:paraId="1E1830F6"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211B14B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6F5EDDF"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43B34B7E" w14:textId="77777777" w:rsidR="006A0BDB" w:rsidRPr="00C75581" w:rsidRDefault="006A0BDB" w:rsidP="001D2CEB">
            <w:pPr>
              <w:rPr>
                <w:rFonts w:ascii="Arial" w:hAnsi="Arial" w:cs="Arial"/>
                <w:kern w:val="0"/>
              </w:rPr>
            </w:pPr>
            <w:r w:rsidRPr="00C75581">
              <w:rPr>
                <w:rFonts w:ascii="Arial" w:hAnsi="Arial" w:cs="Arial"/>
                <w:kern w:val="0"/>
              </w:rPr>
              <w:t>.0236</w:t>
            </w:r>
          </w:p>
        </w:tc>
        <w:tc>
          <w:tcPr>
            <w:tcW w:w="1800" w:type="dxa"/>
          </w:tcPr>
          <w:p w14:paraId="5064058D"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60EFE7A5" w14:textId="77777777" w:rsidTr="001D2CEB">
        <w:trPr>
          <w:tblCellSpacing w:w="14" w:type="dxa"/>
        </w:trPr>
        <w:tc>
          <w:tcPr>
            <w:tcW w:w="5904" w:type="dxa"/>
          </w:tcPr>
          <w:p w14:paraId="34A59F2E" w14:textId="77777777" w:rsidR="006A0BDB" w:rsidRPr="00C75581" w:rsidRDefault="006A0BDB" w:rsidP="001D2CEB">
            <w:pPr>
              <w:rPr>
                <w:rFonts w:ascii="Arial" w:hAnsi="Arial" w:cs="Arial"/>
                <w:kern w:val="0"/>
              </w:rPr>
            </w:pPr>
            <w:r w:rsidRPr="00C75581">
              <w:rPr>
                <w:rFonts w:ascii="Arial" w:hAnsi="Arial" w:cs="Arial"/>
                <w:kern w:val="0"/>
                <w:u w:val="single"/>
              </w:rPr>
              <w:t>Best Management Practice Cost-Effectiveness Rate</w:t>
            </w:r>
          </w:p>
        </w:tc>
        <w:tc>
          <w:tcPr>
            <w:tcW w:w="849" w:type="dxa"/>
          </w:tcPr>
          <w:p w14:paraId="50D88645"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1DA3E7C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3FE6CB2"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429CA821" w14:textId="77777777" w:rsidR="006A0BDB" w:rsidRPr="00C75581" w:rsidRDefault="006A0BDB" w:rsidP="001D2CEB">
            <w:pPr>
              <w:rPr>
                <w:rFonts w:ascii="Arial" w:hAnsi="Arial" w:cs="Arial"/>
                <w:kern w:val="0"/>
              </w:rPr>
            </w:pPr>
            <w:r w:rsidRPr="00C75581">
              <w:rPr>
                <w:rFonts w:ascii="Arial" w:hAnsi="Arial" w:cs="Arial"/>
                <w:kern w:val="0"/>
              </w:rPr>
              <w:t>.0237</w:t>
            </w:r>
          </w:p>
        </w:tc>
        <w:tc>
          <w:tcPr>
            <w:tcW w:w="1800" w:type="dxa"/>
          </w:tcPr>
          <w:p w14:paraId="0EEACE10"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75D895B0" w14:textId="77777777" w:rsidTr="001D2CEB">
        <w:trPr>
          <w:tblCellSpacing w:w="14" w:type="dxa"/>
        </w:trPr>
        <w:tc>
          <w:tcPr>
            <w:tcW w:w="5904" w:type="dxa"/>
          </w:tcPr>
          <w:p w14:paraId="6E9688BE" w14:textId="77777777" w:rsidR="006A0BDB" w:rsidRPr="00C75581" w:rsidRDefault="006A0BDB" w:rsidP="001D2CEB">
            <w:pPr>
              <w:rPr>
                <w:rFonts w:ascii="Arial" w:hAnsi="Arial" w:cs="Arial"/>
                <w:kern w:val="0"/>
              </w:rPr>
            </w:pPr>
            <w:r w:rsidRPr="00C75581">
              <w:rPr>
                <w:rFonts w:ascii="Arial" w:hAnsi="Arial" w:cs="Arial"/>
                <w:kern w:val="0"/>
                <w:u w:val="single"/>
              </w:rPr>
              <w:t>Neuse River Basin: Nutrient Sensitive Waters Management S...</w:t>
            </w:r>
          </w:p>
        </w:tc>
        <w:tc>
          <w:tcPr>
            <w:tcW w:w="849" w:type="dxa"/>
          </w:tcPr>
          <w:p w14:paraId="2008DF21"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0F64C371"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7AA8059"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530A95F2" w14:textId="77777777" w:rsidR="006A0BDB" w:rsidRPr="00C75581" w:rsidRDefault="006A0BDB" w:rsidP="001D2CEB">
            <w:pPr>
              <w:rPr>
                <w:rFonts w:ascii="Arial" w:hAnsi="Arial" w:cs="Arial"/>
                <w:kern w:val="0"/>
              </w:rPr>
            </w:pPr>
            <w:r w:rsidRPr="00C75581">
              <w:rPr>
                <w:rFonts w:ascii="Arial" w:hAnsi="Arial" w:cs="Arial"/>
                <w:kern w:val="0"/>
              </w:rPr>
              <w:t>.0239</w:t>
            </w:r>
          </w:p>
        </w:tc>
        <w:tc>
          <w:tcPr>
            <w:tcW w:w="1800" w:type="dxa"/>
          </w:tcPr>
          <w:p w14:paraId="582746EB"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1C1F71A8" w14:textId="77777777" w:rsidTr="001D2CEB">
        <w:trPr>
          <w:tblCellSpacing w:w="14" w:type="dxa"/>
        </w:trPr>
        <w:tc>
          <w:tcPr>
            <w:tcW w:w="5904" w:type="dxa"/>
          </w:tcPr>
          <w:p w14:paraId="10F3657F" w14:textId="77777777" w:rsidR="006A0BDB" w:rsidRPr="00C75581" w:rsidRDefault="006A0BDB" w:rsidP="001D2CEB">
            <w:pPr>
              <w:rPr>
                <w:rFonts w:ascii="Arial" w:hAnsi="Arial" w:cs="Arial"/>
                <w:kern w:val="0"/>
              </w:rPr>
            </w:pPr>
            <w:r w:rsidRPr="00C75581">
              <w:rPr>
                <w:rFonts w:ascii="Arial" w:hAnsi="Arial" w:cs="Arial"/>
                <w:kern w:val="0"/>
                <w:u w:val="single"/>
              </w:rPr>
              <w:t>Tar-Pamlico River Basin-Nutrient Sensitive Waters Managem...</w:t>
            </w:r>
          </w:p>
        </w:tc>
        <w:tc>
          <w:tcPr>
            <w:tcW w:w="849" w:type="dxa"/>
          </w:tcPr>
          <w:p w14:paraId="6489639F"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05BFA43B"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40C1A44"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7F586A55" w14:textId="77777777" w:rsidR="006A0BDB" w:rsidRPr="00C75581" w:rsidRDefault="006A0BDB" w:rsidP="001D2CEB">
            <w:pPr>
              <w:rPr>
                <w:rFonts w:ascii="Arial" w:hAnsi="Arial" w:cs="Arial"/>
                <w:kern w:val="0"/>
              </w:rPr>
            </w:pPr>
            <w:r w:rsidRPr="00C75581">
              <w:rPr>
                <w:rFonts w:ascii="Arial" w:hAnsi="Arial" w:cs="Arial"/>
                <w:kern w:val="0"/>
              </w:rPr>
              <w:t>.0255</w:t>
            </w:r>
          </w:p>
        </w:tc>
        <w:tc>
          <w:tcPr>
            <w:tcW w:w="1800" w:type="dxa"/>
          </w:tcPr>
          <w:p w14:paraId="7DF43197"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6541B0D6" w14:textId="77777777" w:rsidTr="001D2CEB">
        <w:trPr>
          <w:tblCellSpacing w:w="14" w:type="dxa"/>
        </w:trPr>
        <w:tc>
          <w:tcPr>
            <w:tcW w:w="5904" w:type="dxa"/>
          </w:tcPr>
          <w:p w14:paraId="7D5800FC" w14:textId="77777777" w:rsidR="006A0BDB" w:rsidRPr="00C75581" w:rsidRDefault="006A0BDB" w:rsidP="001D2CEB">
            <w:pPr>
              <w:rPr>
                <w:rFonts w:ascii="Arial" w:hAnsi="Arial" w:cs="Arial"/>
                <w:kern w:val="0"/>
              </w:rPr>
            </w:pPr>
            <w:r w:rsidRPr="00C75581">
              <w:rPr>
                <w:rFonts w:ascii="Arial" w:hAnsi="Arial" w:cs="Arial"/>
                <w:kern w:val="0"/>
                <w:u w:val="single"/>
              </w:rPr>
              <w:t>Tar-Pamlico River Basin-Nutrient Sensitive Waters Managem...</w:t>
            </w:r>
          </w:p>
        </w:tc>
        <w:tc>
          <w:tcPr>
            <w:tcW w:w="849" w:type="dxa"/>
          </w:tcPr>
          <w:p w14:paraId="342AC446"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67B88DAA"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E1FA39A"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0ED4138E" w14:textId="77777777" w:rsidR="006A0BDB" w:rsidRPr="00C75581" w:rsidRDefault="006A0BDB" w:rsidP="001D2CEB">
            <w:pPr>
              <w:rPr>
                <w:rFonts w:ascii="Arial" w:hAnsi="Arial" w:cs="Arial"/>
                <w:kern w:val="0"/>
              </w:rPr>
            </w:pPr>
            <w:r w:rsidRPr="00C75581">
              <w:rPr>
                <w:rFonts w:ascii="Arial" w:hAnsi="Arial" w:cs="Arial"/>
                <w:kern w:val="0"/>
              </w:rPr>
              <w:t>.0257</w:t>
            </w:r>
          </w:p>
        </w:tc>
        <w:tc>
          <w:tcPr>
            <w:tcW w:w="1800" w:type="dxa"/>
          </w:tcPr>
          <w:p w14:paraId="78FEE26F"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14D5FDD6" w14:textId="77777777" w:rsidTr="001D2CEB">
        <w:trPr>
          <w:tblCellSpacing w:w="14" w:type="dxa"/>
        </w:trPr>
        <w:tc>
          <w:tcPr>
            <w:tcW w:w="5904" w:type="dxa"/>
          </w:tcPr>
          <w:p w14:paraId="2429ECF7" w14:textId="77777777" w:rsidR="006A0BDB" w:rsidRPr="00C75581" w:rsidRDefault="006A0BDB" w:rsidP="001D2CEB">
            <w:pPr>
              <w:rPr>
                <w:rFonts w:ascii="Arial" w:hAnsi="Arial" w:cs="Arial"/>
                <w:kern w:val="0"/>
              </w:rPr>
            </w:pPr>
            <w:r w:rsidRPr="00C75581">
              <w:rPr>
                <w:rFonts w:ascii="Arial" w:hAnsi="Arial" w:cs="Arial"/>
                <w:kern w:val="0"/>
                <w:u w:val="single"/>
              </w:rPr>
              <w:t>Nutrient Strategies Definitions</w:t>
            </w:r>
          </w:p>
        </w:tc>
        <w:tc>
          <w:tcPr>
            <w:tcW w:w="849" w:type="dxa"/>
          </w:tcPr>
          <w:p w14:paraId="777496CB"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4EC9EC7F"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3829CA1" w14:textId="77777777" w:rsidR="006A0BDB" w:rsidRPr="00C75581" w:rsidRDefault="006A0BDB" w:rsidP="001D2CEB">
            <w:pPr>
              <w:rPr>
                <w:rFonts w:ascii="Arial" w:hAnsi="Arial" w:cs="Arial"/>
                <w:kern w:val="0"/>
              </w:rPr>
            </w:pPr>
            <w:r w:rsidRPr="00C75581">
              <w:rPr>
                <w:rFonts w:ascii="Arial" w:hAnsi="Arial" w:cs="Arial"/>
                <w:kern w:val="0"/>
              </w:rPr>
              <w:t>02B</w:t>
            </w:r>
          </w:p>
        </w:tc>
        <w:tc>
          <w:tcPr>
            <w:tcW w:w="1152" w:type="dxa"/>
          </w:tcPr>
          <w:p w14:paraId="34BF93D2" w14:textId="77777777" w:rsidR="006A0BDB" w:rsidRPr="00C75581" w:rsidRDefault="006A0BDB" w:rsidP="001D2CEB">
            <w:pPr>
              <w:rPr>
                <w:rFonts w:ascii="Arial" w:hAnsi="Arial" w:cs="Arial"/>
                <w:kern w:val="0"/>
              </w:rPr>
            </w:pPr>
            <w:r w:rsidRPr="00C75581">
              <w:rPr>
                <w:rFonts w:ascii="Arial" w:hAnsi="Arial" w:cs="Arial"/>
                <w:kern w:val="0"/>
              </w:rPr>
              <w:t>.0701</w:t>
            </w:r>
            <w:r>
              <w:rPr>
                <w:rFonts w:ascii="Arial" w:hAnsi="Arial" w:cs="Arial"/>
                <w:kern w:val="0"/>
              </w:rPr>
              <w:t>*</w:t>
            </w:r>
          </w:p>
        </w:tc>
        <w:tc>
          <w:tcPr>
            <w:tcW w:w="1800" w:type="dxa"/>
          </w:tcPr>
          <w:p w14:paraId="3496B622" w14:textId="77777777" w:rsidR="006A0BDB" w:rsidRPr="00C75581" w:rsidRDefault="006A0BDB" w:rsidP="001D2CEB">
            <w:pPr>
              <w:rPr>
                <w:rFonts w:ascii="Arial" w:hAnsi="Arial" w:cs="Arial"/>
                <w:kern w:val="0"/>
              </w:rPr>
            </w:pPr>
            <w:r>
              <w:rPr>
                <w:rFonts w:ascii="Arial" w:hAnsi="Arial" w:cs="Arial"/>
                <w:kern w:val="0"/>
              </w:rPr>
              <w:t>33:16 NCR</w:t>
            </w:r>
          </w:p>
        </w:tc>
      </w:tr>
      <w:tr w:rsidR="006A0BDB" w:rsidRPr="00C75581" w14:paraId="168AF60D" w14:textId="77777777" w:rsidTr="001D2CEB">
        <w:trPr>
          <w:tblCellSpacing w:w="14" w:type="dxa"/>
        </w:trPr>
        <w:tc>
          <w:tcPr>
            <w:tcW w:w="5904" w:type="dxa"/>
          </w:tcPr>
          <w:p w14:paraId="7077B928" w14:textId="77777777" w:rsidR="006A0BDB" w:rsidRPr="00C75581" w:rsidRDefault="006A0BDB" w:rsidP="001D2CEB">
            <w:pPr>
              <w:rPr>
                <w:rFonts w:ascii="Arial" w:hAnsi="Arial" w:cs="Arial"/>
                <w:kern w:val="0"/>
              </w:rPr>
            </w:pPr>
            <w:r w:rsidRPr="00C75581">
              <w:rPr>
                <w:rFonts w:ascii="Arial" w:hAnsi="Arial" w:cs="Arial"/>
                <w:kern w:val="0"/>
                <w:u w:val="single"/>
              </w:rPr>
              <w:t>Neuse Nutrient Strategy: Purpose and Scope</w:t>
            </w:r>
          </w:p>
        </w:tc>
        <w:tc>
          <w:tcPr>
            <w:tcW w:w="849" w:type="dxa"/>
          </w:tcPr>
          <w:p w14:paraId="3C071922"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775C12E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24D204D"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03DCE672" w14:textId="77777777" w:rsidR="006A0BDB" w:rsidRPr="00F5227D" w:rsidRDefault="006A0BDB" w:rsidP="001D2CEB">
            <w:pPr>
              <w:rPr>
                <w:rFonts w:ascii="Arial" w:hAnsi="Arial" w:cs="Arial"/>
                <w:kern w:val="0"/>
              </w:rPr>
            </w:pPr>
            <w:r w:rsidRPr="00F5227D">
              <w:rPr>
                <w:rFonts w:ascii="Arial" w:hAnsi="Arial" w:cs="Arial"/>
                <w:kern w:val="0"/>
              </w:rPr>
              <w:t>.0710*</w:t>
            </w:r>
          </w:p>
        </w:tc>
        <w:tc>
          <w:tcPr>
            <w:tcW w:w="1800" w:type="dxa"/>
          </w:tcPr>
          <w:p w14:paraId="4C8146EE"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4298BE73" w14:textId="77777777" w:rsidTr="001D2CEB">
        <w:trPr>
          <w:tblCellSpacing w:w="14" w:type="dxa"/>
        </w:trPr>
        <w:tc>
          <w:tcPr>
            <w:tcW w:w="5904" w:type="dxa"/>
          </w:tcPr>
          <w:p w14:paraId="6C0DFF2D" w14:textId="77777777" w:rsidR="006A0BDB" w:rsidRPr="00C75581" w:rsidRDefault="006A0BDB" w:rsidP="001D2CEB">
            <w:pPr>
              <w:rPr>
                <w:rFonts w:ascii="Arial" w:hAnsi="Arial" w:cs="Arial"/>
                <w:kern w:val="0"/>
              </w:rPr>
            </w:pPr>
            <w:r w:rsidRPr="00C75581">
              <w:rPr>
                <w:rFonts w:ascii="Arial" w:hAnsi="Arial" w:cs="Arial"/>
                <w:kern w:val="0"/>
                <w:u w:val="single"/>
              </w:rPr>
              <w:t>Neuse Strategy: Stormwater</w:t>
            </w:r>
          </w:p>
        </w:tc>
        <w:tc>
          <w:tcPr>
            <w:tcW w:w="849" w:type="dxa"/>
          </w:tcPr>
          <w:p w14:paraId="700352DD"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4A8EC951"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2CE0AF4"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15872D60" w14:textId="77777777" w:rsidR="006A0BDB" w:rsidRPr="00F5227D" w:rsidRDefault="006A0BDB" w:rsidP="001D2CEB">
            <w:pPr>
              <w:rPr>
                <w:rFonts w:ascii="Arial" w:hAnsi="Arial" w:cs="Arial"/>
                <w:kern w:val="0"/>
              </w:rPr>
            </w:pPr>
            <w:r w:rsidRPr="00F5227D">
              <w:rPr>
                <w:rFonts w:ascii="Arial" w:hAnsi="Arial" w:cs="Arial"/>
                <w:kern w:val="0"/>
              </w:rPr>
              <w:t>.0711*</w:t>
            </w:r>
          </w:p>
        </w:tc>
        <w:tc>
          <w:tcPr>
            <w:tcW w:w="1800" w:type="dxa"/>
          </w:tcPr>
          <w:p w14:paraId="7DE48394"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342EC82E" w14:textId="77777777" w:rsidTr="001D2CEB">
        <w:trPr>
          <w:tblCellSpacing w:w="14" w:type="dxa"/>
        </w:trPr>
        <w:tc>
          <w:tcPr>
            <w:tcW w:w="5904" w:type="dxa"/>
          </w:tcPr>
          <w:p w14:paraId="78CF1B04" w14:textId="77777777" w:rsidR="006A0BDB" w:rsidRPr="00C75581" w:rsidRDefault="006A0BDB" w:rsidP="001D2CEB">
            <w:pPr>
              <w:rPr>
                <w:rFonts w:ascii="Arial" w:hAnsi="Arial" w:cs="Arial"/>
                <w:kern w:val="0"/>
              </w:rPr>
            </w:pPr>
            <w:r w:rsidRPr="00C75581">
              <w:rPr>
                <w:rFonts w:ascii="Arial" w:hAnsi="Arial" w:cs="Arial"/>
                <w:kern w:val="0"/>
                <w:u w:val="single"/>
              </w:rPr>
              <w:t>Neuse Nutrient Strategy: Agriculture</w:t>
            </w:r>
          </w:p>
        </w:tc>
        <w:tc>
          <w:tcPr>
            <w:tcW w:w="849" w:type="dxa"/>
          </w:tcPr>
          <w:p w14:paraId="3C4C4F1B"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568392F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10A973CF"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4FCC8585" w14:textId="77777777" w:rsidR="006A0BDB" w:rsidRPr="00F5227D" w:rsidRDefault="006A0BDB" w:rsidP="001D2CEB">
            <w:pPr>
              <w:rPr>
                <w:rFonts w:ascii="Arial" w:hAnsi="Arial" w:cs="Arial"/>
                <w:kern w:val="0"/>
              </w:rPr>
            </w:pPr>
            <w:r w:rsidRPr="00F5227D">
              <w:rPr>
                <w:rFonts w:ascii="Arial" w:hAnsi="Arial" w:cs="Arial"/>
                <w:kern w:val="0"/>
              </w:rPr>
              <w:t>.0712*</w:t>
            </w:r>
          </w:p>
        </w:tc>
        <w:tc>
          <w:tcPr>
            <w:tcW w:w="1800" w:type="dxa"/>
          </w:tcPr>
          <w:p w14:paraId="742B176E"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30879FB6" w14:textId="77777777" w:rsidTr="001D2CEB">
        <w:trPr>
          <w:tblCellSpacing w:w="14" w:type="dxa"/>
        </w:trPr>
        <w:tc>
          <w:tcPr>
            <w:tcW w:w="5904" w:type="dxa"/>
          </w:tcPr>
          <w:p w14:paraId="01C251E0" w14:textId="77777777" w:rsidR="006A0BDB" w:rsidRPr="00C75581" w:rsidRDefault="006A0BDB" w:rsidP="001D2CEB">
            <w:pPr>
              <w:rPr>
                <w:rFonts w:ascii="Arial" w:hAnsi="Arial" w:cs="Arial"/>
                <w:kern w:val="0"/>
              </w:rPr>
            </w:pPr>
            <w:r w:rsidRPr="00C75581">
              <w:rPr>
                <w:rFonts w:ascii="Arial" w:hAnsi="Arial" w:cs="Arial"/>
                <w:kern w:val="0"/>
                <w:u w:val="single"/>
              </w:rPr>
              <w:t>Neuse River Basin-Nutrient Sensitive Waters Management St...</w:t>
            </w:r>
          </w:p>
        </w:tc>
        <w:tc>
          <w:tcPr>
            <w:tcW w:w="849" w:type="dxa"/>
          </w:tcPr>
          <w:p w14:paraId="16CBA497"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1D7600C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3080365"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75770943" w14:textId="77777777" w:rsidR="006A0BDB" w:rsidRPr="00F5227D" w:rsidRDefault="006A0BDB" w:rsidP="001D2CEB">
            <w:pPr>
              <w:rPr>
                <w:rFonts w:ascii="Arial" w:hAnsi="Arial" w:cs="Arial"/>
                <w:kern w:val="0"/>
              </w:rPr>
            </w:pPr>
            <w:r w:rsidRPr="00F5227D">
              <w:rPr>
                <w:rFonts w:ascii="Arial" w:hAnsi="Arial" w:cs="Arial"/>
                <w:kern w:val="0"/>
              </w:rPr>
              <w:t>.0713*</w:t>
            </w:r>
          </w:p>
        </w:tc>
        <w:tc>
          <w:tcPr>
            <w:tcW w:w="1800" w:type="dxa"/>
          </w:tcPr>
          <w:p w14:paraId="72AB4BCB"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17379E08" w14:textId="77777777" w:rsidTr="001D2CEB">
        <w:trPr>
          <w:tblCellSpacing w:w="14" w:type="dxa"/>
        </w:trPr>
        <w:tc>
          <w:tcPr>
            <w:tcW w:w="5904" w:type="dxa"/>
          </w:tcPr>
          <w:p w14:paraId="5E06D16C" w14:textId="77777777" w:rsidR="006A0BDB" w:rsidRPr="00C75581" w:rsidRDefault="006A0BDB" w:rsidP="001D2CEB">
            <w:pPr>
              <w:rPr>
                <w:rFonts w:ascii="Arial" w:hAnsi="Arial" w:cs="Arial"/>
                <w:kern w:val="0"/>
              </w:rPr>
            </w:pPr>
            <w:r w:rsidRPr="00C75581">
              <w:rPr>
                <w:rFonts w:ascii="Arial" w:hAnsi="Arial" w:cs="Arial"/>
                <w:kern w:val="0"/>
                <w:u w:val="single"/>
              </w:rPr>
              <w:t>Tar-Pamlico Nutrient Strategy: Purpose and Scope</w:t>
            </w:r>
          </w:p>
        </w:tc>
        <w:tc>
          <w:tcPr>
            <w:tcW w:w="849" w:type="dxa"/>
          </w:tcPr>
          <w:p w14:paraId="469D00F0"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1039D5D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15CCC2F1"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6B5F4F5F" w14:textId="77777777" w:rsidR="006A0BDB" w:rsidRPr="00F5227D" w:rsidRDefault="006A0BDB" w:rsidP="001D2CEB">
            <w:pPr>
              <w:rPr>
                <w:rFonts w:ascii="Arial" w:hAnsi="Arial" w:cs="Arial"/>
                <w:kern w:val="0"/>
              </w:rPr>
            </w:pPr>
            <w:r w:rsidRPr="00F5227D">
              <w:rPr>
                <w:rFonts w:ascii="Arial" w:hAnsi="Arial" w:cs="Arial"/>
                <w:kern w:val="0"/>
              </w:rPr>
              <w:t>.0730*</w:t>
            </w:r>
          </w:p>
        </w:tc>
        <w:tc>
          <w:tcPr>
            <w:tcW w:w="1800" w:type="dxa"/>
          </w:tcPr>
          <w:p w14:paraId="4274D5B7"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4BD1DC8F" w14:textId="77777777" w:rsidTr="001D2CEB">
        <w:trPr>
          <w:tblCellSpacing w:w="14" w:type="dxa"/>
        </w:trPr>
        <w:tc>
          <w:tcPr>
            <w:tcW w:w="5904" w:type="dxa"/>
          </w:tcPr>
          <w:p w14:paraId="4BB6567F" w14:textId="77777777" w:rsidR="006A0BDB" w:rsidRPr="00C75581" w:rsidRDefault="006A0BDB" w:rsidP="001D2CEB">
            <w:pPr>
              <w:rPr>
                <w:rFonts w:ascii="Arial" w:hAnsi="Arial" w:cs="Arial"/>
                <w:kern w:val="0"/>
              </w:rPr>
            </w:pPr>
            <w:r w:rsidRPr="00C75581">
              <w:rPr>
                <w:rFonts w:ascii="Arial" w:hAnsi="Arial" w:cs="Arial"/>
                <w:kern w:val="0"/>
                <w:u w:val="single"/>
              </w:rPr>
              <w:t>Tar-Pamlico Nutrient Strategy: Stormwater</w:t>
            </w:r>
          </w:p>
        </w:tc>
        <w:tc>
          <w:tcPr>
            <w:tcW w:w="849" w:type="dxa"/>
          </w:tcPr>
          <w:p w14:paraId="2D212BD1"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6C9AB70E"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66D94E4"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34F5AB99" w14:textId="77777777" w:rsidR="006A0BDB" w:rsidRPr="00F5227D" w:rsidRDefault="006A0BDB" w:rsidP="001D2CEB">
            <w:pPr>
              <w:rPr>
                <w:rFonts w:ascii="Arial" w:hAnsi="Arial" w:cs="Arial"/>
                <w:kern w:val="0"/>
              </w:rPr>
            </w:pPr>
            <w:r w:rsidRPr="00F5227D">
              <w:rPr>
                <w:rFonts w:ascii="Arial" w:hAnsi="Arial" w:cs="Arial"/>
                <w:kern w:val="0"/>
              </w:rPr>
              <w:t>.0731*</w:t>
            </w:r>
          </w:p>
        </w:tc>
        <w:tc>
          <w:tcPr>
            <w:tcW w:w="1800" w:type="dxa"/>
          </w:tcPr>
          <w:p w14:paraId="4FC4CBF9"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4104599B" w14:textId="77777777" w:rsidTr="001D2CEB">
        <w:trPr>
          <w:tblCellSpacing w:w="14" w:type="dxa"/>
        </w:trPr>
        <w:tc>
          <w:tcPr>
            <w:tcW w:w="5904" w:type="dxa"/>
          </w:tcPr>
          <w:p w14:paraId="4D073044" w14:textId="77777777" w:rsidR="006A0BDB" w:rsidRPr="00C75581" w:rsidRDefault="006A0BDB" w:rsidP="001D2CEB">
            <w:pPr>
              <w:rPr>
                <w:rFonts w:ascii="Arial" w:hAnsi="Arial" w:cs="Arial"/>
                <w:kern w:val="0"/>
              </w:rPr>
            </w:pPr>
            <w:r w:rsidRPr="00C75581">
              <w:rPr>
                <w:rFonts w:ascii="Arial" w:hAnsi="Arial" w:cs="Arial"/>
                <w:kern w:val="0"/>
                <w:u w:val="single"/>
              </w:rPr>
              <w:t>Tar-Pamlico Nutrient Strategy: Agriculture</w:t>
            </w:r>
          </w:p>
        </w:tc>
        <w:tc>
          <w:tcPr>
            <w:tcW w:w="849" w:type="dxa"/>
          </w:tcPr>
          <w:p w14:paraId="27D38423"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7880E79C"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4425505"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7FC45257" w14:textId="77777777" w:rsidR="006A0BDB" w:rsidRPr="00F5227D" w:rsidRDefault="006A0BDB" w:rsidP="001D2CEB">
            <w:pPr>
              <w:rPr>
                <w:rFonts w:ascii="Arial" w:hAnsi="Arial" w:cs="Arial"/>
                <w:kern w:val="0"/>
              </w:rPr>
            </w:pPr>
            <w:r w:rsidRPr="00F5227D">
              <w:rPr>
                <w:rFonts w:ascii="Arial" w:hAnsi="Arial" w:cs="Arial"/>
                <w:kern w:val="0"/>
              </w:rPr>
              <w:t>.0732*</w:t>
            </w:r>
          </w:p>
        </w:tc>
        <w:tc>
          <w:tcPr>
            <w:tcW w:w="1800" w:type="dxa"/>
          </w:tcPr>
          <w:p w14:paraId="2997D648"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092E4104" w14:textId="77777777" w:rsidTr="001D2CEB">
        <w:trPr>
          <w:tblCellSpacing w:w="14" w:type="dxa"/>
        </w:trPr>
        <w:tc>
          <w:tcPr>
            <w:tcW w:w="5904" w:type="dxa"/>
          </w:tcPr>
          <w:p w14:paraId="5EEE53CB" w14:textId="77777777" w:rsidR="006A0BDB" w:rsidRPr="00C75581" w:rsidRDefault="006A0BDB" w:rsidP="001D2CEB">
            <w:pPr>
              <w:rPr>
                <w:rFonts w:ascii="Arial" w:hAnsi="Arial" w:cs="Arial"/>
                <w:kern w:val="0"/>
              </w:rPr>
            </w:pPr>
            <w:r w:rsidRPr="00C75581">
              <w:rPr>
                <w:rFonts w:ascii="Arial" w:hAnsi="Arial" w:cs="Arial"/>
                <w:kern w:val="0"/>
                <w:u w:val="single"/>
              </w:rPr>
              <w:t>Tar-Pamlico Nutrient Strategy: New and Expanding Wastewat...</w:t>
            </w:r>
          </w:p>
        </w:tc>
        <w:tc>
          <w:tcPr>
            <w:tcW w:w="849" w:type="dxa"/>
          </w:tcPr>
          <w:p w14:paraId="78116D55" w14:textId="77777777" w:rsidR="006A0BDB" w:rsidRPr="00C75581" w:rsidRDefault="006A0BDB" w:rsidP="001D2CEB">
            <w:pPr>
              <w:jc w:val="right"/>
              <w:rPr>
                <w:rFonts w:ascii="Arial" w:hAnsi="Arial" w:cs="Arial"/>
                <w:kern w:val="0"/>
              </w:rPr>
            </w:pPr>
            <w:r w:rsidRPr="00C75581">
              <w:rPr>
                <w:rFonts w:ascii="Arial" w:hAnsi="Arial" w:cs="Arial"/>
                <w:kern w:val="0"/>
              </w:rPr>
              <w:t>15A</w:t>
            </w:r>
          </w:p>
        </w:tc>
        <w:tc>
          <w:tcPr>
            <w:tcW w:w="633" w:type="dxa"/>
          </w:tcPr>
          <w:p w14:paraId="4F9C46DF"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957AF8E" w14:textId="77777777" w:rsidR="006A0BDB" w:rsidRPr="00F5227D" w:rsidRDefault="006A0BDB" w:rsidP="001D2CEB">
            <w:pPr>
              <w:rPr>
                <w:rFonts w:ascii="Arial" w:hAnsi="Arial" w:cs="Arial"/>
                <w:kern w:val="0"/>
              </w:rPr>
            </w:pPr>
            <w:r w:rsidRPr="00F5227D">
              <w:rPr>
                <w:rFonts w:ascii="Arial" w:hAnsi="Arial" w:cs="Arial"/>
                <w:kern w:val="0"/>
              </w:rPr>
              <w:t>02B</w:t>
            </w:r>
          </w:p>
        </w:tc>
        <w:tc>
          <w:tcPr>
            <w:tcW w:w="1152" w:type="dxa"/>
          </w:tcPr>
          <w:p w14:paraId="73F6AC8E" w14:textId="77777777" w:rsidR="006A0BDB" w:rsidRPr="00F5227D" w:rsidRDefault="006A0BDB" w:rsidP="001D2CEB">
            <w:pPr>
              <w:rPr>
                <w:rFonts w:ascii="Arial" w:hAnsi="Arial" w:cs="Arial"/>
                <w:kern w:val="0"/>
              </w:rPr>
            </w:pPr>
            <w:r w:rsidRPr="00F5227D">
              <w:rPr>
                <w:rFonts w:ascii="Arial" w:hAnsi="Arial" w:cs="Arial"/>
                <w:kern w:val="0"/>
              </w:rPr>
              <w:t>.0733*</w:t>
            </w:r>
          </w:p>
        </w:tc>
        <w:tc>
          <w:tcPr>
            <w:tcW w:w="1800" w:type="dxa"/>
          </w:tcPr>
          <w:p w14:paraId="5946B8D9" w14:textId="77777777" w:rsidR="006A0BDB" w:rsidRPr="00F5227D" w:rsidRDefault="006A0BDB" w:rsidP="001D2CEB">
            <w:pPr>
              <w:rPr>
                <w:rFonts w:ascii="Arial" w:hAnsi="Arial" w:cs="Arial"/>
                <w:kern w:val="0"/>
              </w:rPr>
            </w:pPr>
            <w:r w:rsidRPr="00F5227D">
              <w:rPr>
                <w:rFonts w:ascii="Arial" w:hAnsi="Arial" w:cs="Arial"/>
                <w:kern w:val="0"/>
              </w:rPr>
              <w:t>33:16 NCR</w:t>
            </w:r>
          </w:p>
        </w:tc>
      </w:tr>
      <w:tr w:rsidR="006A0BDB" w:rsidRPr="00C75581" w14:paraId="41C38AD5" w14:textId="77777777" w:rsidTr="001D2CEB">
        <w:trPr>
          <w:tblCellSpacing w:w="14" w:type="dxa"/>
        </w:trPr>
        <w:tc>
          <w:tcPr>
            <w:tcW w:w="10924" w:type="dxa"/>
            <w:gridSpan w:val="6"/>
          </w:tcPr>
          <w:p w14:paraId="4E80E44F"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Certified Public Accountant Examiners, Board of</w:t>
            </w:r>
          </w:p>
        </w:tc>
      </w:tr>
      <w:tr w:rsidR="006A0BDB" w:rsidRPr="00C75581" w14:paraId="150B2003" w14:textId="77777777" w:rsidTr="001D2CEB">
        <w:trPr>
          <w:tblCellSpacing w:w="14" w:type="dxa"/>
        </w:trPr>
        <w:tc>
          <w:tcPr>
            <w:tcW w:w="5904" w:type="dxa"/>
          </w:tcPr>
          <w:p w14:paraId="05B1E8F2" w14:textId="77777777" w:rsidR="006A0BDB" w:rsidRPr="00C75581" w:rsidRDefault="006A0BDB" w:rsidP="001D2CEB">
            <w:pPr>
              <w:rPr>
                <w:rFonts w:ascii="Arial" w:hAnsi="Arial" w:cs="Arial"/>
                <w:kern w:val="0"/>
              </w:rPr>
            </w:pPr>
            <w:r w:rsidRPr="00C75581">
              <w:rPr>
                <w:rFonts w:ascii="Arial" w:hAnsi="Arial" w:cs="Arial"/>
                <w:kern w:val="0"/>
                <w:u w:val="single"/>
              </w:rPr>
              <w:t>CPE Requirements for CPAS</w:t>
            </w:r>
          </w:p>
        </w:tc>
        <w:tc>
          <w:tcPr>
            <w:tcW w:w="849" w:type="dxa"/>
          </w:tcPr>
          <w:p w14:paraId="15423E0B"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952F35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E4DB45B"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360CF4E8" w14:textId="77777777" w:rsidR="006A0BDB" w:rsidRPr="00C75581" w:rsidRDefault="006A0BDB" w:rsidP="001D2CEB">
            <w:pPr>
              <w:rPr>
                <w:rFonts w:ascii="Arial" w:hAnsi="Arial" w:cs="Arial"/>
                <w:kern w:val="0"/>
              </w:rPr>
            </w:pPr>
            <w:r w:rsidRPr="00C75581">
              <w:rPr>
                <w:rFonts w:ascii="Arial" w:hAnsi="Arial" w:cs="Arial"/>
                <w:kern w:val="0"/>
              </w:rPr>
              <w:t>.0401</w:t>
            </w:r>
          </w:p>
        </w:tc>
        <w:tc>
          <w:tcPr>
            <w:tcW w:w="1800" w:type="dxa"/>
          </w:tcPr>
          <w:p w14:paraId="2A1C26D9"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5E9CD374" w14:textId="77777777" w:rsidTr="001D2CEB">
        <w:trPr>
          <w:tblCellSpacing w:w="14" w:type="dxa"/>
        </w:trPr>
        <w:tc>
          <w:tcPr>
            <w:tcW w:w="5904" w:type="dxa"/>
          </w:tcPr>
          <w:p w14:paraId="66D7CA03" w14:textId="77777777" w:rsidR="006A0BDB" w:rsidRPr="00C75581" w:rsidRDefault="006A0BDB" w:rsidP="001D2CEB">
            <w:pPr>
              <w:rPr>
                <w:rFonts w:ascii="Arial" w:hAnsi="Arial" w:cs="Arial"/>
                <w:kern w:val="0"/>
              </w:rPr>
            </w:pPr>
            <w:r w:rsidRPr="00C75581">
              <w:rPr>
                <w:rFonts w:ascii="Arial" w:hAnsi="Arial" w:cs="Arial"/>
                <w:kern w:val="0"/>
                <w:u w:val="single"/>
              </w:rPr>
              <w:t>Qualification of CPE Sponsers</w:t>
            </w:r>
          </w:p>
        </w:tc>
        <w:tc>
          <w:tcPr>
            <w:tcW w:w="849" w:type="dxa"/>
          </w:tcPr>
          <w:p w14:paraId="7F6DB465"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EAE88B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78BECDD5"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4AEB54EC" w14:textId="77777777" w:rsidR="006A0BDB" w:rsidRPr="00C75581" w:rsidRDefault="006A0BDB" w:rsidP="001D2CEB">
            <w:pPr>
              <w:rPr>
                <w:rFonts w:ascii="Arial" w:hAnsi="Arial" w:cs="Arial"/>
                <w:kern w:val="0"/>
              </w:rPr>
            </w:pPr>
            <w:r w:rsidRPr="00C75581">
              <w:rPr>
                <w:rFonts w:ascii="Arial" w:hAnsi="Arial" w:cs="Arial"/>
                <w:kern w:val="0"/>
              </w:rPr>
              <w:t>.0403</w:t>
            </w:r>
          </w:p>
        </w:tc>
        <w:tc>
          <w:tcPr>
            <w:tcW w:w="1800" w:type="dxa"/>
          </w:tcPr>
          <w:p w14:paraId="4125B4FB"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638215F1" w14:textId="77777777" w:rsidTr="001D2CEB">
        <w:trPr>
          <w:tblCellSpacing w:w="14" w:type="dxa"/>
        </w:trPr>
        <w:tc>
          <w:tcPr>
            <w:tcW w:w="5904" w:type="dxa"/>
          </w:tcPr>
          <w:p w14:paraId="4168F3EA" w14:textId="77777777" w:rsidR="006A0BDB" w:rsidRPr="00C75581" w:rsidRDefault="006A0BDB" w:rsidP="001D2CEB">
            <w:pPr>
              <w:rPr>
                <w:rFonts w:ascii="Arial" w:hAnsi="Arial" w:cs="Arial"/>
                <w:kern w:val="0"/>
              </w:rPr>
            </w:pPr>
            <w:r w:rsidRPr="00C75581">
              <w:rPr>
                <w:rFonts w:ascii="Arial" w:hAnsi="Arial" w:cs="Arial"/>
                <w:kern w:val="0"/>
                <w:u w:val="single"/>
              </w:rPr>
              <w:t>Requirements for CPE Credit</w:t>
            </w:r>
          </w:p>
        </w:tc>
        <w:tc>
          <w:tcPr>
            <w:tcW w:w="849" w:type="dxa"/>
          </w:tcPr>
          <w:p w14:paraId="72622BA0"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3B308E3D"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0CD9067"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79299BE0" w14:textId="77777777" w:rsidR="006A0BDB" w:rsidRPr="00C75581" w:rsidRDefault="006A0BDB" w:rsidP="001D2CEB">
            <w:pPr>
              <w:rPr>
                <w:rFonts w:ascii="Arial" w:hAnsi="Arial" w:cs="Arial"/>
                <w:kern w:val="0"/>
              </w:rPr>
            </w:pPr>
            <w:r w:rsidRPr="00C75581">
              <w:rPr>
                <w:rFonts w:ascii="Arial" w:hAnsi="Arial" w:cs="Arial"/>
                <w:kern w:val="0"/>
              </w:rPr>
              <w:t>.0404</w:t>
            </w:r>
          </w:p>
        </w:tc>
        <w:tc>
          <w:tcPr>
            <w:tcW w:w="1800" w:type="dxa"/>
          </w:tcPr>
          <w:p w14:paraId="4C4DE61F"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6426655B" w14:textId="77777777" w:rsidTr="001D2CEB">
        <w:trPr>
          <w:tblCellSpacing w:w="14" w:type="dxa"/>
        </w:trPr>
        <w:tc>
          <w:tcPr>
            <w:tcW w:w="5904" w:type="dxa"/>
          </w:tcPr>
          <w:p w14:paraId="1090A0DC" w14:textId="77777777" w:rsidR="006A0BDB" w:rsidRPr="00C75581" w:rsidRDefault="006A0BDB" w:rsidP="001D2CEB">
            <w:pPr>
              <w:rPr>
                <w:rFonts w:ascii="Arial" w:hAnsi="Arial" w:cs="Arial"/>
                <w:kern w:val="0"/>
              </w:rPr>
            </w:pPr>
            <w:r w:rsidRPr="00C75581">
              <w:rPr>
                <w:rFonts w:ascii="Arial" w:hAnsi="Arial" w:cs="Arial"/>
                <w:kern w:val="0"/>
                <w:u w:val="single"/>
              </w:rPr>
              <w:t>Administration of Requirement</w:t>
            </w:r>
          </w:p>
        </w:tc>
        <w:tc>
          <w:tcPr>
            <w:tcW w:w="849" w:type="dxa"/>
          </w:tcPr>
          <w:p w14:paraId="1777D764"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6B8EC50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F29BC77"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5F30051C" w14:textId="77777777" w:rsidR="006A0BDB" w:rsidRPr="00C75581" w:rsidRDefault="006A0BDB" w:rsidP="001D2CEB">
            <w:pPr>
              <w:rPr>
                <w:rFonts w:ascii="Arial" w:hAnsi="Arial" w:cs="Arial"/>
                <w:kern w:val="0"/>
              </w:rPr>
            </w:pPr>
            <w:r w:rsidRPr="00C75581">
              <w:rPr>
                <w:rFonts w:ascii="Arial" w:hAnsi="Arial" w:cs="Arial"/>
                <w:kern w:val="0"/>
              </w:rPr>
              <w:t>.0405</w:t>
            </w:r>
          </w:p>
        </w:tc>
        <w:tc>
          <w:tcPr>
            <w:tcW w:w="1800" w:type="dxa"/>
          </w:tcPr>
          <w:p w14:paraId="5040E1E1"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03F1A42D" w14:textId="77777777" w:rsidTr="001D2CEB">
        <w:trPr>
          <w:tblCellSpacing w:w="14" w:type="dxa"/>
        </w:trPr>
        <w:tc>
          <w:tcPr>
            <w:tcW w:w="5904" w:type="dxa"/>
          </w:tcPr>
          <w:p w14:paraId="300B2E20" w14:textId="77777777" w:rsidR="006A0BDB" w:rsidRPr="00C75581" w:rsidRDefault="006A0BDB" w:rsidP="001D2CEB">
            <w:pPr>
              <w:rPr>
                <w:rFonts w:ascii="Arial" w:hAnsi="Arial" w:cs="Arial"/>
                <w:kern w:val="0"/>
              </w:rPr>
            </w:pPr>
            <w:r w:rsidRPr="00C75581">
              <w:rPr>
                <w:rFonts w:ascii="Arial" w:hAnsi="Arial" w:cs="Arial"/>
                <w:kern w:val="0"/>
                <w:u w:val="single"/>
              </w:rPr>
              <w:t>Compliance with CPE Requirements</w:t>
            </w:r>
          </w:p>
        </w:tc>
        <w:tc>
          <w:tcPr>
            <w:tcW w:w="849" w:type="dxa"/>
          </w:tcPr>
          <w:p w14:paraId="37F541D7"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56EBA221"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8B7C1B4"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2C8ED794" w14:textId="77777777" w:rsidR="006A0BDB" w:rsidRPr="00C75581" w:rsidRDefault="006A0BDB" w:rsidP="001D2CEB">
            <w:pPr>
              <w:rPr>
                <w:rFonts w:ascii="Arial" w:hAnsi="Arial" w:cs="Arial"/>
                <w:kern w:val="0"/>
              </w:rPr>
            </w:pPr>
            <w:r w:rsidRPr="00C75581">
              <w:rPr>
                <w:rFonts w:ascii="Arial" w:hAnsi="Arial" w:cs="Arial"/>
                <w:kern w:val="0"/>
              </w:rPr>
              <w:t>.0406</w:t>
            </w:r>
          </w:p>
        </w:tc>
        <w:tc>
          <w:tcPr>
            <w:tcW w:w="1800" w:type="dxa"/>
          </w:tcPr>
          <w:p w14:paraId="7EF123A6"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5ADBE113" w14:textId="77777777" w:rsidTr="001D2CEB">
        <w:trPr>
          <w:tblCellSpacing w:w="14" w:type="dxa"/>
        </w:trPr>
        <w:tc>
          <w:tcPr>
            <w:tcW w:w="5904" w:type="dxa"/>
          </w:tcPr>
          <w:p w14:paraId="6833F20A" w14:textId="77777777" w:rsidR="006A0BDB" w:rsidRPr="00C75581" w:rsidRDefault="006A0BDB" w:rsidP="001D2CEB">
            <w:pPr>
              <w:rPr>
                <w:rFonts w:ascii="Arial" w:hAnsi="Arial" w:cs="Arial"/>
                <w:kern w:val="0"/>
              </w:rPr>
            </w:pPr>
            <w:r w:rsidRPr="00C75581">
              <w:rPr>
                <w:rFonts w:ascii="Arial" w:hAnsi="Arial" w:cs="Arial"/>
                <w:kern w:val="0"/>
                <w:u w:val="single"/>
              </w:rPr>
              <w:t>Computation of CPE Credits</w:t>
            </w:r>
          </w:p>
        </w:tc>
        <w:tc>
          <w:tcPr>
            <w:tcW w:w="849" w:type="dxa"/>
          </w:tcPr>
          <w:p w14:paraId="2BD96378"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4DC9B36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4DF47B31"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3726DB8C" w14:textId="77777777" w:rsidR="006A0BDB" w:rsidRPr="00C75581" w:rsidRDefault="006A0BDB" w:rsidP="001D2CEB">
            <w:pPr>
              <w:rPr>
                <w:rFonts w:ascii="Arial" w:hAnsi="Arial" w:cs="Arial"/>
                <w:kern w:val="0"/>
              </w:rPr>
            </w:pPr>
            <w:r w:rsidRPr="00C75581">
              <w:rPr>
                <w:rFonts w:ascii="Arial" w:hAnsi="Arial" w:cs="Arial"/>
                <w:kern w:val="0"/>
              </w:rPr>
              <w:t>.0409</w:t>
            </w:r>
          </w:p>
        </w:tc>
        <w:tc>
          <w:tcPr>
            <w:tcW w:w="1800" w:type="dxa"/>
          </w:tcPr>
          <w:p w14:paraId="68C14E0B"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5125146D" w14:textId="77777777" w:rsidTr="001D2CEB">
        <w:trPr>
          <w:tblCellSpacing w:w="14" w:type="dxa"/>
        </w:trPr>
        <w:tc>
          <w:tcPr>
            <w:tcW w:w="5904" w:type="dxa"/>
          </w:tcPr>
          <w:p w14:paraId="40567104" w14:textId="77777777" w:rsidR="006A0BDB" w:rsidRPr="00C75581" w:rsidRDefault="006A0BDB" w:rsidP="001D2CEB">
            <w:pPr>
              <w:rPr>
                <w:rFonts w:ascii="Arial" w:hAnsi="Arial" w:cs="Arial"/>
                <w:kern w:val="0"/>
              </w:rPr>
            </w:pPr>
            <w:r w:rsidRPr="00C75581">
              <w:rPr>
                <w:rFonts w:ascii="Arial" w:hAnsi="Arial" w:cs="Arial"/>
                <w:kern w:val="0"/>
                <w:u w:val="single"/>
              </w:rPr>
              <w:t>Professional Ethics and Conduct CPE</w:t>
            </w:r>
          </w:p>
        </w:tc>
        <w:tc>
          <w:tcPr>
            <w:tcW w:w="849" w:type="dxa"/>
          </w:tcPr>
          <w:p w14:paraId="4F3A7B7F"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11A09733"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8D52DC2" w14:textId="77777777" w:rsidR="006A0BDB" w:rsidRPr="00C75581" w:rsidRDefault="006A0BDB" w:rsidP="001D2CEB">
            <w:pPr>
              <w:rPr>
                <w:rFonts w:ascii="Arial" w:hAnsi="Arial" w:cs="Arial"/>
                <w:kern w:val="0"/>
              </w:rPr>
            </w:pPr>
            <w:r w:rsidRPr="00C75581">
              <w:rPr>
                <w:rFonts w:ascii="Arial" w:hAnsi="Arial" w:cs="Arial"/>
                <w:kern w:val="0"/>
              </w:rPr>
              <w:t>08G</w:t>
            </w:r>
          </w:p>
        </w:tc>
        <w:tc>
          <w:tcPr>
            <w:tcW w:w="1152" w:type="dxa"/>
          </w:tcPr>
          <w:p w14:paraId="05494818" w14:textId="77777777" w:rsidR="006A0BDB" w:rsidRPr="00C75581" w:rsidRDefault="006A0BDB" w:rsidP="001D2CEB">
            <w:pPr>
              <w:rPr>
                <w:rFonts w:ascii="Arial" w:hAnsi="Arial" w:cs="Arial"/>
                <w:kern w:val="0"/>
              </w:rPr>
            </w:pPr>
            <w:r w:rsidRPr="00C75581">
              <w:rPr>
                <w:rFonts w:ascii="Arial" w:hAnsi="Arial" w:cs="Arial"/>
                <w:kern w:val="0"/>
              </w:rPr>
              <w:t>.0410</w:t>
            </w:r>
          </w:p>
        </w:tc>
        <w:tc>
          <w:tcPr>
            <w:tcW w:w="1800" w:type="dxa"/>
          </w:tcPr>
          <w:p w14:paraId="675F614F" w14:textId="77777777" w:rsidR="006A0BDB" w:rsidRPr="00C75581" w:rsidRDefault="006A0BDB" w:rsidP="001D2CEB">
            <w:pPr>
              <w:rPr>
                <w:rFonts w:ascii="Arial" w:hAnsi="Arial" w:cs="Arial"/>
                <w:kern w:val="0"/>
              </w:rPr>
            </w:pPr>
            <w:r>
              <w:rPr>
                <w:rFonts w:ascii="Arial" w:hAnsi="Arial" w:cs="Arial"/>
                <w:kern w:val="0"/>
              </w:rPr>
              <w:t>34:03 NCR</w:t>
            </w:r>
          </w:p>
        </w:tc>
      </w:tr>
      <w:tr w:rsidR="006A0BDB" w:rsidRPr="00C75581" w14:paraId="4BE89D7B" w14:textId="77777777" w:rsidTr="001D2CEB">
        <w:trPr>
          <w:tblCellSpacing w:w="14" w:type="dxa"/>
        </w:trPr>
        <w:tc>
          <w:tcPr>
            <w:tcW w:w="10924" w:type="dxa"/>
            <w:gridSpan w:val="6"/>
          </w:tcPr>
          <w:p w14:paraId="168D75B0"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Chiropractic Examiners, Board of</w:t>
            </w:r>
          </w:p>
        </w:tc>
      </w:tr>
      <w:tr w:rsidR="006A0BDB" w:rsidRPr="00C75581" w14:paraId="0339D757" w14:textId="77777777" w:rsidTr="001D2CEB">
        <w:trPr>
          <w:tblCellSpacing w:w="14" w:type="dxa"/>
        </w:trPr>
        <w:tc>
          <w:tcPr>
            <w:tcW w:w="5904" w:type="dxa"/>
          </w:tcPr>
          <w:p w14:paraId="35EE4888" w14:textId="77777777" w:rsidR="006A0BDB" w:rsidRPr="00C75581" w:rsidRDefault="006A0BDB" w:rsidP="001D2CEB">
            <w:pPr>
              <w:rPr>
                <w:rFonts w:ascii="Arial" w:hAnsi="Arial" w:cs="Arial"/>
                <w:kern w:val="0"/>
              </w:rPr>
            </w:pPr>
            <w:r w:rsidRPr="00C75581">
              <w:rPr>
                <w:rFonts w:ascii="Arial" w:hAnsi="Arial" w:cs="Arial"/>
                <w:kern w:val="0"/>
                <w:u w:val="single"/>
              </w:rPr>
              <w:t>Structure of Board</w:t>
            </w:r>
          </w:p>
        </w:tc>
        <w:tc>
          <w:tcPr>
            <w:tcW w:w="849" w:type="dxa"/>
          </w:tcPr>
          <w:p w14:paraId="116162E0"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601ADA34"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131EAE4"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730CD2D0" w14:textId="77777777" w:rsidR="006A0BDB" w:rsidRPr="00C75581" w:rsidRDefault="006A0BDB" w:rsidP="001D2CEB">
            <w:pPr>
              <w:rPr>
                <w:rFonts w:ascii="Arial" w:hAnsi="Arial" w:cs="Arial"/>
                <w:kern w:val="0"/>
              </w:rPr>
            </w:pPr>
            <w:r w:rsidRPr="00C75581">
              <w:rPr>
                <w:rFonts w:ascii="Arial" w:hAnsi="Arial" w:cs="Arial"/>
                <w:kern w:val="0"/>
              </w:rPr>
              <w:t>.0103</w:t>
            </w:r>
            <w:r>
              <w:rPr>
                <w:rFonts w:ascii="Arial" w:hAnsi="Arial" w:cs="Arial"/>
                <w:kern w:val="0"/>
              </w:rPr>
              <w:t>*</w:t>
            </w:r>
          </w:p>
        </w:tc>
        <w:tc>
          <w:tcPr>
            <w:tcW w:w="1800" w:type="dxa"/>
          </w:tcPr>
          <w:p w14:paraId="4E007949"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2034B1A1" w14:textId="77777777" w:rsidTr="001D2CEB">
        <w:trPr>
          <w:tblCellSpacing w:w="14" w:type="dxa"/>
        </w:trPr>
        <w:tc>
          <w:tcPr>
            <w:tcW w:w="5904" w:type="dxa"/>
          </w:tcPr>
          <w:p w14:paraId="5D06D4B5" w14:textId="77777777" w:rsidR="006A0BDB" w:rsidRPr="00C75581" w:rsidRDefault="006A0BDB" w:rsidP="001D2CEB">
            <w:pPr>
              <w:rPr>
                <w:rFonts w:ascii="Arial" w:hAnsi="Arial" w:cs="Arial"/>
                <w:kern w:val="0"/>
              </w:rPr>
            </w:pPr>
            <w:r w:rsidRPr="00C75581">
              <w:rPr>
                <w:rFonts w:ascii="Arial" w:hAnsi="Arial" w:cs="Arial"/>
                <w:kern w:val="0"/>
                <w:u w:val="single"/>
              </w:rPr>
              <w:t>Licensure</w:t>
            </w:r>
          </w:p>
        </w:tc>
        <w:tc>
          <w:tcPr>
            <w:tcW w:w="849" w:type="dxa"/>
          </w:tcPr>
          <w:p w14:paraId="6A1B151F"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C063049"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4773B30"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6D264BAB" w14:textId="77777777" w:rsidR="006A0BDB" w:rsidRPr="00C75581" w:rsidRDefault="006A0BDB" w:rsidP="001D2CEB">
            <w:pPr>
              <w:rPr>
                <w:rFonts w:ascii="Arial" w:hAnsi="Arial" w:cs="Arial"/>
                <w:kern w:val="0"/>
              </w:rPr>
            </w:pPr>
            <w:r w:rsidRPr="00C75581">
              <w:rPr>
                <w:rFonts w:ascii="Arial" w:hAnsi="Arial" w:cs="Arial"/>
                <w:kern w:val="0"/>
              </w:rPr>
              <w:t>.0204</w:t>
            </w:r>
            <w:r>
              <w:rPr>
                <w:rFonts w:ascii="Arial" w:hAnsi="Arial" w:cs="Arial"/>
                <w:kern w:val="0"/>
              </w:rPr>
              <w:t>*</w:t>
            </w:r>
          </w:p>
        </w:tc>
        <w:tc>
          <w:tcPr>
            <w:tcW w:w="1800" w:type="dxa"/>
          </w:tcPr>
          <w:p w14:paraId="7131D7E7"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72D921CA" w14:textId="77777777" w:rsidTr="001D2CEB">
        <w:trPr>
          <w:tblCellSpacing w:w="14" w:type="dxa"/>
        </w:trPr>
        <w:tc>
          <w:tcPr>
            <w:tcW w:w="5904" w:type="dxa"/>
          </w:tcPr>
          <w:p w14:paraId="208F38F1" w14:textId="77777777" w:rsidR="006A0BDB" w:rsidRPr="00C75581" w:rsidRDefault="006A0BDB" w:rsidP="001D2CEB">
            <w:pPr>
              <w:rPr>
                <w:rFonts w:ascii="Arial" w:hAnsi="Arial" w:cs="Arial"/>
                <w:kern w:val="0"/>
              </w:rPr>
            </w:pPr>
            <w:r w:rsidRPr="00C75581">
              <w:rPr>
                <w:rFonts w:ascii="Arial" w:hAnsi="Arial" w:cs="Arial"/>
                <w:kern w:val="0"/>
                <w:u w:val="single"/>
              </w:rPr>
              <w:t>Certification of Radiologic Technologists</w:t>
            </w:r>
          </w:p>
        </w:tc>
        <w:tc>
          <w:tcPr>
            <w:tcW w:w="849" w:type="dxa"/>
          </w:tcPr>
          <w:p w14:paraId="31884C05"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54D926D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9B31950"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56DECF6D" w14:textId="77777777" w:rsidR="006A0BDB" w:rsidRPr="00C75581" w:rsidRDefault="006A0BDB" w:rsidP="001D2CEB">
            <w:pPr>
              <w:rPr>
                <w:rFonts w:ascii="Arial" w:hAnsi="Arial" w:cs="Arial"/>
                <w:kern w:val="0"/>
              </w:rPr>
            </w:pPr>
            <w:r w:rsidRPr="00C75581">
              <w:rPr>
                <w:rFonts w:ascii="Arial" w:hAnsi="Arial" w:cs="Arial"/>
                <w:kern w:val="0"/>
              </w:rPr>
              <w:t>.0206</w:t>
            </w:r>
            <w:r>
              <w:rPr>
                <w:rFonts w:ascii="Arial" w:hAnsi="Arial" w:cs="Arial"/>
                <w:kern w:val="0"/>
              </w:rPr>
              <w:t>*</w:t>
            </w:r>
          </w:p>
        </w:tc>
        <w:tc>
          <w:tcPr>
            <w:tcW w:w="1800" w:type="dxa"/>
          </w:tcPr>
          <w:p w14:paraId="3CC87FBC"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408AC838" w14:textId="77777777" w:rsidTr="001D2CEB">
        <w:trPr>
          <w:tblCellSpacing w:w="14" w:type="dxa"/>
        </w:trPr>
        <w:tc>
          <w:tcPr>
            <w:tcW w:w="5904" w:type="dxa"/>
          </w:tcPr>
          <w:p w14:paraId="0EF24210" w14:textId="77777777" w:rsidR="006A0BDB" w:rsidRPr="00C75581" w:rsidRDefault="006A0BDB" w:rsidP="001D2CEB">
            <w:pPr>
              <w:rPr>
                <w:rFonts w:ascii="Arial" w:hAnsi="Arial" w:cs="Arial"/>
                <w:kern w:val="0"/>
              </w:rPr>
            </w:pPr>
            <w:r w:rsidRPr="00C75581">
              <w:rPr>
                <w:rFonts w:ascii="Arial" w:hAnsi="Arial" w:cs="Arial"/>
                <w:kern w:val="0"/>
                <w:u w:val="single"/>
              </w:rPr>
              <w:t>Continuing Education Seminars</w:t>
            </w:r>
          </w:p>
        </w:tc>
        <w:tc>
          <w:tcPr>
            <w:tcW w:w="849" w:type="dxa"/>
          </w:tcPr>
          <w:p w14:paraId="7EDD2711"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0530AD6B"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7798743"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4C46E151" w14:textId="77777777" w:rsidR="006A0BDB" w:rsidRPr="00C75581" w:rsidRDefault="006A0BDB" w:rsidP="001D2CEB">
            <w:pPr>
              <w:rPr>
                <w:rFonts w:ascii="Arial" w:hAnsi="Arial" w:cs="Arial"/>
                <w:kern w:val="0"/>
              </w:rPr>
            </w:pPr>
            <w:r w:rsidRPr="00C75581">
              <w:rPr>
                <w:rFonts w:ascii="Arial" w:hAnsi="Arial" w:cs="Arial"/>
                <w:kern w:val="0"/>
              </w:rPr>
              <w:t>.0207</w:t>
            </w:r>
            <w:r>
              <w:rPr>
                <w:rFonts w:ascii="Arial" w:hAnsi="Arial" w:cs="Arial"/>
                <w:kern w:val="0"/>
              </w:rPr>
              <w:t>*</w:t>
            </w:r>
          </w:p>
        </w:tc>
        <w:tc>
          <w:tcPr>
            <w:tcW w:w="1800" w:type="dxa"/>
          </w:tcPr>
          <w:p w14:paraId="563EC14F"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0DBF22DB" w14:textId="77777777" w:rsidTr="001D2CEB">
        <w:trPr>
          <w:tblCellSpacing w:w="14" w:type="dxa"/>
        </w:trPr>
        <w:tc>
          <w:tcPr>
            <w:tcW w:w="5904" w:type="dxa"/>
          </w:tcPr>
          <w:p w14:paraId="272FE1FD" w14:textId="77777777" w:rsidR="006A0BDB" w:rsidRPr="00C75581" w:rsidRDefault="006A0BDB" w:rsidP="001D2CEB">
            <w:pPr>
              <w:rPr>
                <w:rFonts w:ascii="Arial" w:hAnsi="Arial" w:cs="Arial"/>
                <w:kern w:val="0"/>
              </w:rPr>
            </w:pPr>
            <w:r w:rsidRPr="00C75581">
              <w:rPr>
                <w:rFonts w:ascii="Arial" w:hAnsi="Arial" w:cs="Arial"/>
                <w:kern w:val="0"/>
                <w:u w:val="single"/>
              </w:rPr>
              <w:t>Certification of Clinical Assistants</w:t>
            </w:r>
          </w:p>
        </w:tc>
        <w:tc>
          <w:tcPr>
            <w:tcW w:w="849" w:type="dxa"/>
          </w:tcPr>
          <w:p w14:paraId="72FD71FC"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000AD0E7"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39FCE73D"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363FE747" w14:textId="77777777" w:rsidR="006A0BDB" w:rsidRPr="00C75581" w:rsidRDefault="006A0BDB" w:rsidP="001D2CEB">
            <w:pPr>
              <w:rPr>
                <w:rFonts w:ascii="Arial" w:hAnsi="Arial" w:cs="Arial"/>
                <w:kern w:val="0"/>
              </w:rPr>
            </w:pPr>
            <w:r w:rsidRPr="00C75581">
              <w:rPr>
                <w:rFonts w:ascii="Arial" w:hAnsi="Arial" w:cs="Arial"/>
                <w:kern w:val="0"/>
              </w:rPr>
              <w:t>.0213</w:t>
            </w:r>
            <w:r>
              <w:rPr>
                <w:rFonts w:ascii="Arial" w:hAnsi="Arial" w:cs="Arial"/>
                <w:kern w:val="0"/>
              </w:rPr>
              <w:t>*</w:t>
            </w:r>
          </w:p>
        </w:tc>
        <w:tc>
          <w:tcPr>
            <w:tcW w:w="1800" w:type="dxa"/>
          </w:tcPr>
          <w:p w14:paraId="4C986748"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2672B6D7" w14:textId="77777777" w:rsidTr="001D2CEB">
        <w:trPr>
          <w:tblCellSpacing w:w="14" w:type="dxa"/>
        </w:trPr>
        <w:tc>
          <w:tcPr>
            <w:tcW w:w="5904" w:type="dxa"/>
          </w:tcPr>
          <w:p w14:paraId="78A8DC09" w14:textId="77777777" w:rsidR="006A0BDB" w:rsidRPr="00C75581" w:rsidRDefault="006A0BDB" w:rsidP="001D2CEB">
            <w:pPr>
              <w:rPr>
                <w:rFonts w:ascii="Arial" w:hAnsi="Arial" w:cs="Arial"/>
                <w:kern w:val="0"/>
              </w:rPr>
            </w:pPr>
            <w:r w:rsidRPr="00C75581">
              <w:rPr>
                <w:rFonts w:ascii="Arial" w:hAnsi="Arial" w:cs="Arial"/>
                <w:kern w:val="0"/>
                <w:u w:val="single"/>
              </w:rPr>
              <w:t>Petition for Predetermination</w:t>
            </w:r>
          </w:p>
        </w:tc>
        <w:tc>
          <w:tcPr>
            <w:tcW w:w="849" w:type="dxa"/>
          </w:tcPr>
          <w:p w14:paraId="010E331E"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18CBC477"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C3CD668"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24FA3C92" w14:textId="77777777" w:rsidR="006A0BDB" w:rsidRPr="00C75581" w:rsidRDefault="006A0BDB" w:rsidP="001D2CEB">
            <w:pPr>
              <w:rPr>
                <w:rFonts w:ascii="Arial" w:hAnsi="Arial" w:cs="Arial"/>
                <w:kern w:val="0"/>
              </w:rPr>
            </w:pPr>
            <w:r w:rsidRPr="00C75581">
              <w:rPr>
                <w:rFonts w:ascii="Arial" w:hAnsi="Arial" w:cs="Arial"/>
                <w:kern w:val="0"/>
              </w:rPr>
              <w:t>.0215</w:t>
            </w:r>
            <w:r>
              <w:rPr>
                <w:rFonts w:ascii="Arial" w:hAnsi="Arial" w:cs="Arial"/>
                <w:kern w:val="0"/>
              </w:rPr>
              <w:t>*</w:t>
            </w:r>
          </w:p>
        </w:tc>
        <w:tc>
          <w:tcPr>
            <w:tcW w:w="1800" w:type="dxa"/>
          </w:tcPr>
          <w:p w14:paraId="2EF274AC"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196A4F0F" w14:textId="77777777" w:rsidTr="001D2CEB">
        <w:trPr>
          <w:tblCellSpacing w:w="14" w:type="dxa"/>
        </w:trPr>
        <w:tc>
          <w:tcPr>
            <w:tcW w:w="5904" w:type="dxa"/>
          </w:tcPr>
          <w:p w14:paraId="19DD0D1B" w14:textId="77777777" w:rsidR="006A0BDB" w:rsidRPr="00C75581" w:rsidRDefault="006A0BDB" w:rsidP="001D2CEB">
            <w:pPr>
              <w:rPr>
                <w:rFonts w:ascii="Arial" w:hAnsi="Arial" w:cs="Arial"/>
                <w:kern w:val="0"/>
              </w:rPr>
            </w:pPr>
            <w:r w:rsidRPr="00C75581">
              <w:rPr>
                <w:rFonts w:ascii="Arial" w:hAnsi="Arial" w:cs="Arial"/>
                <w:kern w:val="0"/>
                <w:u w:val="single"/>
              </w:rPr>
              <w:t>Advertising and Publicity</w:t>
            </w:r>
          </w:p>
        </w:tc>
        <w:tc>
          <w:tcPr>
            <w:tcW w:w="849" w:type="dxa"/>
          </w:tcPr>
          <w:p w14:paraId="504C84B9"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28C84BA"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3CC8D0B"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594B9EAF" w14:textId="77777777" w:rsidR="006A0BDB" w:rsidRPr="00C75581" w:rsidRDefault="006A0BDB" w:rsidP="001D2CEB">
            <w:pPr>
              <w:rPr>
                <w:rFonts w:ascii="Arial" w:hAnsi="Arial" w:cs="Arial"/>
                <w:kern w:val="0"/>
              </w:rPr>
            </w:pPr>
            <w:r w:rsidRPr="00C75581">
              <w:rPr>
                <w:rFonts w:ascii="Arial" w:hAnsi="Arial" w:cs="Arial"/>
                <w:kern w:val="0"/>
              </w:rPr>
              <w:t>.0302</w:t>
            </w:r>
            <w:r>
              <w:rPr>
                <w:rFonts w:ascii="Arial" w:hAnsi="Arial" w:cs="Arial"/>
                <w:kern w:val="0"/>
              </w:rPr>
              <w:t>*</w:t>
            </w:r>
          </w:p>
        </w:tc>
        <w:tc>
          <w:tcPr>
            <w:tcW w:w="1800" w:type="dxa"/>
          </w:tcPr>
          <w:p w14:paraId="4513888C"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12E2E341" w14:textId="77777777" w:rsidTr="001D2CEB">
        <w:trPr>
          <w:tblCellSpacing w:w="14" w:type="dxa"/>
        </w:trPr>
        <w:tc>
          <w:tcPr>
            <w:tcW w:w="5904" w:type="dxa"/>
          </w:tcPr>
          <w:p w14:paraId="1E67B104" w14:textId="77777777" w:rsidR="006A0BDB" w:rsidRPr="00C75581" w:rsidRDefault="006A0BDB" w:rsidP="001D2CEB">
            <w:pPr>
              <w:rPr>
                <w:rFonts w:ascii="Arial" w:hAnsi="Arial" w:cs="Arial"/>
                <w:kern w:val="0"/>
              </w:rPr>
            </w:pPr>
            <w:r w:rsidRPr="00C75581">
              <w:rPr>
                <w:rFonts w:ascii="Arial" w:hAnsi="Arial" w:cs="Arial"/>
                <w:kern w:val="0"/>
                <w:u w:val="single"/>
              </w:rPr>
              <w:t>Petitions for Adoptions of Rules</w:t>
            </w:r>
          </w:p>
        </w:tc>
        <w:tc>
          <w:tcPr>
            <w:tcW w:w="849" w:type="dxa"/>
          </w:tcPr>
          <w:p w14:paraId="0AFEB3A2"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683E04C6"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E49FF3D"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67D1A2CC" w14:textId="77777777" w:rsidR="006A0BDB" w:rsidRPr="00C75581" w:rsidRDefault="006A0BDB" w:rsidP="001D2CEB">
            <w:pPr>
              <w:rPr>
                <w:rFonts w:ascii="Arial" w:hAnsi="Arial" w:cs="Arial"/>
                <w:kern w:val="0"/>
              </w:rPr>
            </w:pPr>
            <w:r w:rsidRPr="00C75581">
              <w:rPr>
                <w:rFonts w:ascii="Arial" w:hAnsi="Arial" w:cs="Arial"/>
                <w:kern w:val="0"/>
              </w:rPr>
              <w:t>.0401</w:t>
            </w:r>
            <w:r>
              <w:rPr>
                <w:rFonts w:ascii="Arial" w:hAnsi="Arial" w:cs="Arial"/>
                <w:kern w:val="0"/>
              </w:rPr>
              <w:t>*</w:t>
            </w:r>
          </w:p>
        </w:tc>
        <w:tc>
          <w:tcPr>
            <w:tcW w:w="1800" w:type="dxa"/>
          </w:tcPr>
          <w:p w14:paraId="705F4B91"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5D0E2D71" w14:textId="77777777" w:rsidTr="001D2CEB">
        <w:trPr>
          <w:tblCellSpacing w:w="14" w:type="dxa"/>
        </w:trPr>
        <w:tc>
          <w:tcPr>
            <w:tcW w:w="5904" w:type="dxa"/>
          </w:tcPr>
          <w:p w14:paraId="2534E58B" w14:textId="77777777" w:rsidR="006A0BDB" w:rsidRPr="00C75581" w:rsidRDefault="006A0BDB" w:rsidP="001D2CEB">
            <w:pPr>
              <w:rPr>
                <w:rFonts w:ascii="Arial" w:hAnsi="Arial" w:cs="Arial"/>
                <w:kern w:val="0"/>
              </w:rPr>
            </w:pPr>
            <w:r w:rsidRPr="00C75581">
              <w:rPr>
                <w:rFonts w:ascii="Arial" w:hAnsi="Arial" w:cs="Arial"/>
                <w:kern w:val="0"/>
                <w:u w:val="single"/>
              </w:rPr>
              <w:t>Procedure for Adoption of Rules</w:t>
            </w:r>
          </w:p>
        </w:tc>
        <w:tc>
          <w:tcPr>
            <w:tcW w:w="849" w:type="dxa"/>
          </w:tcPr>
          <w:p w14:paraId="7956D06C"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1286B1A7"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545A153B"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1EED4FCD" w14:textId="77777777" w:rsidR="006A0BDB" w:rsidRPr="00C75581" w:rsidRDefault="006A0BDB" w:rsidP="001D2CEB">
            <w:pPr>
              <w:rPr>
                <w:rFonts w:ascii="Arial" w:hAnsi="Arial" w:cs="Arial"/>
                <w:kern w:val="0"/>
              </w:rPr>
            </w:pPr>
            <w:r w:rsidRPr="00C75581">
              <w:rPr>
                <w:rFonts w:ascii="Arial" w:hAnsi="Arial" w:cs="Arial"/>
                <w:kern w:val="0"/>
              </w:rPr>
              <w:t>.0403</w:t>
            </w:r>
            <w:r>
              <w:rPr>
                <w:rFonts w:ascii="Arial" w:hAnsi="Arial" w:cs="Arial"/>
                <w:kern w:val="0"/>
              </w:rPr>
              <w:t>*</w:t>
            </w:r>
          </w:p>
        </w:tc>
        <w:tc>
          <w:tcPr>
            <w:tcW w:w="1800" w:type="dxa"/>
          </w:tcPr>
          <w:p w14:paraId="111B3D5F"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6852055E" w14:textId="77777777" w:rsidTr="001D2CEB">
        <w:trPr>
          <w:tblCellSpacing w:w="14" w:type="dxa"/>
        </w:trPr>
        <w:tc>
          <w:tcPr>
            <w:tcW w:w="5904" w:type="dxa"/>
          </w:tcPr>
          <w:p w14:paraId="03F23048" w14:textId="77777777" w:rsidR="006A0BDB" w:rsidRPr="00C75581" w:rsidRDefault="006A0BDB" w:rsidP="001D2CEB">
            <w:pPr>
              <w:rPr>
                <w:rFonts w:ascii="Arial" w:hAnsi="Arial" w:cs="Arial"/>
                <w:kern w:val="0"/>
              </w:rPr>
            </w:pPr>
            <w:r w:rsidRPr="00C75581">
              <w:rPr>
                <w:rFonts w:ascii="Arial" w:hAnsi="Arial" w:cs="Arial"/>
                <w:kern w:val="0"/>
                <w:u w:val="single"/>
              </w:rPr>
              <w:t>Declaratory Rulings</w:t>
            </w:r>
          </w:p>
        </w:tc>
        <w:tc>
          <w:tcPr>
            <w:tcW w:w="849" w:type="dxa"/>
          </w:tcPr>
          <w:p w14:paraId="7D32E0AA"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3E1E7E6"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C8A2C10"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4BC91C8E" w14:textId="77777777" w:rsidR="006A0BDB" w:rsidRPr="00C75581" w:rsidRDefault="006A0BDB" w:rsidP="001D2CEB">
            <w:pPr>
              <w:rPr>
                <w:rFonts w:ascii="Arial" w:hAnsi="Arial" w:cs="Arial"/>
                <w:kern w:val="0"/>
              </w:rPr>
            </w:pPr>
            <w:r w:rsidRPr="00C75581">
              <w:rPr>
                <w:rFonts w:ascii="Arial" w:hAnsi="Arial" w:cs="Arial"/>
                <w:kern w:val="0"/>
              </w:rPr>
              <w:t>.0406</w:t>
            </w:r>
            <w:r>
              <w:rPr>
                <w:rFonts w:ascii="Arial" w:hAnsi="Arial" w:cs="Arial"/>
                <w:kern w:val="0"/>
              </w:rPr>
              <w:t>*</w:t>
            </w:r>
          </w:p>
        </w:tc>
        <w:tc>
          <w:tcPr>
            <w:tcW w:w="1800" w:type="dxa"/>
          </w:tcPr>
          <w:p w14:paraId="7D595D02"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7C11A43B" w14:textId="77777777" w:rsidTr="001D2CEB">
        <w:trPr>
          <w:tblCellSpacing w:w="14" w:type="dxa"/>
        </w:trPr>
        <w:tc>
          <w:tcPr>
            <w:tcW w:w="5904" w:type="dxa"/>
          </w:tcPr>
          <w:p w14:paraId="2DA4D9DD" w14:textId="77777777" w:rsidR="006A0BDB" w:rsidRPr="00C75581" w:rsidRDefault="006A0BDB" w:rsidP="001D2CEB">
            <w:pPr>
              <w:rPr>
                <w:rFonts w:ascii="Arial" w:hAnsi="Arial" w:cs="Arial"/>
                <w:kern w:val="0"/>
              </w:rPr>
            </w:pPr>
            <w:r w:rsidRPr="00C75581">
              <w:rPr>
                <w:rFonts w:ascii="Arial" w:hAnsi="Arial" w:cs="Arial"/>
                <w:kern w:val="0"/>
                <w:u w:val="single"/>
              </w:rPr>
              <w:t>Filing Complaints</w:t>
            </w:r>
          </w:p>
        </w:tc>
        <w:tc>
          <w:tcPr>
            <w:tcW w:w="849" w:type="dxa"/>
          </w:tcPr>
          <w:p w14:paraId="2846D0A6"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3FBF303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4A9ABDD"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1C32F6C2" w14:textId="77777777" w:rsidR="006A0BDB" w:rsidRPr="00C75581" w:rsidRDefault="006A0BDB" w:rsidP="001D2CEB">
            <w:pPr>
              <w:rPr>
                <w:rFonts w:ascii="Arial" w:hAnsi="Arial" w:cs="Arial"/>
                <w:kern w:val="0"/>
              </w:rPr>
            </w:pPr>
            <w:r w:rsidRPr="00C75581">
              <w:rPr>
                <w:rFonts w:ascii="Arial" w:hAnsi="Arial" w:cs="Arial"/>
                <w:kern w:val="0"/>
              </w:rPr>
              <w:t>.0501</w:t>
            </w:r>
            <w:r>
              <w:rPr>
                <w:rFonts w:ascii="Arial" w:hAnsi="Arial" w:cs="Arial"/>
                <w:kern w:val="0"/>
              </w:rPr>
              <w:t>*</w:t>
            </w:r>
          </w:p>
        </w:tc>
        <w:tc>
          <w:tcPr>
            <w:tcW w:w="1800" w:type="dxa"/>
          </w:tcPr>
          <w:p w14:paraId="6A31302A"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42DB3267" w14:textId="77777777" w:rsidTr="001D2CEB">
        <w:trPr>
          <w:tblCellSpacing w:w="14" w:type="dxa"/>
        </w:trPr>
        <w:tc>
          <w:tcPr>
            <w:tcW w:w="5904" w:type="dxa"/>
          </w:tcPr>
          <w:p w14:paraId="4BD657A1" w14:textId="77777777" w:rsidR="006A0BDB" w:rsidRPr="00C75581" w:rsidRDefault="006A0BDB" w:rsidP="001D2CEB">
            <w:pPr>
              <w:rPr>
                <w:rFonts w:ascii="Arial" w:hAnsi="Arial" w:cs="Arial"/>
                <w:kern w:val="0"/>
              </w:rPr>
            </w:pPr>
            <w:r w:rsidRPr="00C75581">
              <w:rPr>
                <w:rFonts w:ascii="Arial" w:hAnsi="Arial" w:cs="Arial"/>
                <w:kern w:val="0"/>
                <w:u w:val="single"/>
              </w:rPr>
              <w:t>Determination of Probable Cause</w:t>
            </w:r>
          </w:p>
        </w:tc>
        <w:tc>
          <w:tcPr>
            <w:tcW w:w="849" w:type="dxa"/>
          </w:tcPr>
          <w:p w14:paraId="78ECA06A"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8D2F60D"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403607CC"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73D5E3FD" w14:textId="77777777" w:rsidR="006A0BDB" w:rsidRPr="00C75581" w:rsidRDefault="006A0BDB" w:rsidP="001D2CEB">
            <w:pPr>
              <w:rPr>
                <w:rFonts w:ascii="Arial" w:hAnsi="Arial" w:cs="Arial"/>
                <w:kern w:val="0"/>
              </w:rPr>
            </w:pPr>
            <w:r w:rsidRPr="00C75581">
              <w:rPr>
                <w:rFonts w:ascii="Arial" w:hAnsi="Arial" w:cs="Arial"/>
                <w:kern w:val="0"/>
              </w:rPr>
              <w:t>.0503</w:t>
            </w:r>
            <w:r>
              <w:rPr>
                <w:rFonts w:ascii="Arial" w:hAnsi="Arial" w:cs="Arial"/>
                <w:kern w:val="0"/>
              </w:rPr>
              <w:t>*</w:t>
            </w:r>
          </w:p>
        </w:tc>
        <w:tc>
          <w:tcPr>
            <w:tcW w:w="1800" w:type="dxa"/>
          </w:tcPr>
          <w:p w14:paraId="6F985AAB"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0BD48A21" w14:textId="77777777" w:rsidTr="001D2CEB">
        <w:trPr>
          <w:tblCellSpacing w:w="14" w:type="dxa"/>
        </w:trPr>
        <w:tc>
          <w:tcPr>
            <w:tcW w:w="5904" w:type="dxa"/>
          </w:tcPr>
          <w:p w14:paraId="6E2982FD" w14:textId="77777777" w:rsidR="006A0BDB" w:rsidRPr="00C75581" w:rsidRDefault="006A0BDB" w:rsidP="001D2CEB">
            <w:pPr>
              <w:rPr>
                <w:rFonts w:ascii="Arial" w:hAnsi="Arial" w:cs="Arial"/>
                <w:kern w:val="0"/>
              </w:rPr>
            </w:pPr>
            <w:r w:rsidRPr="00C75581">
              <w:rPr>
                <w:rFonts w:ascii="Arial" w:hAnsi="Arial" w:cs="Arial"/>
                <w:kern w:val="0"/>
                <w:u w:val="single"/>
              </w:rPr>
              <w:t>Conduct of Board Hearing</w:t>
            </w:r>
          </w:p>
        </w:tc>
        <w:tc>
          <w:tcPr>
            <w:tcW w:w="849" w:type="dxa"/>
          </w:tcPr>
          <w:p w14:paraId="4993217D"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2C78A2BC"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B07D679"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66BBA111" w14:textId="77777777" w:rsidR="006A0BDB" w:rsidRPr="00C75581" w:rsidRDefault="006A0BDB" w:rsidP="001D2CEB">
            <w:pPr>
              <w:rPr>
                <w:rFonts w:ascii="Arial" w:hAnsi="Arial" w:cs="Arial"/>
                <w:kern w:val="0"/>
              </w:rPr>
            </w:pPr>
            <w:r w:rsidRPr="00C75581">
              <w:rPr>
                <w:rFonts w:ascii="Arial" w:hAnsi="Arial" w:cs="Arial"/>
                <w:kern w:val="0"/>
              </w:rPr>
              <w:t>.0706</w:t>
            </w:r>
            <w:r>
              <w:rPr>
                <w:rFonts w:ascii="Arial" w:hAnsi="Arial" w:cs="Arial"/>
                <w:kern w:val="0"/>
              </w:rPr>
              <w:t>*</w:t>
            </w:r>
          </w:p>
        </w:tc>
        <w:tc>
          <w:tcPr>
            <w:tcW w:w="1800" w:type="dxa"/>
          </w:tcPr>
          <w:p w14:paraId="471F0375"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5C286FEB" w14:textId="77777777" w:rsidTr="001D2CEB">
        <w:trPr>
          <w:tblCellSpacing w:w="14" w:type="dxa"/>
        </w:trPr>
        <w:tc>
          <w:tcPr>
            <w:tcW w:w="5904" w:type="dxa"/>
          </w:tcPr>
          <w:p w14:paraId="73C3D9AB" w14:textId="77777777" w:rsidR="006A0BDB" w:rsidRPr="00C75581" w:rsidRDefault="006A0BDB" w:rsidP="001D2CEB">
            <w:pPr>
              <w:rPr>
                <w:rFonts w:ascii="Arial" w:hAnsi="Arial" w:cs="Arial"/>
                <w:kern w:val="0"/>
              </w:rPr>
            </w:pPr>
            <w:r w:rsidRPr="00C75581">
              <w:rPr>
                <w:rFonts w:ascii="Arial" w:hAnsi="Arial" w:cs="Arial"/>
                <w:kern w:val="0"/>
                <w:u w:val="single"/>
              </w:rPr>
              <w:t>Continuances for Board Hearings</w:t>
            </w:r>
          </w:p>
        </w:tc>
        <w:tc>
          <w:tcPr>
            <w:tcW w:w="849" w:type="dxa"/>
          </w:tcPr>
          <w:p w14:paraId="3B82727A"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166E87D1"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295D1A12"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73BDE067" w14:textId="77777777" w:rsidR="006A0BDB" w:rsidRPr="00C75581" w:rsidRDefault="006A0BDB" w:rsidP="001D2CEB">
            <w:pPr>
              <w:rPr>
                <w:rFonts w:ascii="Arial" w:hAnsi="Arial" w:cs="Arial"/>
                <w:kern w:val="0"/>
              </w:rPr>
            </w:pPr>
            <w:r w:rsidRPr="00C75581">
              <w:rPr>
                <w:rFonts w:ascii="Arial" w:hAnsi="Arial" w:cs="Arial"/>
                <w:kern w:val="0"/>
              </w:rPr>
              <w:t>.0708</w:t>
            </w:r>
            <w:r>
              <w:rPr>
                <w:rFonts w:ascii="Arial" w:hAnsi="Arial" w:cs="Arial"/>
                <w:kern w:val="0"/>
              </w:rPr>
              <w:t>*</w:t>
            </w:r>
          </w:p>
        </w:tc>
        <w:tc>
          <w:tcPr>
            <w:tcW w:w="1800" w:type="dxa"/>
          </w:tcPr>
          <w:p w14:paraId="5656D4A4"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4DCE67C3" w14:textId="77777777" w:rsidTr="001D2CEB">
        <w:trPr>
          <w:tblCellSpacing w:w="14" w:type="dxa"/>
        </w:trPr>
        <w:tc>
          <w:tcPr>
            <w:tcW w:w="5904" w:type="dxa"/>
          </w:tcPr>
          <w:p w14:paraId="165A6A22" w14:textId="77777777" w:rsidR="006A0BDB" w:rsidRPr="00C75581" w:rsidRDefault="006A0BDB" w:rsidP="001D2CEB">
            <w:pPr>
              <w:rPr>
                <w:rFonts w:ascii="Arial" w:hAnsi="Arial" w:cs="Arial"/>
                <w:kern w:val="0"/>
              </w:rPr>
            </w:pPr>
            <w:r w:rsidRPr="00C75581">
              <w:rPr>
                <w:rFonts w:ascii="Arial" w:hAnsi="Arial" w:cs="Arial"/>
                <w:kern w:val="0"/>
                <w:u w:val="single"/>
              </w:rPr>
              <w:t>Subpoenas</w:t>
            </w:r>
          </w:p>
        </w:tc>
        <w:tc>
          <w:tcPr>
            <w:tcW w:w="849" w:type="dxa"/>
          </w:tcPr>
          <w:p w14:paraId="25A65313"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78CDC6A2"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094A20AD" w14:textId="77777777" w:rsidR="006A0BDB" w:rsidRPr="00C75581" w:rsidRDefault="006A0BDB" w:rsidP="001D2CEB">
            <w:pPr>
              <w:rPr>
                <w:rFonts w:ascii="Arial" w:hAnsi="Arial" w:cs="Arial"/>
                <w:kern w:val="0"/>
              </w:rPr>
            </w:pPr>
            <w:r w:rsidRPr="00C75581">
              <w:rPr>
                <w:rFonts w:ascii="Arial" w:hAnsi="Arial" w:cs="Arial"/>
                <w:kern w:val="0"/>
              </w:rPr>
              <w:t>10</w:t>
            </w:r>
          </w:p>
        </w:tc>
        <w:tc>
          <w:tcPr>
            <w:tcW w:w="1152" w:type="dxa"/>
          </w:tcPr>
          <w:p w14:paraId="7BD44F02" w14:textId="77777777" w:rsidR="006A0BDB" w:rsidRPr="00C75581" w:rsidRDefault="006A0BDB" w:rsidP="001D2CEB">
            <w:pPr>
              <w:rPr>
                <w:rFonts w:ascii="Arial" w:hAnsi="Arial" w:cs="Arial"/>
                <w:kern w:val="0"/>
              </w:rPr>
            </w:pPr>
            <w:r w:rsidRPr="00C75581">
              <w:rPr>
                <w:rFonts w:ascii="Arial" w:hAnsi="Arial" w:cs="Arial"/>
                <w:kern w:val="0"/>
              </w:rPr>
              <w:t>.0709</w:t>
            </w:r>
            <w:r>
              <w:rPr>
                <w:rFonts w:ascii="Arial" w:hAnsi="Arial" w:cs="Arial"/>
                <w:kern w:val="0"/>
              </w:rPr>
              <w:t>*</w:t>
            </w:r>
          </w:p>
        </w:tc>
        <w:tc>
          <w:tcPr>
            <w:tcW w:w="1800" w:type="dxa"/>
          </w:tcPr>
          <w:p w14:paraId="1AE7E87B" w14:textId="77777777" w:rsidR="006A0BDB" w:rsidRPr="00C75581" w:rsidRDefault="006A0BDB" w:rsidP="001D2CEB">
            <w:pPr>
              <w:rPr>
                <w:rFonts w:ascii="Arial" w:hAnsi="Arial" w:cs="Arial"/>
                <w:kern w:val="0"/>
              </w:rPr>
            </w:pPr>
            <w:r>
              <w:rPr>
                <w:rFonts w:ascii="Arial" w:hAnsi="Arial" w:cs="Arial"/>
                <w:kern w:val="0"/>
              </w:rPr>
              <w:t>34:06 NCR</w:t>
            </w:r>
          </w:p>
        </w:tc>
      </w:tr>
      <w:tr w:rsidR="006A0BDB" w:rsidRPr="00C75581" w14:paraId="0A0FEF91" w14:textId="77777777" w:rsidTr="001D2CEB">
        <w:trPr>
          <w:tblCellSpacing w:w="14" w:type="dxa"/>
        </w:trPr>
        <w:tc>
          <w:tcPr>
            <w:tcW w:w="10924" w:type="dxa"/>
            <w:gridSpan w:val="6"/>
          </w:tcPr>
          <w:p w14:paraId="026F7CB5" w14:textId="77777777" w:rsidR="006A0BDB" w:rsidRPr="00C75581" w:rsidRDefault="006A0BDB" w:rsidP="001D2CEB">
            <w:pPr>
              <w:spacing w:before="240"/>
              <w:rPr>
                <w:rFonts w:ascii="Arial" w:hAnsi="Arial" w:cs="Arial"/>
                <w:b/>
                <w:bCs/>
                <w:caps/>
                <w:kern w:val="0"/>
                <w:szCs w:val="24"/>
              </w:rPr>
            </w:pPr>
            <w:r w:rsidRPr="00C75581">
              <w:rPr>
                <w:rFonts w:ascii="Arial" w:hAnsi="Arial" w:cs="Arial"/>
                <w:b/>
                <w:bCs/>
                <w:caps/>
                <w:kern w:val="0"/>
                <w:szCs w:val="24"/>
              </w:rPr>
              <w:t>Occupational Therapy, Board of</w:t>
            </w:r>
          </w:p>
        </w:tc>
      </w:tr>
      <w:tr w:rsidR="006A0BDB" w:rsidRPr="00C75581" w14:paraId="1CD5FA94" w14:textId="77777777" w:rsidTr="001D2CEB">
        <w:trPr>
          <w:tblCellSpacing w:w="14" w:type="dxa"/>
        </w:trPr>
        <w:tc>
          <w:tcPr>
            <w:tcW w:w="5904" w:type="dxa"/>
          </w:tcPr>
          <w:p w14:paraId="20664FEB" w14:textId="77777777" w:rsidR="006A0BDB" w:rsidRPr="00C75581" w:rsidRDefault="006A0BDB" w:rsidP="001D2CEB">
            <w:pPr>
              <w:rPr>
                <w:rFonts w:ascii="Arial" w:hAnsi="Arial" w:cs="Arial"/>
                <w:kern w:val="0"/>
              </w:rPr>
            </w:pPr>
            <w:r w:rsidRPr="00C75581">
              <w:rPr>
                <w:rFonts w:ascii="Arial" w:hAnsi="Arial" w:cs="Arial"/>
                <w:kern w:val="0"/>
                <w:u w:val="single"/>
              </w:rPr>
              <w:t>Continuing Competence Definitions</w:t>
            </w:r>
          </w:p>
        </w:tc>
        <w:tc>
          <w:tcPr>
            <w:tcW w:w="849" w:type="dxa"/>
          </w:tcPr>
          <w:p w14:paraId="1014A45C"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02F2184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1C9A3C7E" w14:textId="77777777" w:rsidR="006A0BDB" w:rsidRPr="00C75581" w:rsidRDefault="006A0BDB" w:rsidP="001D2CEB">
            <w:pPr>
              <w:rPr>
                <w:rFonts w:ascii="Arial" w:hAnsi="Arial" w:cs="Arial"/>
                <w:kern w:val="0"/>
              </w:rPr>
            </w:pPr>
            <w:r w:rsidRPr="00C75581">
              <w:rPr>
                <w:rFonts w:ascii="Arial" w:hAnsi="Arial" w:cs="Arial"/>
                <w:kern w:val="0"/>
              </w:rPr>
              <w:t>38</w:t>
            </w:r>
          </w:p>
        </w:tc>
        <w:tc>
          <w:tcPr>
            <w:tcW w:w="1152" w:type="dxa"/>
          </w:tcPr>
          <w:p w14:paraId="640F5DB1" w14:textId="77777777" w:rsidR="006A0BDB" w:rsidRPr="00C75581" w:rsidRDefault="006A0BDB" w:rsidP="001D2CEB">
            <w:pPr>
              <w:rPr>
                <w:rFonts w:ascii="Arial" w:hAnsi="Arial" w:cs="Arial"/>
                <w:kern w:val="0"/>
              </w:rPr>
            </w:pPr>
            <w:r w:rsidRPr="00C75581">
              <w:rPr>
                <w:rFonts w:ascii="Arial" w:hAnsi="Arial" w:cs="Arial"/>
                <w:kern w:val="0"/>
              </w:rPr>
              <w:t>.0801</w:t>
            </w:r>
            <w:r>
              <w:rPr>
                <w:rFonts w:ascii="Arial" w:hAnsi="Arial" w:cs="Arial"/>
                <w:kern w:val="0"/>
              </w:rPr>
              <w:t>*</w:t>
            </w:r>
          </w:p>
        </w:tc>
        <w:tc>
          <w:tcPr>
            <w:tcW w:w="1800" w:type="dxa"/>
          </w:tcPr>
          <w:p w14:paraId="3C8A3311" w14:textId="77777777" w:rsidR="006A0BDB" w:rsidRPr="00C75581" w:rsidRDefault="006A0BDB" w:rsidP="001D2CEB">
            <w:pPr>
              <w:rPr>
                <w:rFonts w:ascii="Arial" w:hAnsi="Arial" w:cs="Arial"/>
                <w:kern w:val="0"/>
              </w:rPr>
            </w:pPr>
            <w:r>
              <w:rPr>
                <w:rFonts w:ascii="Arial" w:hAnsi="Arial" w:cs="Arial"/>
                <w:kern w:val="0"/>
              </w:rPr>
              <w:t>34:04 NCR</w:t>
            </w:r>
          </w:p>
        </w:tc>
      </w:tr>
      <w:tr w:rsidR="006A0BDB" w:rsidRPr="00C75581" w14:paraId="73B8FDC2" w14:textId="77777777" w:rsidTr="001D2CEB">
        <w:trPr>
          <w:tblCellSpacing w:w="14" w:type="dxa"/>
        </w:trPr>
        <w:tc>
          <w:tcPr>
            <w:tcW w:w="5904" w:type="dxa"/>
          </w:tcPr>
          <w:p w14:paraId="57FACCB7" w14:textId="77777777" w:rsidR="006A0BDB" w:rsidRPr="00C75581" w:rsidRDefault="006A0BDB" w:rsidP="001D2CEB">
            <w:pPr>
              <w:rPr>
                <w:rFonts w:ascii="Arial" w:hAnsi="Arial" w:cs="Arial"/>
                <w:kern w:val="0"/>
              </w:rPr>
            </w:pPr>
            <w:r w:rsidRPr="00C75581">
              <w:rPr>
                <w:rFonts w:ascii="Arial" w:hAnsi="Arial" w:cs="Arial"/>
                <w:kern w:val="0"/>
                <w:u w:val="single"/>
              </w:rPr>
              <w:t>Scope of Qualified Activities for Maintaining Continuing ...</w:t>
            </w:r>
          </w:p>
        </w:tc>
        <w:tc>
          <w:tcPr>
            <w:tcW w:w="849" w:type="dxa"/>
          </w:tcPr>
          <w:p w14:paraId="4B8C7739"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66C6B160"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F8FB0C0" w14:textId="77777777" w:rsidR="006A0BDB" w:rsidRPr="00C75581" w:rsidRDefault="006A0BDB" w:rsidP="001D2CEB">
            <w:pPr>
              <w:rPr>
                <w:rFonts w:ascii="Arial" w:hAnsi="Arial" w:cs="Arial"/>
                <w:kern w:val="0"/>
              </w:rPr>
            </w:pPr>
            <w:r w:rsidRPr="00C75581">
              <w:rPr>
                <w:rFonts w:ascii="Arial" w:hAnsi="Arial" w:cs="Arial"/>
                <w:kern w:val="0"/>
              </w:rPr>
              <w:t>38</w:t>
            </w:r>
          </w:p>
        </w:tc>
        <w:tc>
          <w:tcPr>
            <w:tcW w:w="1152" w:type="dxa"/>
          </w:tcPr>
          <w:p w14:paraId="767C9FC5" w14:textId="77777777" w:rsidR="006A0BDB" w:rsidRPr="00C75581" w:rsidRDefault="006A0BDB" w:rsidP="001D2CEB">
            <w:pPr>
              <w:rPr>
                <w:rFonts w:ascii="Arial" w:hAnsi="Arial" w:cs="Arial"/>
                <w:kern w:val="0"/>
              </w:rPr>
            </w:pPr>
            <w:r w:rsidRPr="00C75581">
              <w:rPr>
                <w:rFonts w:ascii="Arial" w:hAnsi="Arial" w:cs="Arial"/>
                <w:kern w:val="0"/>
              </w:rPr>
              <w:t>.0804</w:t>
            </w:r>
            <w:r>
              <w:rPr>
                <w:rFonts w:ascii="Arial" w:hAnsi="Arial" w:cs="Arial"/>
                <w:kern w:val="0"/>
              </w:rPr>
              <w:t>*</w:t>
            </w:r>
          </w:p>
        </w:tc>
        <w:tc>
          <w:tcPr>
            <w:tcW w:w="1800" w:type="dxa"/>
          </w:tcPr>
          <w:p w14:paraId="260A49AB" w14:textId="77777777" w:rsidR="006A0BDB" w:rsidRPr="00C75581" w:rsidRDefault="006A0BDB" w:rsidP="001D2CEB">
            <w:pPr>
              <w:rPr>
                <w:rFonts w:ascii="Arial" w:hAnsi="Arial" w:cs="Arial"/>
                <w:kern w:val="0"/>
              </w:rPr>
            </w:pPr>
            <w:r>
              <w:rPr>
                <w:rFonts w:ascii="Arial" w:hAnsi="Arial" w:cs="Arial"/>
                <w:kern w:val="0"/>
              </w:rPr>
              <w:t>34:04 NCR</w:t>
            </w:r>
          </w:p>
        </w:tc>
      </w:tr>
      <w:tr w:rsidR="006A0BDB" w:rsidRPr="00C75581" w14:paraId="2F9CB8A1" w14:textId="77777777" w:rsidTr="001D2CEB">
        <w:trPr>
          <w:tblCellSpacing w:w="14" w:type="dxa"/>
        </w:trPr>
        <w:tc>
          <w:tcPr>
            <w:tcW w:w="5904" w:type="dxa"/>
          </w:tcPr>
          <w:p w14:paraId="1AEBF71C" w14:textId="77777777" w:rsidR="006A0BDB" w:rsidRPr="00C75581" w:rsidRDefault="006A0BDB" w:rsidP="001D2CEB">
            <w:pPr>
              <w:rPr>
                <w:rFonts w:ascii="Arial" w:hAnsi="Arial" w:cs="Arial"/>
                <w:kern w:val="0"/>
              </w:rPr>
            </w:pPr>
            <w:r w:rsidRPr="00C75581">
              <w:rPr>
                <w:rFonts w:ascii="Arial" w:hAnsi="Arial" w:cs="Arial"/>
                <w:kern w:val="0"/>
                <w:u w:val="single"/>
              </w:rPr>
              <w:t>Qualified Activities for Maintaining Continuing Competence</w:t>
            </w:r>
          </w:p>
        </w:tc>
        <w:tc>
          <w:tcPr>
            <w:tcW w:w="849" w:type="dxa"/>
          </w:tcPr>
          <w:p w14:paraId="6973BBEB" w14:textId="77777777" w:rsidR="006A0BDB" w:rsidRPr="00C75581" w:rsidRDefault="006A0BDB" w:rsidP="001D2CEB">
            <w:pPr>
              <w:jc w:val="right"/>
              <w:rPr>
                <w:rFonts w:ascii="Arial" w:hAnsi="Arial" w:cs="Arial"/>
                <w:kern w:val="0"/>
              </w:rPr>
            </w:pPr>
            <w:r w:rsidRPr="00C75581">
              <w:rPr>
                <w:rFonts w:ascii="Arial" w:hAnsi="Arial" w:cs="Arial"/>
                <w:kern w:val="0"/>
              </w:rPr>
              <w:t>21</w:t>
            </w:r>
          </w:p>
        </w:tc>
        <w:tc>
          <w:tcPr>
            <w:tcW w:w="633" w:type="dxa"/>
          </w:tcPr>
          <w:p w14:paraId="17FD22E8" w14:textId="77777777" w:rsidR="006A0BDB" w:rsidRPr="00C75581" w:rsidRDefault="006A0BDB" w:rsidP="001D2CEB">
            <w:pPr>
              <w:rPr>
                <w:rFonts w:ascii="Arial" w:hAnsi="Arial" w:cs="Arial"/>
                <w:kern w:val="0"/>
              </w:rPr>
            </w:pPr>
            <w:r w:rsidRPr="00C75581">
              <w:rPr>
                <w:rFonts w:ascii="Arial" w:hAnsi="Arial" w:cs="Arial"/>
                <w:kern w:val="0"/>
              </w:rPr>
              <w:t>NCAC</w:t>
            </w:r>
          </w:p>
        </w:tc>
        <w:tc>
          <w:tcPr>
            <w:tcW w:w="446" w:type="dxa"/>
          </w:tcPr>
          <w:p w14:paraId="6530CD69" w14:textId="77777777" w:rsidR="006A0BDB" w:rsidRPr="00C75581" w:rsidRDefault="006A0BDB" w:rsidP="001D2CEB">
            <w:pPr>
              <w:rPr>
                <w:rFonts w:ascii="Arial" w:hAnsi="Arial" w:cs="Arial"/>
                <w:kern w:val="0"/>
              </w:rPr>
            </w:pPr>
            <w:r w:rsidRPr="00C75581">
              <w:rPr>
                <w:rFonts w:ascii="Arial" w:hAnsi="Arial" w:cs="Arial"/>
                <w:kern w:val="0"/>
              </w:rPr>
              <w:t>38</w:t>
            </w:r>
          </w:p>
        </w:tc>
        <w:tc>
          <w:tcPr>
            <w:tcW w:w="1152" w:type="dxa"/>
          </w:tcPr>
          <w:p w14:paraId="1C4518A7" w14:textId="77777777" w:rsidR="006A0BDB" w:rsidRPr="00C75581" w:rsidRDefault="006A0BDB" w:rsidP="001D2CEB">
            <w:pPr>
              <w:rPr>
                <w:rFonts w:ascii="Arial" w:hAnsi="Arial" w:cs="Arial"/>
                <w:kern w:val="0"/>
              </w:rPr>
            </w:pPr>
            <w:r w:rsidRPr="00C75581">
              <w:rPr>
                <w:rFonts w:ascii="Arial" w:hAnsi="Arial" w:cs="Arial"/>
                <w:kern w:val="0"/>
              </w:rPr>
              <w:t>.0805</w:t>
            </w:r>
            <w:r>
              <w:rPr>
                <w:rFonts w:ascii="Arial" w:hAnsi="Arial" w:cs="Arial"/>
                <w:kern w:val="0"/>
              </w:rPr>
              <w:t>*</w:t>
            </w:r>
          </w:p>
        </w:tc>
        <w:tc>
          <w:tcPr>
            <w:tcW w:w="1800" w:type="dxa"/>
          </w:tcPr>
          <w:p w14:paraId="21CF7A8A" w14:textId="77777777" w:rsidR="006A0BDB" w:rsidRPr="00C75581" w:rsidRDefault="006A0BDB" w:rsidP="001D2CEB">
            <w:pPr>
              <w:rPr>
                <w:rFonts w:ascii="Arial" w:hAnsi="Arial" w:cs="Arial"/>
                <w:kern w:val="0"/>
              </w:rPr>
            </w:pPr>
            <w:r>
              <w:rPr>
                <w:rFonts w:ascii="Arial" w:hAnsi="Arial" w:cs="Arial"/>
                <w:kern w:val="0"/>
              </w:rPr>
              <w:t>34:04 NCR</w:t>
            </w:r>
          </w:p>
        </w:tc>
      </w:tr>
    </w:tbl>
    <w:p w14:paraId="2A63D0AE" w14:textId="77777777" w:rsidR="006A0BDB" w:rsidRPr="00E633D5" w:rsidRDefault="006A0BDB" w:rsidP="001D2CEB"/>
    <w:p w14:paraId="52497508" w14:textId="77777777" w:rsidR="006A0BDB" w:rsidRPr="00E633D5" w:rsidRDefault="006A0BDB" w:rsidP="001D2CEB">
      <w:pPr>
        <w:pBdr>
          <w:top w:val="single" w:sz="18" w:space="1" w:color="auto"/>
        </w:pBdr>
        <w:jc w:val="center"/>
      </w:pPr>
    </w:p>
    <w:p w14:paraId="671B9B3B" w14:textId="77777777" w:rsidR="006A0BDB" w:rsidRDefault="006A0BDB" w:rsidP="001D2CEB">
      <w:pPr>
        <w:pStyle w:val="Rule"/>
        <w:sectPr w:rsidR="006A0BDB" w:rsidSect="001D2CEB">
          <w:endnotePr>
            <w:numFmt w:val="decimal"/>
          </w:endnotePr>
          <w:type w:val="continuous"/>
          <w:pgSz w:w="12240" w:h="15840"/>
          <w:pgMar w:top="360" w:right="720" w:bottom="360" w:left="720" w:header="360" w:footer="360" w:gutter="0"/>
          <w:cols w:space="720"/>
        </w:sectPr>
      </w:pPr>
    </w:p>
    <w:p w14:paraId="291F12C8" w14:textId="77777777" w:rsidR="006A0BDB" w:rsidRDefault="006A0BDB" w:rsidP="001D2CEB">
      <w:pPr>
        <w:pStyle w:val="DepartmentTitle"/>
      </w:pPr>
      <w:r>
        <w:t>TITLE 10A - Department of Health and Human Services</w:t>
      </w:r>
    </w:p>
    <w:p w14:paraId="28204F29" w14:textId="77777777" w:rsidR="006A0BDB" w:rsidRDefault="006A0BDB" w:rsidP="001D2CEB"/>
    <w:p w14:paraId="7A899CD3" w14:textId="77777777" w:rsidR="006A0BDB" w:rsidRPr="00475E6F" w:rsidRDefault="006A0BDB" w:rsidP="001D2CEB">
      <w:pPr>
        <w:pStyle w:val="Rule"/>
      </w:pPr>
      <w:r w:rsidRPr="00475E6F">
        <w:t>10A NCAC 13c .1401</w:t>
      </w:r>
      <w:r w:rsidRPr="00475E6F">
        <w:tab/>
        <w:t>DEFINITIONS</w:t>
      </w:r>
    </w:p>
    <w:p w14:paraId="0C524F0E" w14:textId="77777777" w:rsidR="006A0BDB" w:rsidRPr="00475E6F" w:rsidRDefault="006A0BDB" w:rsidP="001D2CEB">
      <w:pPr>
        <w:pStyle w:val="Paragraph"/>
      </w:pPr>
      <w:r w:rsidRPr="00475E6F">
        <w:t>In addition to the definitions set forth in G.S. 131E-146, the following definitions shall apply in Section .1400 of this Subchapter:</w:t>
      </w:r>
    </w:p>
    <w:p w14:paraId="4CAF7E10" w14:textId="77777777" w:rsidR="006A0BDB" w:rsidRPr="00475E6F" w:rsidRDefault="006A0BDB" w:rsidP="001D2CEB">
      <w:pPr>
        <w:pStyle w:val="Item"/>
        <w:tabs>
          <w:tab w:val="clear" w:pos="1800"/>
        </w:tabs>
      </w:pPr>
      <w:r w:rsidRPr="00475E6F">
        <w:t>(1)</w:t>
      </w:r>
      <w:r w:rsidRPr="00475E6F">
        <w:tab/>
        <w:t>"Addition" means an extension or increase in floor area or height of a building.</w:t>
      </w:r>
    </w:p>
    <w:p w14:paraId="03840B93" w14:textId="77777777" w:rsidR="006A0BDB" w:rsidRPr="00475E6F" w:rsidRDefault="006A0BDB" w:rsidP="001D2CEB">
      <w:pPr>
        <w:pStyle w:val="Item"/>
        <w:tabs>
          <w:tab w:val="clear" w:pos="1800"/>
        </w:tabs>
      </w:pPr>
      <w:r w:rsidRPr="00475E6F">
        <w:t>(2)</w:t>
      </w:r>
      <w:r w:rsidRPr="00475E6F">
        <w:tab/>
        <w:t>"Alteration" means any construction or renovation to an existing building other than construction of an addition.</w:t>
      </w:r>
    </w:p>
    <w:p w14:paraId="7BBCBF1F" w14:textId="77777777" w:rsidR="006A0BDB" w:rsidRPr="00475E6F" w:rsidRDefault="006A0BDB" w:rsidP="001D2CEB">
      <w:pPr>
        <w:pStyle w:val="Item"/>
        <w:tabs>
          <w:tab w:val="clear" w:pos="1800"/>
        </w:tabs>
      </w:pPr>
      <w:r w:rsidRPr="00475E6F">
        <w:t>(3)</w:t>
      </w:r>
      <w:r w:rsidRPr="00475E6F">
        <w:tab/>
        <w:t>"Construction documents" means final building plans and specifications for the construction of a facility that a governing body submits to the Construction Section for approval as specified in Rule .0202 of this Subchapter.</w:t>
      </w:r>
    </w:p>
    <w:p w14:paraId="12FCF55C" w14:textId="77777777" w:rsidR="006A0BDB" w:rsidRPr="00475E6F" w:rsidRDefault="006A0BDB" w:rsidP="001D2CEB">
      <w:pPr>
        <w:pStyle w:val="Item"/>
        <w:tabs>
          <w:tab w:val="clear" w:pos="1800"/>
        </w:tabs>
      </w:pPr>
      <w:r w:rsidRPr="00475E6F">
        <w:t>(4)</w:t>
      </w:r>
      <w:r w:rsidRPr="00475E6F">
        <w:tab/>
        <w:t>"Construction Section" means the Construction Section of the Division of Health Service Regulation.</w:t>
      </w:r>
    </w:p>
    <w:p w14:paraId="0D5D8FE2" w14:textId="77777777" w:rsidR="006A0BDB" w:rsidRPr="00475E6F" w:rsidRDefault="006A0BDB" w:rsidP="001D2CEB">
      <w:pPr>
        <w:pStyle w:val="Item"/>
        <w:tabs>
          <w:tab w:val="clear" w:pos="1800"/>
        </w:tabs>
      </w:pPr>
      <w:r w:rsidRPr="00475E6F">
        <w:t>(5)</w:t>
      </w:r>
      <w:r w:rsidRPr="00475E6F">
        <w:tab/>
        <w:t>"Division" means the Division of Health Service Regulation of the North Carolina Department of Health and Human Services.</w:t>
      </w:r>
    </w:p>
    <w:p w14:paraId="59659330" w14:textId="77777777" w:rsidR="006A0BDB" w:rsidRPr="00475E6F" w:rsidRDefault="006A0BDB" w:rsidP="001D2CEB">
      <w:pPr>
        <w:pStyle w:val="Item"/>
        <w:tabs>
          <w:tab w:val="clear" w:pos="1800"/>
        </w:tabs>
      </w:pPr>
      <w:r w:rsidRPr="00475E6F">
        <w:t>(6)</w:t>
      </w:r>
      <w:r w:rsidRPr="00475E6F">
        <w:tab/>
        <w:t>"Facility" means an ambulatory surgical facility as defined in G.S. 131E-146.</w:t>
      </w:r>
    </w:p>
    <w:p w14:paraId="28CC7A38" w14:textId="77777777" w:rsidR="006A0BDB" w:rsidRPr="00475E6F" w:rsidRDefault="006A0BDB" w:rsidP="001D2CEB">
      <w:pPr>
        <w:pStyle w:val="Item"/>
        <w:tabs>
          <w:tab w:val="clear" w:pos="1800"/>
        </w:tabs>
      </w:pPr>
      <w:r w:rsidRPr="00475E6F">
        <w:t>(7)</w:t>
      </w:r>
      <w:r w:rsidRPr="00475E6F">
        <w:tab/>
        <w:t>"FGI Guidelines" means the Guidelines for Design and Construction of Outpatient Facilities that is incorporated by reference in Rule .1402 of this Section.</w:t>
      </w:r>
    </w:p>
    <w:p w14:paraId="477991C2" w14:textId="77777777" w:rsidR="006A0BDB" w:rsidRPr="00475E6F" w:rsidRDefault="006A0BDB" w:rsidP="001D2CEB">
      <w:pPr>
        <w:pStyle w:val="Base"/>
      </w:pPr>
    </w:p>
    <w:p w14:paraId="1DD98A08" w14:textId="77777777" w:rsidR="006A0BDB" w:rsidRPr="00475E6F" w:rsidRDefault="006A0BDB" w:rsidP="001D2CEB">
      <w:pPr>
        <w:pStyle w:val="History"/>
      </w:pPr>
      <w:r w:rsidRPr="00475E6F">
        <w:t>History Note:</w:t>
      </w:r>
      <w:r w:rsidRPr="00475E6F">
        <w:tab/>
        <w:t>Authority G.S. 131E-145; 131E-146; 131E</w:t>
      </w:r>
      <w:r w:rsidRPr="00475E6F">
        <w:noBreakHyphen/>
        <w:t>149;</w:t>
      </w:r>
    </w:p>
    <w:p w14:paraId="3D91247B" w14:textId="77777777" w:rsidR="006A0BDB" w:rsidRPr="00475E6F" w:rsidRDefault="006A0BDB" w:rsidP="001D2CEB">
      <w:pPr>
        <w:pStyle w:val="HistoryAfter"/>
      </w:pPr>
      <w:r w:rsidRPr="00475E6F">
        <w:t xml:space="preserve">Eff. </w:t>
      </w:r>
      <w:smartTag w:uri="urn:schemas-microsoft-com:office:smarttags" w:element="date">
        <w:smartTagPr>
          <w:attr w:name="Year" w:val="1978"/>
          <w:attr w:name="Day" w:val="14"/>
          <w:attr w:name="Month" w:val="10"/>
        </w:smartTagPr>
        <w:r w:rsidRPr="00475E6F">
          <w:t>October 14, 1978</w:t>
        </w:r>
      </w:smartTag>
      <w:r w:rsidRPr="00475E6F">
        <w:t>;</w:t>
      </w:r>
    </w:p>
    <w:p w14:paraId="043158C8" w14:textId="77777777" w:rsidR="006A0BDB" w:rsidRPr="00475E6F" w:rsidRDefault="006A0BDB" w:rsidP="001D2CEB">
      <w:pPr>
        <w:pStyle w:val="HistoryAfter"/>
      </w:pPr>
      <w:r w:rsidRPr="00475E6F">
        <w:t xml:space="preserve">Amended Eff. </w:t>
      </w:r>
      <w:smartTag w:uri="urn:schemas-microsoft-com:office:smarttags" w:element="date">
        <w:smartTagPr>
          <w:attr w:name="Year" w:val="1979"/>
          <w:attr w:name="Day" w:val="24"/>
          <w:attr w:name="Month" w:val="12"/>
        </w:smartTagPr>
        <w:r w:rsidRPr="00475E6F">
          <w:t>December 24, 1979</w:t>
        </w:r>
      </w:smartTag>
      <w:r w:rsidRPr="00475E6F">
        <w:t>;</w:t>
      </w:r>
    </w:p>
    <w:p w14:paraId="742798D1" w14:textId="77777777" w:rsidR="006A0BDB" w:rsidRPr="00475E6F" w:rsidRDefault="006A0BDB" w:rsidP="001D2CEB">
      <w:pPr>
        <w:pStyle w:val="HistoryAfter"/>
      </w:pPr>
      <w:r w:rsidRPr="00475E6F">
        <w:t>Pursuant to G.S. 150B-21.3A, rule is necessary without substantive public interest Eff. December 23, 2017;</w:t>
      </w:r>
    </w:p>
    <w:p w14:paraId="2E1E718E" w14:textId="77777777" w:rsidR="006A0BDB" w:rsidRPr="00475E6F" w:rsidRDefault="006A0BDB" w:rsidP="001D2CEB">
      <w:pPr>
        <w:pStyle w:val="HistoryAfter"/>
      </w:pPr>
      <w:r w:rsidRPr="00475E6F">
        <w:t>Amended Eff. January 1, 2020.</w:t>
      </w:r>
    </w:p>
    <w:p w14:paraId="60F71027" w14:textId="77777777" w:rsidR="006A0BDB" w:rsidRDefault="006A0BDB" w:rsidP="001D2CEB">
      <w:pPr>
        <w:pStyle w:val="Base"/>
      </w:pPr>
    </w:p>
    <w:p w14:paraId="01339185" w14:textId="77777777" w:rsidR="006A0BDB" w:rsidRPr="009B1648" w:rsidRDefault="006A0BDB" w:rsidP="001D2CEB">
      <w:pPr>
        <w:pStyle w:val="Rule"/>
        <w:rPr>
          <w:rFonts w:eastAsiaTheme="minorHAnsi"/>
        </w:rPr>
      </w:pPr>
      <w:r w:rsidRPr="009B1648">
        <w:t>10A NCAC 13C .1402</w:t>
      </w:r>
      <w:r w:rsidRPr="009B1648">
        <w:tab/>
      </w:r>
      <w:r w:rsidRPr="009B1648">
        <w:rPr>
          <w:rFonts w:eastAsiaTheme="minorHAnsi"/>
        </w:rPr>
        <w:t>LIST OF REFERENCED GUIDELINES, CODES,</w:t>
      </w:r>
      <w:r>
        <w:rPr>
          <w:rFonts w:eastAsiaTheme="minorHAnsi"/>
        </w:rPr>
        <w:t xml:space="preserve"> </w:t>
      </w:r>
      <w:r w:rsidRPr="009B1648">
        <w:rPr>
          <w:rFonts w:eastAsiaTheme="minorHAnsi"/>
        </w:rPr>
        <w:t>STANDARDS, AND REGULATION</w:t>
      </w:r>
    </w:p>
    <w:p w14:paraId="32625DA1" w14:textId="77777777" w:rsidR="006A0BDB" w:rsidRPr="009B1648" w:rsidRDefault="006A0BDB" w:rsidP="001D2CEB">
      <w:pPr>
        <w:pStyle w:val="Paragraph"/>
        <w:rPr>
          <w:rFonts w:eastAsiaTheme="minorHAnsi"/>
        </w:rPr>
      </w:pPr>
      <w:r w:rsidRPr="009B1648">
        <w:rPr>
          <w:rFonts w:eastAsiaTheme="minorHAnsi"/>
        </w:rPr>
        <w:t xml:space="preserve">(a) </w:t>
      </w:r>
      <w:r>
        <w:rPr>
          <w:rFonts w:eastAsiaTheme="minorHAnsi"/>
        </w:rPr>
        <w:t xml:space="preserve"> </w:t>
      </w:r>
      <w:r w:rsidRPr="009B1648">
        <w:rPr>
          <w:rFonts w:eastAsiaTheme="minorHAnsi"/>
        </w:rPr>
        <w:t>The FGI Guidelines are incorporated herein by reference, including all subsequent amendments and editions; however, the following chapters of the FGI Guidelines shall not be incorporated herein by reference:</w:t>
      </w:r>
    </w:p>
    <w:p w14:paraId="02AEB9D1" w14:textId="77777777" w:rsidR="006A0BDB" w:rsidRPr="009B1648" w:rsidRDefault="006A0BDB" w:rsidP="001D2CEB">
      <w:pPr>
        <w:pStyle w:val="SubParagraph"/>
        <w:rPr>
          <w:rFonts w:eastAsiaTheme="minorHAnsi"/>
        </w:rPr>
      </w:pPr>
      <w:r w:rsidRPr="009B1648">
        <w:rPr>
          <w:rFonts w:eastAsiaTheme="minorHAnsi"/>
        </w:rPr>
        <w:t>(1)</w:t>
      </w:r>
      <w:r w:rsidRPr="009B1648">
        <w:rPr>
          <w:rFonts w:eastAsiaTheme="minorHAnsi"/>
        </w:rPr>
        <w:tab/>
        <w:t>Chapter 2.3;</w:t>
      </w:r>
    </w:p>
    <w:p w14:paraId="041B3B1E" w14:textId="77777777" w:rsidR="006A0BDB" w:rsidRPr="009B1648" w:rsidRDefault="006A0BDB" w:rsidP="001D2CEB">
      <w:pPr>
        <w:pStyle w:val="SubParagraph"/>
        <w:rPr>
          <w:rFonts w:eastAsiaTheme="minorHAnsi"/>
        </w:rPr>
      </w:pPr>
      <w:r w:rsidRPr="009B1648">
        <w:rPr>
          <w:rFonts w:eastAsiaTheme="minorHAnsi"/>
        </w:rPr>
        <w:t>(2)</w:t>
      </w:r>
      <w:r w:rsidRPr="009B1648">
        <w:rPr>
          <w:rFonts w:eastAsiaTheme="minorHAnsi"/>
        </w:rPr>
        <w:tab/>
        <w:t>Chapter 2.4;</w:t>
      </w:r>
    </w:p>
    <w:p w14:paraId="23B7A1DE" w14:textId="77777777" w:rsidR="006A0BDB" w:rsidRPr="009B1648" w:rsidRDefault="006A0BDB" w:rsidP="001D2CEB">
      <w:pPr>
        <w:pStyle w:val="SubParagraph"/>
        <w:rPr>
          <w:rFonts w:eastAsiaTheme="minorHAnsi"/>
        </w:rPr>
      </w:pPr>
      <w:r w:rsidRPr="009B1648">
        <w:rPr>
          <w:rFonts w:eastAsiaTheme="minorHAnsi"/>
        </w:rPr>
        <w:t>(3)</w:t>
      </w:r>
      <w:r w:rsidRPr="009B1648">
        <w:rPr>
          <w:rFonts w:eastAsiaTheme="minorHAnsi"/>
        </w:rPr>
        <w:tab/>
        <w:t>Chapter 2.5;</w:t>
      </w:r>
    </w:p>
    <w:p w14:paraId="56C977B3" w14:textId="77777777" w:rsidR="006A0BDB" w:rsidRPr="009B1648" w:rsidRDefault="006A0BDB" w:rsidP="001D2CEB">
      <w:pPr>
        <w:pStyle w:val="SubParagraph"/>
        <w:rPr>
          <w:rFonts w:eastAsiaTheme="minorHAnsi"/>
        </w:rPr>
      </w:pPr>
      <w:r w:rsidRPr="009B1648">
        <w:rPr>
          <w:rFonts w:eastAsiaTheme="minorHAnsi"/>
        </w:rPr>
        <w:t>(4)</w:t>
      </w:r>
      <w:r w:rsidRPr="009B1648">
        <w:rPr>
          <w:rFonts w:eastAsiaTheme="minorHAnsi"/>
        </w:rPr>
        <w:tab/>
        <w:t>Chapter 2.6;</w:t>
      </w:r>
    </w:p>
    <w:p w14:paraId="0A01EDDD" w14:textId="77777777" w:rsidR="006A0BDB" w:rsidRPr="009B1648" w:rsidRDefault="006A0BDB" w:rsidP="001D2CEB">
      <w:pPr>
        <w:pStyle w:val="SubParagraph"/>
        <w:rPr>
          <w:rFonts w:eastAsiaTheme="minorHAnsi"/>
        </w:rPr>
      </w:pPr>
      <w:r w:rsidRPr="009B1648">
        <w:rPr>
          <w:rFonts w:eastAsiaTheme="minorHAnsi"/>
        </w:rPr>
        <w:t>(5)</w:t>
      </w:r>
      <w:r w:rsidRPr="009B1648">
        <w:rPr>
          <w:rFonts w:eastAsiaTheme="minorHAnsi"/>
        </w:rPr>
        <w:tab/>
        <w:t>Chapter 2.8;</w:t>
      </w:r>
    </w:p>
    <w:p w14:paraId="070EF6FA" w14:textId="77777777" w:rsidR="006A0BDB" w:rsidRPr="009B1648" w:rsidRDefault="006A0BDB" w:rsidP="001D2CEB">
      <w:pPr>
        <w:pStyle w:val="SubParagraph"/>
        <w:rPr>
          <w:rFonts w:eastAsiaTheme="minorHAnsi"/>
        </w:rPr>
      </w:pPr>
      <w:r w:rsidRPr="009B1648">
        <w:rPr>
          <w:rFonts w:eastAsiaTheme="minorHAnsi"/>
        </w:rPr>
        <w:t>(6)</w:t>
      </w:r>
      <w:r w:rsidRPr="009B1648">
        <w:rPr>
          <w:rFonts w:eastAsiaTheme="minorHAnsi"/>
        </w:rPr>
        <w:tab/>
        <w:t>Chapter 2.10;</w:t>
      </w:r>
    </w:p>
    <w:p w14:paraId="6425976E" w14:textId="77777777" w:rsidR="006A0BDB" w:rsidRPr="009B1648" w:rsidRDefault="006A0BDB" w:rsidP="001D2CEB">
      <w:pPr>
        <w:pStyle w:val="SubParagraph"/>
        <w:rPr>
          <w:rFonts w:eastAsiaTheme="minorHAnsi"/>
        </w:rPr>
      </w:pPr>
      <w:r w:rsidRPr="009B1648">
        <w:rPr>
          <w:rFonts w:eastAsiaTheme="minorHAnsi"/>
        </w:rPr>
        <w:t>(7)</w:t>
      </w:r>
      <w:r w:rsidRPr="009B1648">
        <w:rPr>
          <w:rFonts w:eastAsiaTheme="minorHAnsi"/>
        </w:rPr>
        <w:tab/>
        <w:t>Chapter 2.11;</w:t>
      </w:r>
    </w:p>
    <w:p w14:paraId="112F4329" w14:textId="77777777" w:rsidR="006A0BDB" w:rsidRPr="009B1648" w:rsidRDefault="006A0BDB" w:rsidP="001D2CEB">
      <w:pPr>
        <w:pStyle w:val="SubParagraph"/>
        <w:rPr>
          <w:rFonts w:eastAsiaTheme="minorHAnsi"/>
        </w:rPr>
      </w:pPr>
      <w:r w:rsidRPr="009B1648">
        <w:rPr>
          <w:rFonts w:eastAsiaTheme="minorHAnsi"/>
        </w:rPr>
        <w:t>(8)</w:t>
      </w:r>
      <w:r w:rsidRPr="009B1648">
        <w:rPr>
          <w:rFonts w:eastAsiaTheme="minorHAnsi"/>
        </w:rPr>
        <w:tab/>
        <w:t>Chapter 2.12;</w:t>
      </w:r>
    </w:p>
    <w:p w14:paraId="5D303A75" w14:textId="77777777" w:rsidR="006A0BDB" w:rsidRPr="009B1648" w:rsidRDefault="006A0BDB" w:rsidP="001D2CEB">
      <w:pPr>
        <w:pStyle w:val="SubParagraph"/>
        <w:rPr>
          <w:rFonts w:eastAsiaTheme="minorHAnsi"/>
        </w:rPr>
      </w:pPr>
      <w:r w:rsidRPr="009B1648">
        <w:rPr>
          <w:rFonts w:eastAsiaTheme="minorHAnsi"/>
        </w:rPr>
        <w:t>(9)</w:t>
      </w:r>
      <w:r w:rsidRPr="009B1648">
        <w:rPr>
          <w:rFonts w:eastAsiaTheme="minorHAnsi"/>
        </w:rPr>
        <w:tab/>
        <w:t>Chapter 2.13; and</w:t>
      </w:r>
    </w:p>
    <w:p w14:paraId="1E3F8E0C" w14:textId="77777777" w:rsidR="006A0BDB" w:rsidRPr="009B1648" w:rsidRDefault="006A0BDB" w:rsidP="001D2CEB">
      <w:pPr>
        <w:pStyle w:val="SubParagraph"/>
        <w:rPr>
          <w:rFonts w:eastAsiaTheme="minorHAnsi"/>
        </w:rPr>
      </w:pPr>
      <w:r w:rsidRPr="009B1648">
        <w:rPr>
          <w:rFonts w:eastAsiaTheme="minorHAnsi"/>
        </w:rPr>
        <w:t>(10)</w:t>
      </w:r>
      <w:r w:rsidRPr="009B1648">
        <w:rPr>
          <w:rFonts w:eastAsiaTheme="minorHAnsi"/>
        </w:rPr>
        <w:tab/>
        <w:t>Chapter 2.14.</w:t>
      </w:r>
    </w:p>
    <w:p w14:paraId="07391949" w14:textId="77777777" w:rsidR="006A0BDB" w:rsidRPr="009B1648" w:rsidRDefault="006A0BDB" w:rsidP="001D2CEB">
      <w:pPr>
        <w:pStyle w:val="Paragraph"/>
        <w:rPr>
          <w:rFonts w:eastAsiaTheme="minorHAnsi"/>
        </w:rPr>
      </w:pPr>
      <w:r w:rsidRPr="009B1648">
        <w:rPr>
          <w:rFonts w:eastAsiaTheme="minorHAnsi"/>
        </w:rPr>
        <w:t xml:space="preserve">Copies of the FGI Guidelines may be purchased from the Facility Guidelines Institute online at https://www.fgiguidelines.org/guidelines-main/purchase/ at a </w:t>
      </w:r>
      <w:r w:rsidRPr="009B1648">
        <w:rPr>
          <w:rFonts w:eastAsiaTheme="minorHAnsi"/>
        </w:rPr>
        <w:t>cost of two hundred dollars ($200.00) or accessed electronically free of charge at https://www.fgiguidelines.org/guidelines-main/.</w:t>
      </w:r>
    </w:p>
    <w:p w14:paraId="348BBE77" w14:textId="77777777" w:rsidR="006A0BDB" w:rsidRPr="009B1648" w:rsidRDefault="006A0BDB" w:rsidP="001D2CEB">
      <w:pPr>
        <w:pStyle w:val="Paragraph"/>
        <w:rPr>
          <w:rFonts w:eastAsiaTheme="minorHAnsi"/>
        </w:rPr>
      </w:pPr>
      <w:r w:rsidRPr="009B1648">
        <w:rPr>
          <w:rFonts w:eastAsiaTheme="minorHAnsi"/>
        </w:rPr>
        <w:t xml:space="preserve">(b) </w:t>
      </w:r>
      <w:r>
        <w:rPr>
          <w:rFonts w:eastAsiaTheme="minorHAnsi"/>
        </w:rPr>
        <w:t xml:space="preserve"> </w:t>
      </w:r>
      <w:r w:rsidRPr="009B1648">
        <w:rPr>
          <w:rFonts w:eastAsiaTheme="minorHAnsi"/>
        </w:rPr>
        <w:t>For the purposes of the rules of this Section, the following codes, standards, and regulation are incorporated herein by reference including subsequent amendments and editions. Copies of these codes, standards, and regulation may be obtained or accessed from the online addresses listed:</w:t>
      </w:r>
    </w:p>
    <w:p w14:paraId="7016B6DD" w14:textId="77777777" w:rsidR="006A0BDB" w:rsidRPr="009B1648" w:rsidRDefault="006A0BDB" w:rsidP="001D2CEB">
      <w:pPr>
        <w:pStyle w:val="SubParagraph"/>
        <w:rPr>
          <w:rFonts w:eastAsiaTheme="minorHAnsi"/>
        </w:rPr>
      </w:pPr>
      <w:r w:rsidRPr="009B1648">
        <w:rPr>
          <w:rFonts w:eastAsiaTheme="minorHAnsi"/>
        </w:rPr>
        <w:t>(1)</w:t>
      </w:r>
      <w:r w:rsidRPr="009B1648">
        <w:rPr>
          <w:rFonts w:eastAsiaTheme="minorHAnsi"/>
        </w:rPr>
        <w:tab/>
      </w:r>
      <w:r w:rsidRPr="009B1648">
        <w:t xml:space="preserve">the North Carolina State Building Codes with </w:t>
      </w:r>
      <w:r w:rsidRPr="009B1648">
        <w:rPr>
          <w:rFonts w:eastAsiaTheme="minorHAnsi"/>
        </w:rPr>
        <w:t xml:space="preserve">copies that may be purchased from the International Code Council online at https://shop.iccsafe.org/ at a cost of six hundred sixty-six dollars ($666.00) or accessed electronically free of charge at </w:t>
      </w:r>
      <w:r w:rsidRPr="009B1648">
        <w:t>https://shop.iccsafe.org/state-and-local-codes/north-carolina.html</w:t>
      </w:r>
      <w:r w:rsidRPr="009B1648">
        <w:rPr>
          <w:rFonts w:eastAsiaTheme="minorHAnsi"/>
        </w:rPr>
        <w:t>;</w:t>
      </w:r>
    </w:p>
    <w:p w14:paraId="3272421C" w14:textId="77777777" w:rsidR="006A0BDB" w:rsidRPr="009B1648" w:rsidRDefault="006A0BDB" w:rsidP="001D2CEB">
      <w:pPr>
        <w:pStyle w:val="SubParagraph"/>
        <w:rPr>
          <w:rFonts w:eastAsiaTheme="minorHAnsi"/>
        </w:rPr>
      </w:pPr>
      <w:r w:rsidRPr="009B1648">
        <w:rPr>
          <w:rFonts w:eastAsiaTheme="minorHAnsi"/>
        </w:rPr>
        <w:t>(2)</w:t>
      </w:r>
      <w:r w:rsidRPr="009B1648">
        <w:rPr>
          <w:rFonts w:eastAsiaTheme="minorHAnsi"/>
        </w:rPr>
        <w:tab/>
        <w:t>the following National Fire Protection Association standards, codes, and guidelines with copies of these standards, codes, and guidelines that may be accessed electronically free of charge at</w:t>
      </w:r>
      <w:r w:rsidRPr="009B1648">
        <w:rPr>
          <w:rFonts w:eastAsiaTheme="minorHAnsi"/>
          <w:szCs w:val="22"/>
        </w:rPr>
        <w:t xml:space="preserve"> </w:t>
      </w:r>
      <w:r w:rsidRPr="009B1648">
        <w:rPr>
          <w:rFonts w:eastAsiaTheme="minorHAnsi"/>
        </w:rPr>
        <w:t>https://www.nfpa.org/Codes-and-Standards/All-Codes-and-Standards/List-of-Codes-and-Standards or may be purchased online at https://catalog.nfpa.org/Codes-and-Standards-C3322.aspx for the costs listed:</w:t>
      </w:r>
    </w:p>
    <w:p w14:paraId="645EEF88" w14:textId="77777777" w:rsidR="006A0BDB" w:rsidRPr="009B1648" w:rsidRDefault="006A0BDB" w:rsidP="001D2CEB">
      <w:pPr>
        <w:pStyle w:val="Part"/>
        <w:rPr>
          <w:rFonts w:eastAsiaTheme="minorHAnsi"/>
        </w:rPr>
      </w:pPr>
      <w:r w:rsidRPr="009B1648">
        <w:rPr>
          <w:rFonts w:eastAsiaTheme="minorHAnsi"/>
        </w:rPr>
        <w:t>(A)</w:t>
      </w:r>
      <w:r w:rsidRPr="009B1648">
        <w:rPr>
          <w:rFonts w:eastAsiaTheme="minorHAnsi"/>
        </w:rPr>
        <w:tab/>
        <w:t>NFPA 22, Standard for Water Tanks for Private Fire Protection for a cost of fifty-four dollars ($54.00);</w:t>
      </w:r>
    </w:p>
    <w:p w14:paraId="29181990" w14:textId="77777777" w:rsidR="006A0BDB" w:rsidRPr="009B1648" w:rsidRDefault="006A0BDB" w:rsidP="001D2CEB">
      <w:pPr>
        <w:pStyle w:val="Part"/>
        <w:rPr>
          <w:rFonts w:eastAsiaTheme="minorHAnsi"/>
        </w:rPr>
      </w:pPr>
      <w:r w:rsidRPr="009B1648">
        <w:rPr>
          <w:rFonts w:eastAsiaTheme="minorHAnsi"/>
        </w:rPr>
        <w:t>(B)</w:t>
      </w:r>
      <w:r w:rsidRPr="009B1648">
        <w:rPr>
          <w:rFonts w:eastAsiaTheme="minorHAnsi"/>
        </w:rPr>
        <w:tab/>
        <w:t>NFPA 53, Recommended Practice on Materials, Equipment, and Systems Used in Oxygen-Enriched Atmospheres for a cost of fifty-three dollars ($53.00);</w:t>
      </w:r>
    </w:p>
    <w:p w14:paraId="1C996508" w14:textId="77777777" w:rsidR="006A0BDB" w:rsidRPr="009B1648" w:rsidRDefault="006A0BDB" w:rsidP="001D2CEB">
      <w:pPr>
        <w:pStyle w:val="Part"/>
        <w:rPr>
          <w:rFonts w:eastAsiaTheme="minorHAnsi"/>
        </w:rPr>
      </w:pPr>
      <w:r w:rsidRPr="009B1648">
        <w:rPr>
          <w:rFonts w:eastAsiaTheme="minorHAnsi"/>
        </w:rPr>
        <w:t>(C)</w:t>
      </w:r>
      <w:r w:rsidRPr="009B1648">
        <w:rPr>
          <w:rFonts w:eastAsiaTheme="minorHAnsi"/>
        </w:rPr>
        <w:tab/>
        <w:t>NFPA 59A, Standard for the Production, Storage, and Handling of Liquefied Natural Gas for a cost of fifty-four dollars ($54.00);</w:t>
      </w:r>
    </w:p>
    <w:p w14:paraId="43C5B4D4" w14:textId="77777777" w:rsidR="006A0BDB" w:rsidRPr="009B1648" w:rsidRDefault="006A0BDB" w:rsidP="001D2CEB">
      <w:pPr>
        <w:pStyle w:val="Part"/>
      </w:pPr>
      <w:r w:rsidRPr="009B1648">
        <w:t>(D)</w:t>
      </w:r>
      <w:r w:rsidRPr="009B1648">
        <w:tab/>
        <w:t>NFPA 99, Health Care Facilities Code for a cost of seventy-seven dollars ($77.00);</w:t>
      </w:r>
    </w:p>
    <w:p w14:paraId="12B70974" w14:textId="77777777" w:rsidR="006A0BDB" w:rsidRPr="009B1648" w:rsidRDefault="006A0BDB" w:rsidP="001D2CEB">
      <w:pPr>
        <w:pStyle w:val="Part"/>
      </w:pPr>
      <w:r w:rsidRPr="009B1648">
        <w:t>(E)</w:t>
      </w:r>
      <w:r w:rsidRPr="009B1648">
        <w:tab/>
        <w:t>NFPA 101, Life Safety Code for a cost of one hundred and five dollars and fifty cents ($105.50);</w:t>
      </w:r>
    </w:p>
    <w:p w14:paraId="12F251DA" w14:textId="77777777" w:rsidR="006A0BDB" w:rsidRPr="009B1648" w:rsidRDefault="006A0BDB" w:rsidP="001D2CEB">
      <w:pPr>
        <w:pStyle w:val="Part"/>
        <w:rPr>
          <w:rFonts w:eastAsiaTheme="minorHAnsi"/>
        </w:rPr>
      </w:pPr>
      <w:r w:rsidRPr="009B1648">
        <w:rPr>
          <w:rFonts w:eastAsiaTheme="minorHAnsi"/>
        </w:rPr>
        <w:t>(F)</w:t>
      </w:r>
      <w:r w:rsidRPr="009B1648">
        <w:rPr>
          <w:rFonts w:eastAsiaTheme="minorHAnsi"/>
        </w:rPr>
        <w:tab/>
        <w:t>NFPA 255, Standard Method of Test of Surface Burning Characteristics of Building Materials for a cost of forty-two dollars ($42.00);</w:t>
      </w:r>
    </w:p>
    <w:p w14:paraId="753AE033" w14:textId="77777777" w:rsidR="006A0BDB" w:rsidRPr="009B1648" w:rsidRDefault="006A0BDB" w:rsidP="001D2CEB">
      <w:pPr>
        <w:pStyle w:val="Part"/>
        <w:rPr>
          <w:rFonts w:eastAsiaTheme="minorHAnsi"/>
        </w:rPr>
      </w:pPr>
      <w:r w:rsidRPr="009B1648">
        <w:rPr>
          <w:rFonts w:eastAsiaTheme="minorHAnsi"/>
        </w:rPr>
        <w:t>(G)</w:t>
      </w:r>
      <w:r w:rsidRPr="009B1648">
        <w:rPr>
          <w:rFonts w:eastAsiaTheme="minorHAnsi"/>
        </w:rPr>
        <w:tab/>
        <w:t>NFPA 407, Standard for Aircraft Fuel Servicing for a cost of forty-nine dollars ($49.00);</w:t>
      </w:r>
    </w:p>
    <w:p w14:paraId="6EB7F3B8" w14:textId="77777777" w:rsidR="006A0BDB" w:rsidRPr="009B1648" w:rsidRDefault="006A0BDB" w:rsidP="001D2CEB">
      <w:pPr>
        <w:pStyle w:val="Part"/>
        <w:rPr>
          <w:rFonts w:eastAsiaTheme="minorHAnsi"/>
        </w:rPr>
      </w:pPr>
      <w:r w:rsidRPr="009B1648">
        <w:rPr>
          <w:rFonts w:eastAsiaTheme="minorHAnsi"/>
        </w:rPr>
        <w:t>(H)</w:t>
      </w:r>
      <w:r w:rsidRPr="009B1648">
        <w:rPr>
          <w:rFonts w:eastAsiaTheme="minorHAnsi"/>
        </w:rPr>
        <w:tab/>
        <w:t>NFPA 705, Recommended Practice for a Field Flame Test for Textiles and Films for a cost of forty-two dollars ($42.00);</w:t>
      </w:r>
    </w:p>
    <w:p w14:paraId="220DC8F7" w14:textId="77777777" w:rsidR="006A0BDB" w:rsidRPr="009B1648" w:rsidRDefault="006A0BDB" w:rsidP="001D2CEB">
      <w:pPr>
        <w:pStyle w:val="Part"/>
        <w:rPr>
          <w:rFonts w:eastAsiaTheme="minorHAnsi"/>
        </w:rPr>
      </w:pPr>
      <w:r w:rsidRPr="009B1648">
        <w:rPr>
          <w:rFonts w:eastAsiaTheme="minorHAnsi"/>
        </w:rPr>
        <w:t>(I)</w:t>
      </w:r>
      <w:r w:rsidRPr="009B1648">
        <w:rPr>
          <w:rFonts w:eastAsiaTheme="minorHAnsi"/>
        </w:rPr>
        <w:tab/>
        <w:t>NFPA 780, Standard for the Installation of Lightning Protection Systems for a cost of sixty-three dollars and fifty cents ($63.50);</w:t>
      </w:r>
    </w:p>
    <w:p w14:paraId="05E36D99" w14:textId="77777777" w:rsidR="006A0BDB" w:rsidRPr="009B1648" w:rsidRDefault="006A0BDB" w:rsidP="001D2CEB">
      <w:pPr>
        <w:pStyle w:val="Part"/>
        <w:rPr>
          <w:rFonts w:eastAsiaTheme="minorHAnsi"/>
        </w:rPr>
      </w:pPr>
      <w:r w:rsidRPr="009B1648">
        <w:rPr>
          <w:rFonts w:eastAsiaTheme="minorHAnsi"/>
        </w:rPr>
        <w:lastRenderedPageBreak/>
        <w:t>(J)</w:t>
      </w:r>
      <w:r w:rsidRPr="009B1648">
        <w:rPr>
          <w:rFonts w:eastAsiaTheme="minorHAnsi"/>
        </w:rPr>
        <w:tab/>
        <w:t>NFPA 801, Standard for Fire Protection for Facilities Handling Radioactive Materials for a cost of forty-nine dollars ($49.00); and</w:t>
      </w:r>
    </w:p>
    <w:p w14:paraId="00F02D19" w14:textId="77777777" w:rsidR="006A0BDB" w:rsidRPr="009B1648" w:rsidRDefault="006A0BDB" w:rsidP="001D2CEB">
      <w:pPr>
        <w:pStyle w:val="Part"/>
      </w:pPr>
      <w:r w:rsidRPr="009B1648">
        <w:rPr>
          <w:rFonts w:eastAsiaTheme="minorHAnsi"/>
        </w:rPr>
        <w:t>(K)</w:t>
      </w:r>
      <w:r w:rsidRPr="009B1648">
        <w:rPr>
          <w:rFonts w:eastAsiaTheme="minorHAnsi"/>
        </w:rPr>
        <w:tab/>
        <w:t>Fire Protection Guide to Hazardous Materials for a cost of one hundred and thirty-five dollars and twenty-five cents ($135.25).</w:t>
      </w:r>
    </w:p>
    <w:p w14:paraId="18FED97F" w14:textId="77777777" w:rsidR="006A0BDB" w:rsidRPr="009B1648" w:rsidRDefault="006A0BDB" w:rsidP="001D2CEB">
      <w:pPr>
        <w:pStyle w:val="SubParagraph"/>
        <w:rPr>
          <w:rFonts w:eastAsiaTheme="minorHAnsi"/>
        </w:rPr>
      </w:pPr>
      <w:r w:rsidRPr="009B1648">
        <w:t>(3)</w:t>
      </w:r>
      <w:r w:rsidRPr="009B1648">
        <w:tab/>
      </w:r>
      <w:r w:rsidRPr="009B1648">
        <w:rPr>
          <w:rFonts w:eastAsiaTheme="minorHAnsi"/>
        </w:rPr>
        <w:t>42 CFR Part 416.54 Condition of participation: Emergency preparedness with copies of this regulation that may be accessed free of charge at https://www.gpo.gov/fdsys/pkg/CFR-2017-title42-vol5/xml/CFR-2017-title42-vol5-sec482-15.xml or purchased online at https://bookstore.gpo.gov/products/cfr-title-42-pt-482-end-code-federal-regulationspaper-201-7 for a cost of seventy-seven dollars ($77.00).</w:t>
      </w:r>
    </w:p>
    <w:p w14:paraId="03EAA692" w14:textId="77777777" w:rsidR="006A0BDB" w:rsidRPr="009B1648" w:rsidRDefault="006A0BDB" w:rsidP="001D2CEB">
      <w:pPr>
        <w:pStyle w:val="Base"/>
      </w:pPr>
    </w:p>
    <w:p w14:paraId="5C04EE51" w14:textId="77777777" w:rsidR="006A0BDB" w:rsidRPr="009B1648" w:rsidRDefault="006A0BDB" w:rsidP="001D2CEB">
      <w:pPr>
        <w:pStyle w:val="History"/>
      </w:pPr>
      <w:r w:rsidRPr="009B1648">
        <w:t>History Note:</w:t>
      </w:r>
      <w:r w:rsidRPr="009B1648">
        <w:tab/>
        <w:t>Authority G.S. 131E</w:t>
      </w:r>
      <w:r w:rsidRPr="009B1648">
        <w:noBreakHyphen/>
        <w:t>149;</w:t>
      </w:r>
    </w:p>
    <w:p w14:paraId="44376F42" w14:textId="77777777" w:rsidR="006A0BDB" w:rsidRPr="009B1648" w:rsidRDefault="006A0BDB" w:rsidP="001D2CEB">
      <w:pPr>
        <w:pStyle w:val="HistoryAfter"/>
      </w:pPr>
      <w:r w:rsidRPr="009B1648">
        <w:t xml:space="preserve">Eff. </w:t>
      </w:r>
      <w:smartTag w:uri="urn:schemas-microsoft-com:office:smarttags" w:element="date">
        <w:smartTagPr>
          <w:attr w:name="Year" w:val="1978"/>
          <w:attr w:name="Day" w:val="14"/>
          <w:attr w:name="Month" w:val="10"/>
        </w:smartTagPr>
        <w:r w:rsidRPr="009B1648">
          <w:t>October 14, 1978</w:t>
        </w:r>
      </w:smartTag>
      <w:r w:rsidRPr="009B1648">
        <w:t>;</w:t>
      </w:r>
    </w:p>
    <w:p w14:paraId="1DB40042" w14:textId="77777777" w:rsidR="006A0BDB" w:rsidRPr="009B1648" w:rsidRDefault="006A0BDB" w:rsidP="001D2CEB">
      <w:pPr>
        <w:pStyle w:val="HistoryAfter"/>
      </w:pPr>
      <w:r w:rsidRPr="009B1648">
        <w:t xml:space="preserve">Amended Eff. </w:t>
      </w:r>
      <w:smartTag w:uri="urn:schemas-microsoft-com:office:smarttags" w:element="date">
        <w:smartTagPr>
          <w:attr w:name="Year" w:val="1979"/>
          <w:attr w:name="Day" w:val="24"/>
          <w:attr w:name="Month" w:val="12"/>
        </w:smartTagPr>
        <w:r w:rsidRPr="009B1648">
          <w:t>December 24, 1979</w:t>
        </w:r>
      </w:smartTag>
      <w:r w:rsidRPr="009B1648">
        <w:t>;</w:t>
      </w:r>
    </w:p>
    <w:p w14:paraId="1D7AB02E" w14:textId="77777777" w:rsidR="006A0BDB" w:rsidRPr="009B1648" w:rsidRDefault="006A0BDB" w:rsidP="001D2CEB">
      <w:pPr>
        <w:pStyle w:val="HistoryAfter"/>
      </w:pPr>
      <w:r w:rsidRPr="009B1648">
        <w:t>Pursuant to G.S. 150B-21.3A, rule is necessary without substantive public interest Eff. December 23, 2017;</w:t>
      </w:r>
    </w:p>
    <w:p w14:paraId="06C5A424" w14:textId="77777777" w:rsidR="006A0BDB" w:rsidRPr="009B1648" w:rsidRDefault="006A0BDB" w:rsidP="001D2CEB">
      <w:pPr>
        <w:pStyle w:val="HistoryAfter"/>
      </w:pPr>
      <w:r w:rsidRPr="009B1648">
        <w:t>Amended Eff. January 1, 2020.</w:t>
      </w:r>
    </w:p>
    <w:p w14:paraId="67369ADE" w14:textId="77777777" w:rsidR="006A0BDB" w:rsidRPr="009B1648" w:rsidRDefault="006A0BDB" w:rsidP="001D2CEB">
      <w:pPr>
        <w:pStyle w:val="Base"/>
      </w:pPr>
    </w:p>
    <w:p w14:paraId="34E033C8" w14:textId="77777777" w:rsidR="006A0BDB" w:rsidRPr="00C659CF" w:rsidRDefault="006A0BDB" w:rsidP="001D2CEB">
      <w:pPr>
        <w:pStyle w:val="Rule"/>
      </w:pPr>
      <w:r w:rsidRPr="00C659CF">
        <w:t>10A ncac 13C .1403</w:t>
      </w:r>
      <w:r w:rsidRPr="00C659CF">
        <w:tab/>
        <w:t>general and Emergency Preparedness</w:t>
      </w:r>
    </w:p>
    <w:p w14:paraId="182F402C" w14:textId="77777777" w:rsidR="006A0BDB" w:rsidRPr="00C659CF" w:rsidRDefault="006A0BDB" w:rsidP="001D2CEB">
      <w:pPr>
        <w:pStyle w:val="Paragraph"/>
        <w:rPr>
          <w:rFonts w:eastAsiaTheme="minorHAnsi"/>
        </w:rPr>
      </w:pPr>
      <w:r w:rsidRPr="00C659CF">
        <w:rPr>
          <w:rFonts w:eastAsiaTheme="minorHAnsi"/>
        </w:rPr>
        <w:t>(a)</w:t>
      </w:r>
      <w:r>
        <w:rPr>
          <w:rFonts w:eastAsiaTheme="minorHAnsi"/>
        </w:rPr>
        <w:t xml:space="preserve"> </w:t>
      </w:r>
      <w:r w:rsidRPr="00C659CF">
        <w:rPr>
          <w:rFonts w:eastAsiaTheme="minorHAnsi"/>
        </w:rPr>
        <w:t xml:space="preserve"> A new facility or any addition or alterations to an existing facility whose construction documents were approved by the Construction Section on or after July 1, 2020 shall meet the requirements set forth in:</w:t>
      </w:r>
    </w:p>
    <w:p w14:paraId="67BD9A85" w14:textId="77777777" w:rsidR="006A0BDB" w:rsidRPr="00C659CF" w:rsidRDefault="006A0BDB" w:rsidP="001D2CEB">
      <w:pPr>
        <w:pStyle w:val="SubParagraph"/>
        <w:tabs>
          <w:tab w:val="clear" w:pos="1800"/>
        </w:tabs>
        <w:rPr>
          <w:rFonts w:eastAsiaTheme="minorHAnsi"/>
        </w:rPr>
      </w:pPr>
      <w:r w:rsidRPr="00C659CF">
        <w:rPr>
          <w:rFonts w:eastAsiaTheme="minorHAnsi"/>
        </w:rPr>
        <w:t>(1)</w:t>
      </w:r>
      <w:r w:rsidRPr="00C659CF">
        <w:rPr>
          <w:rFonts w:eastAsiaTheme="minorHAnsi"/>
        </w:rPr>
        <w:tab/>
        <w:t>the rules of this Section; and</w:t>
      </w:r>
    </w:p>
    <w:p w14:paraId="6FDDC58B" w14:textId="77777777" w:rsidR="006A0BDB" w:rsidRPr="00C659CF" w:rsidRDefault="006A0BDB" w:rsidP="001D2CEB">
      <w:pPr>
        <w:pStyle w:val="SubParagraph"/>
        <w:tabs>
          <w:tab w:val="clear" w:pos="1800"/>
        </w:tabs>
        <w:rPr>
          <w:rFonts w:eastAsiaTheme="minorHAnsi"/>
        </w:rPr>
      </w:pPr>
      <w:r w:rsidRPr="00C659CF">
        <w:rPr>
          <w:rFonts w:eastAsiaTheme="minorHAnsi"/>
        </w:rPr>
        <w:t>(2)</w:t>
      </w:r>
      <w:r w:rsidRPr="00C659CF">
        <w:rPr>
          <w:rFonts w:eastAsiaTheme="minorHAnsi"/>
        </w:rPr>
        <w:tab/>
        <w:t>the FGI Guidelines.</w:t>
      </w:r>
    </w:p>
    <w:p w14:paraId="29F04E8C" w14:textId="77777777" w:rsidR="006A0BDB" w:rsidRPr="00C659CF" w:rsidRDefault="006A0BDB" w:rsidP="001D2CEB">
      <w:pPr>
        <w:pStyle w:val="Paragraph"/>
        <w:rPr>
          <w:snapToGrid w:val="0"/>
        </w:rPr>
      </w:pPr>
      <w:r w:rsidRPr="00C659CF">
        <w:rPr>
          <w:snapToGrid w:val="0"/>
        </w:rPr>
        <w:t xml:space="preserve">(b) </w:t>
      </w:r>
      <w:r>
        <w:rPr>
          <w:snapToGrid w:val="0"/>
        </w:rPr>
        <w:t xml:space="preserve"> </w:t>
      </w:r>
      <w:r w:rsidRPr="00C659CF">
        <w:rPr>
          <w:snapToGrid w:val="0"/>
        </w:rPr>
        <w:t xml:space="preserve">An existing facility whose construction documents were approved by the Construction Section prior to July 1, 2020 shall meet those </w:t>
      </w:r>
      <w:r w:rsidRPr="00C659CF">
        <w:t xml:space="preserve">standards established in the rules of this Section that were in effect at the time the construction documents were approved by the Construction Section. </w:t>
      </w:r>
      <w:r w:rsidRPr="00C659CF">
        <w:rPr>
          <w:snapToGrid w:val="0"/>
        </w:rPr>
        <w:t xml:space="preserve">Previous versions of the rules of this </w:t>
      </w:r>
      <w:r w:rsidRPr="00C659CF">
        <w:t xml:space="preserve">Section </w:t>
      </w:r>
      <w:r w:rsidRPr="00C659CF">
        <w:rPr>
          <w:snapToGrid w:val="0"/>
        </w:rPr>
        <w:t>can be accessed online at</w:t>
      </w:r>
      <w:r>
        <w:t xml:space="preserve"> </w:t>
      </w:r>
      <w:r w:rsidRPr="00C659CF">
        <w:rPr>
          <w:snapToGrid w:val="0"/>
        </w:rPr>
        <w:t>https://info.ncdhhs.gov/dhsr/const/index.html.</w:t>
      </w:r>
    </w:p>
    <w:p w14:paraId="03021DD1" w14:textId="77777777" w:rsidR="006A0BDB" w:rsidRPr="00C659CF" w:rsidRDefault="006A0BDB" w:rsidP="001D2CEB">
      <w:pPr>
        <w:pStyle w:val="Paragraph"/>
        <w:rPr>
          <w:rFonts w:eastAsiaTheme="minorHAnsi"/>
        </w:rPr>
      </w:pPr>
      <w:r w:rsidRPr="00C659CF">
        <w:rPr>
          <w:rFonts w:eastAsiaTheme="minorHAnsi"/>
        </w:rPr>
        <w:t xml:space="preserve">(c) </w:t>
      </w:r>
      <w:r>
        <w:rPr>
          <w:rFonts w:eastAsiaTheme="minorHAnsi"/>
        </w:rPr>
        <w:t xml:space="preserve"> </w:t>
      </w:r>
      <w:r w:rsidRPr="00C659CF">
        <w:rPr>
          <w:rFonts w:eastAsiaTheme="minorHAnsi"/>
        </w:rPr>
        <w:t>The facility shall develop and maintain an emergency preparedness program as required by 42 CFR Part 416.54 Condition of Participation: Emergency Preparedness. The emergency preparedness program shall be developed with input from the local fire department and local emergency management agency. Documentation required to be maintained by 42 CFR Part 416.54 shall be maintained at the facility for at least three years and shall be made available to the Division during an inspection upon request.</w:t>
      </w:r>
    </w:p>
    <w:p w14:paraId="033E7CF3" w14:textId="77777777" w:rsidR="006A0BDB" w:rsidRPr="00C659CF" w:rsidRDefault="006A0BDB" w:rsidP="001D2CEB">
      <w:pPr>
        <w:pStyle w:val="Paragraph"/>
      </w:pPr>
      <w:r w:rsidRPr="00C659CF">
        <w:t xml:space="preserve">(d) </w:t>
      </w:r>
      <w:r>
        <w:t xml:space="preserve"> </w:t>
      </w:r>
      <w:r w:rsidRPr="00C659CF">
        <w:t>Any existing building converted from another use to a new facility shall meet the requirements of Paragraph (a) of this Rule.</w:t>
      </w:r>
    </w:p>
    <w:p w14:paraId="0F4C153A" w14:textId="77777777" w:rsidR="006A0BDB" w:rsidRPr="00C659CF" w:rsidRDefault="006A0BDB" w:rsidP="001D2CEB">
      <w:pPr>
        <w:pStyle w:val="Base"/>
      </w:pPr>
    </w:p>
    <w:p w14:paraId="74D71D37" w14:textId="77777777" w:rsidR="006A0BDB" w:rsidRPr="00C659CF" w:rsidRDefault="006A0BDB" w:rsidP="001D2CEB">
      <w:pPr>
        <w:pStyle w:val="History"/>
      </w:pPr>
      <w:r w:rsidRPr="00C659CF">
        <w:t>History Note:</w:t>
      </w:r>
      <w:r w:rsidRPr="00C659CF">
        <w:tab/>
        <w:t>Authority G.S. 131E</w:t>
      </w:r>
      <w:r w:rsidRPr="00C659CF">
        <w:noBreakHyphen/>
        <w:t>149; 42 CFR Part 416.54;</w:t>
      </w:r>
    </w:p>
    <w:p w14:paraId="7B88C6AC" w14:textId="77777777" w:rsidR="006A0BDB" w:rsidRPr="00C659CF" w:rsidRDefault="006A0BDB" w:rsidP="001D2CEB">
      <w:pPr>
        <w:pStyle w:val="HistoryAfter"/>
      </w:pPr>
      <w:r w:rsidRPr="00C659CF">
        <w:t xml:space="preserve">Eff. </w:t>
      </w:r>
      <w:smartTag w:uri="urn:schemas-microsoft-com:office:smarttags" w:element="date">
        <w:smartTagPr>
          <w:attr w:name="Month" w:val="10"/>
          <w:attr w:name="Day" w:val="14"/>
          <w:attr w:name="Year" w:val="1978"/>
        </w:smartTagPr>
        <w:r w:rsidRPr="00C659CF">
          <w:t>October 14, 1978</w:t>
        </w:r>
      </w:smartTag>
      <w:r w:rsidRPr="00C659CF">
        <w:t>;</w:t>
      </w:r>
    </w:p>
    <w:p w14:paraId="493AC0AD" w14:textId="77777777" w:rsidR="006A0BDB" w:rsidRPr="00C659CF" w:rsidRDefault="006A0BDB" w:rsidP="001D2CEB">
      <w:pPr>
        <w:pStyle w:val="HistoryAfter"/>
      </w:pPr>
      <w:r w:rsidRPr="00C659CF">
        <w:t xml:space="preserve">Amended Eff. </w:t>
      </w:r>
      <w:smartTag w:uri="urn:schemas-microsoft-com:office:smarttags" w:element="date">
        <w:smartTagPr>
          <w:attr w:name="Month" w:val="4"/>
          <w:attr w:name="Day" w:val="1"/>
          <w:attr w:name="Year" w:val="2003"/>
        </w:smartTagPr>
        <w:r w:rsidRPr="00C659CF">
          <w:t>April 1, 2003</w:t>
        </w:r>
      </w:smartTag>
      <w:r w:rsidRPr="00C659CF">
        <w:t>;</w:t>
      </w:r>
    </w:p>
    <w:p w14:paraId="6DFE80FD" w14:textId="77777777" w:rsidR="006A0BDB" w:rsidRPr="00C659CF" w:rsidRDefault="006A0BDB" w:rsidP="001D2CEB">
      <w:pPr>
        <w:pStyle w:val="HistoryAfter"/>
      </w:pPr>
      <w:r w:rsidRPr="00C659CF">
        <w:t>Pursuant to G.S. 150B-21.3A, rule is necessary without substantive public interest Eff. December 23, 2017;</w:t>
      </w:r>
    </w:p>
    <w:p w14:paraId="57A76970" w14:textId="77777777" w:rsidR="006A0BDB" w:rsidRPr="00C659CF" w:rsidRDefault="006A0BDB" w:rsidP="001D2CEB">
      <w:pPr>
        <w:pStyle w:val="HistoryAfter"/>
      </w:pPr>
      <w:r w:rsidRPr="00C659CF">
        <w:t>Amended Eff. January 1, 2020.</w:t>
      </w:r>
    </w:p>
    <w:p w14:paraId="4C84CD85" w14:textId="77777777" w:rsidR="006A0BDB" w:rsidRDefault="006A0BDB" w:rsidP="001D2CEB">
      <w:pPr>
        <w:pStyle w:val="Base"/>
      </w:pPr>
    </w:p>
    <w:p w14:paraId="1DCD4D5F" w14:textId="77777777" w:rsidR="006A0BDB" w:rsidRPr="00AF5680" w:rsidRDefault="006A0BDB" w:rsidP="001D2CEB">
      <w:pPr>
        <w:pStyle w:val="Rule"/>
      </w:pPr>
      <w:r w:rsidRPr="00AF5680">
        <w:t>10A NCAC 13C .1404</w:t>
      </w:r>
      <w:r w:rsidRPr="00AF5680">
        <w:tab/>
        <w:t>EQUIVALENCY AND CONFLICTS WITH REQUIREMENTS</w:t>
      </w:r>
    </w:p>
    <w:p w14:paraId="681DF81F" w14:textId="77777777" w:rsidR="006A0BDB" w:rsidRPr="00AF5680" w:rsidRDefault="006A0BDB" w:rsidP="001D2CEB">
      <w:pPr>
        <w:pStyle w:val="Paragraph"/>
        <w:rPr>
          <w:snapToGrid w:val="0"/>
        </w:rPr>
      </w:pPr>
      <w:r w:rsidRPr="00AF5680">
        <w:t xml:space="preserve">(a) </w:t>
      </w:r>
      <w:r>
        <w:t xml:space="preserve"> </w:t>
      </w:r>
      <w:r w:rsidRPr="00AF5680">
        <w:rPr>
          <w:rFonts w:eastAsiaTheme="minorHAnsi"/>
        </w:rPr>
        <w:t xml:space="preserve">The </w:t>
      </w:r>
      <w:r w:rsidRPr="00AF5680">
        <w:rPr>
          <w:rFonts w:eastAsiaTheme="minorHAnsi"/>
          <w:snapToGrid w:val="0"/>
        </w:rPr>
        <w:t xml:space="preserve">Division may grant an equivalency to allow an alternate design or functional variation from the requirements </w:t>
      </w:r>
      <w:r w:rsidRPr="00AF5680">
        <w:rPr>
          <w:snapToGrid w:val="0"/>
        </w:rPr>
        <w:t xml:space="preserve">in </w:t>
      </w:r>
      <w:r w:rsidRPr="00AF5680">
        <w:rPr>
          <w:rFonts w:eastAsiaTheme="minorHAnsi"/>
          <w:snapToGrid w:val="0"/>
        </w:rPr>
        <w:t>the rules contained in</w:t>
      </w:r>
      <w:r w:rsidRPr="00AF5680">
        <w:rPr>
          <w:snapToGrid w:val="0"/>
        </w:rPr>
        <w:t xml:space="preserve"> this Section</w:t>
      </w:r>
      <w:r w:rsidRPr="00AF5680">
        <w:rPr>
          <w:rFonts w:eastAsiaTheme="minorHAnsi"/>
          <w:snapToGrid w:val="0"/>
        </w:rPr>
        <w:t>. The equivalency may be granted by the Division if a governing body submits a written equivalency request to the Division that indicates the following:</w:t>
      </w:r>
    </w:p>
    <w:p w14:paraId="60C4A975" w14:textId="77777777" w:rsidR="006A0BDB" w:rsidRPr="00AF5680" w:rsidRDefault="006A0BDB" w:rsidP="001D2CEB">
      <w:pPr>
        <w:pStyle w:val="SubParagraph"/>
        <w:tabs>
          <w:tab w:val="clear" w:pos="1800"/>
        </w:tabs>
        <w:rPr>
          <w:rFonts w:eastAsiaTheme="minorHAnsi"/>
        </w:rPr>
      </w:pPr>
      <w:r w:rsidRPr="00AF5680">
        <w:rPr>
          <w:rFonts w:eastAsiaTheme="minorHAnsi"/>
        </w:rPr>
        <w:t>(1)</w:t>
      </w:r>
      <w:r w:rsidRPr="00AF5680">
        <w:rPr>
          <w:rFonts w:eastAsiaTheme="minorHAnsi"/>
        </w:rPr>
        <w:tab/>
        <w:t>the rule citation and the rule requirement that will not be met;</w:t>
      </w:r>
    </w:p>
    <w:p w14:paraId="73A5D26E" w14:textId="77777777" w:rsidR="006A0BDB" w:rsidRPr="00AF5680" w:rsidRDefault="006A0BDB" w:rsidP="001D2CEB">
      <w:pPr>
        <w:pStyle w:val="SubParagraph"/>
        <w:tabs>
          <w:tab w:val="clear" w:pos="1800"/>
        </w:tabs>
        <w:rPr>
          <w:rFonts w:eastAsiaTheme="minorHAnsi"/>
        </w:rPr>
      </w:pPr>
      <w:r w:rsidRPr="00AF5680">
        <w:rPr>
          <w:rFonts w:eastAsiaTheme="minorHAnsi"/>
        </w:rPr>
        <w:t>(2)</w:t>
      </w:r>
      <w:r w:rsidRPr="00AF5680">
        <w:rPr>
          <w:rFonts w:eastAsiaTheme="minorHAnsi"/>
        </w:rPr>
        <w:tab/>
        <w:t>the justification for the equivalency;</w:t>
      </w:r>
    </w:p>
    <w:p w14:paraId="3B86B980" w14:textId="77777777" w:rsidR="006A0BDB" w:rsidRPr="00AF5680" w:rsidRDefault="006A0BDB" w:rsidP="001D2CEB">
      <w:pPr>
        <w:pStyle w:val="SubParagraph"/>
        <w:tabs>
          <w:tab w:val="clear" w:pos="1800"/>
        </w:tabs>
        <w:rPr>
          <w:rFonts w:eastAsiaTheme="minorHAnsi"/>
        </w:rPr>
      </w:pPr>
      <w:r w:rsidRPr="00AF5680">
        <w:rPr>
          <w:rFonts w:eastAsiaTheme="minorHAnsi"/>
        </w:rPr>
        <w:t>(3)</w:t>
      </w:r>
      <w:r w:rsidRPr="00AF5680">
        <w:rPr>
          <w:rFonts w:eastAsiaTheme="minorHAnsi"/>
        </w:rPr>
        <w:tab/>
        <w:t>how the proposed equivalency meets the intent of the corresponding rule requirement; and</w:t>
      </w:r>
    </w:p>
    <w:p w14:paraId="3A8740F0" w14:textId="77777777" w:rsidR="006A0BDB" w:rsidRPr="00AF5680" w:rsidRDefault="006A0BDB" w:rsidP="001D2CEB">
      <w:pPr>
        <w:pStyle w:val="SubParagraph"/>
        <w:tabs>
          <w:tab w:val="clear" w:pos="1800"/>
        </w:tabs>
        <w:rPr>
          <w:rFonts w:eastAsiaTheme="minorHAnsi"/>
        </w:rPr>
      </w:pPr>
      <w:r w:rsidRPr="00AF5680">
        <w:rPr>
          <w:rFonts w:eastAsiaTheme="minorHAnsi"/>
        </w:rPr>
        <w:t>(4)</w:t>
      </w:r>
      <w:r w:rsidRPr="00AF5680">
        <w:rPr>
          <w:rFonts w:eastAsiaTheme="minorHAnsi"/>
        </w:rPr>
        <w:tab/>
        <w:t>a statement by the governing body that the equivalency request will not reduce the safety and operational effectiveness of the facility design and layout.</w:t>
      </w:r>
    </w:p>
    <w:p w14:paraId="71D2FE11" w14:textId="77777777" w:rsidR="006A0BDB" w:rsidRPr="00AF5680" w:rsidRDefault="006A0BDB" w:rsidP="001D2CEB">
      <w:pPr>
        <w:pStyle w:val="Paragraph"/>
        <w:rPr>
          <w:rFonts w:eastAsiaTheme="minorHAnsi"/>
        </w:rPr>
      </w:pPr>
      <w:r w:rsidRPr="00AF5680">
        <w:rPr>
          <w:rFonts w:eastAsiaTheme="minorHAnsi"/>
        </w:rPr>
        <w:t>The governing body shall maintain a copy of the approved equivalence issued by the Division.</w:t>
      </w:r>
    </w:p>
    <w:p w14:paraId="4669CBEF" w14:textId="77777777" w:rsidR="006A0BDB" w:rsidRPr="00AF5680" w:rsidRDefault="006A0BDB" w:rsidP="001D2CEB">
      <w:pPr>
        <w:pStyle w:val="Paragraph"/>
        <w:rPr>
          <w:rFonts w:eastAsiaTheme="minorHAnsi"/>
          <w:snapToGrid w:val="0"/>
        </w:rPr>
      </w:pPr>
      <w:r w:rsidRPr="00AF5680">
        <w:rPr>
          <w:rFonts w:eastAsiaTheme="minorHAnsi"/>
        </w:rPr>
        <w:t xml:space="preserve">(b) </w:t>
      </w:r>
      <w:r>
        <w:rPr>
          <w:rFonts w:eastAsiaTheme="minorHAnsi"/>
        </w:rPr>
        <w:t xml:space="preserve"> </w:t>
      </w:r>
      <w:r w:rsidRPr="00AF5680">
        <w:rPr>
          <w:rFonts w:eastAsiaTheme="minorHAnsi"/>
          <w:snapToGrid w:val="0"/>
        </w:rPr>
        <w:t>If the rules, codes, or standards contained in this Subchapter conflict, the most restrictive requirement shall apply.</w:t>
      </w:r>
    </w:p>
    <w:p w14:paraId="63C1701B" w14:textId="77777777" w:rsidR="006A0BDB" w:rsidRPr="00AF5680" w:rsidRDefault="006A0BDB" w:rsidP="001D2CEB">
      <w:pPr>
        <w:pStyle w:val="Base"/>
      </w:pPr>
    </w:p>
    <w:p w14:paraId="0EF6A550" w14:textId="77777777" w:rsidR="006A0BDB" w:rsidRPr="00AF5680" w:rsidRDefault="006A0BDB" w:rsidP="001D2CEB">
      <w:pPr>
        <w:pStyle w:val="History"/>
      </w:pPr>
      <w:r w:rsidRPr="00AF5680">
        <w:t>History Note:</w:t>
      </w:r>
      <w:r w:rsidRPr="00AF5680">
        <w:tab/>
        <w:t>Authority G.S. 131E</w:t>
      </w:r>
      <w:r w:rsidRPr="00AF5680">
        <w:noBreakHyphen/>
        <w:t>149;</w:t>
      </w:r>
    </w:p>
    <w:p w14:paraId="273097F3" w14:textId="77777777" w:rsidR="006A0BDB" w:rsidRPr="00AF5680" w:rsidRDefault="006A0BDB" w:rsidP="001D2CEB">
      <w:pPr>
        <w:pStyle w:val="HistoryAfter"/>
      </w:pPr>
      <w:r w:rsidRPr="00AF5680">
        <w:t xml:space="preserve">Eff. </w:t>
      </w:r>
      <w:smartTag w:uri="urn:schemas-microsoft-com:office:smarttags" w:element="date">
        <w:smartTagPr>
          <w:attr w:name="Month" w:val="10"/>
          <w:attr w:name="Day" w:val="14"/>
          <w:attr w:name="Year" w:val="1978"/>
        </w:smartTagPr>
        <w:r w:rsidRPr="00AF5680">
          <w:t>October 14, 1978</w:t>
        </w:r>
      </w:smartTag>
      <w:r w:rsidRPr="00AF5680">
        <w:t>;</w:t>
      </w:r>
    </w:p>
    <w:p w14:paraId="0E420D5D" w14:textId="77777777" w:rsidR="006A0BDB" w:rsidRPr="00AF5680" w:rsidRDefault="006A0BDB" w:rsidP="001D2CEB">
      <w:pPr>
        <w:pStyle w:val="HistoryAfter"/>
      </w:pPr>
      <w:r w:rsidRPr="00AF5680">
        <w:t xml:space="preserve">Amended Eff. </w:t>
      </w:r>
      <w:smartTag w:uri="urn:schemas-microsoft-com:office:smarttags" w:element="date">
        <w:smartTagPr>
          <w:attr w:name="Month" w:val="11"/>
          <w:attr w:name="Day" w:val="1"/>
          <w:attr w:name="Year" w:val="1989"/>
        </w:smartTagPr>
        <w:r w:rsidRPr="00AF5680">
          <w:t>November 1, 1989</w:t>
        </w:r>
      </w:smartTag>
      <w:r w:rsidRPr="00AF5680">
        <w:t>; December 24, 1979;</w:t>
      </w:r>
    </w:p>
    <w:p w14:paraId="17075239" w14:textId="77777777" w:rsidR="006A0BDB" w:rsidRPr="00AF5680" w:rsidRDefault="006A0BDB" w:rsidP="001D2CEB">
      <w:pPr>
        <w:pStyle w:val="HistoryAfter"/>
      </w:pPr>
      <w:r w:rsidRPr="00AF5680">
        <w:t>Readopted Eff. January 1, 2020.</w:t>
      </w:r>
    </w:p>
    <w:p w14:paraId="0EEA1958" w14:textId="77777777" w:rsidR="006A0BDB" w:rsidRDefault="006A0BDB" w:rsidP="001D2CEB">
      <w:pPr>
        <w:pStyle w:val="Base"/>
      </w:pPr>
    </w:p>
    <w:p w14:paraId="45DB0721" w14:textId="77777777" w:rsidR="006A0BDB" w:rsidRPr="00E8297F" w:rsidRDefault="006A0BDB" w:rsidP="001D2CEB">
      <w:pPr>
        <w:pStyle w:val="Rule"/>
      </w:pPr>
      <w:r w:rsidRPr="00E8297F">
        <w:t>10A ncac 13C .1405</w:t>
      </w:r>
      <w:r w:rsidRPr="00E8297F">
        <w:tab/>
        <w:t>MECHANICAL REQUIREMENTS</w:t>
      </w:r>
    </w:p>
    <w:p w14:paraId="7EAD65BC" w14:textId="77777777" w:rsidR="006A0BDB" w:rsidRPr="00E8297F" w:rsidRDefault="006A0BDB" w:rsidP="001D2CEB">
      <w:pPr>
        <w:pStyle w:val="Rule"/>
      </w:pPr>
      <w:r w:rsidRPr="00E8297F">
        <w:t>10A ncac 13C .1406</w:t>
      </w:r>
      <w:r w:rsidRPr="00E8297F">
        <w:tab/>
        <w:t>PLUMBING AND OTHER PIPING SYSTEMS</w:t>
      </w:r>
    </w:p>
    <w:p w14:paraId="5D24DAF3" w14:textId="77777777" w:rsidR="006A0BDB" w:rsidRPr="00E8297F" w:rsidRDefault="006A0BDB" w:rsidP="001D2CEB">
      <w:pPr>
        <w:pStyle w:val="Rule"/>
      </w:pPr>
      <w:r w:rsidRPr="00E8297F">
        <w:t>10A ncac 13c .1407</w:t>
      </w:r>
      <w:r w:rsidRPr="00E8297F">
        <w:tab/>
        <w:t>ELECTRICAL REQUIREMENTS</w:t>
      </w:r>
    </w:p>
    <w:p w14:paraId="69F08DA4" w14:textId="77777777" w:rsidR="006A0BDB" w:rsidRPr="00E8297F" w:rsidRDefault="006A0BDB" w:rsidP="001D2CEB">
      <w:pPr>
        <w:pStyle w:val="Base"/>
      </w:pPr>
    </w:p>
    <w:p w14:paraId="4C76C5F6" w14:textId="77777777" w:rsidR="006A0BDB" w:rsidRPr="00E8297F" w:rsidRDefault="006A0BDB" w:rsidP="001D2CEB">
      <w:pPr>
        <w:pStyle w:val="History"/>
      </w:pPr>
      <w:r w:rsidRPr="00E8297F">
        <w:t>History Note:</w:t>
      </w:r>
      <w:r w:rsidRPr="00E8297F">
        <w:tab/>
        <w:t>Authority G.S. 131E</w:t>
      </w:r>
      <w:r w:rsidRPr="00E8297F">
        <w:noBreakHyphen/>
        <w:t>149;</w:t>
      </w:r>
    </w:p>
    <w:p w14:paraId="0395521A" w14:textId="77777777" w:rsidR="006A0BDB" w:rsidRPr="00E8297F" w:rsidRDefault="006A0BDB" w:rsidP="001D2CEB">
      <w:pPr>
        <w:pStyle w:val="HistoryAfter"/>
      </w:pPr>
      <w:r w:rsidRPr="00E8297F">
        <w:t xml:space="preserve">Eff. </w:t>
      </w:r>
      <w:smartTag w:uri="urn:schemas-microsoft-com:office:smarttags" w:element="date">
        <w:smartTagPr>
          <w:attr w:name="Year" w:val="1978"/>
          <w:attr w:name="Day" w:val="14"/>
          <w:attr w:name="Month" w:val="10"/>
        </w:smartTagPr>
        <w:r w:rsidRPr="00E8297F">
          <w:t>October 14, 1978</w:t>
        </w:r>
      </w:smartTag>
      <w:r w:rsidRPr="00E8297F">
        <w:t>;</w:t>
      </w:r>
    </w:p>
    <w:p w14:paraId="127B59DC" w14:textId="77777777" w:rsidR="006A0BDB" w:rsidRPr="00E8297F" w:rsidRDefault="006A0BDB" w:rsidP="001D2CEB">
      <w:pPr>
        <w:pStyle w:val="HistoryAfter"/>
      </w:pPr>
      <w:r w:rsidRPr="00E8297F">
        <w:t xml:space="preserve">Amended Eff. </w:t>
      </w:r>
      <w:smartTag w:uri="urn:schemas-microsoft-com:office:smarttags" w:element="date">
        <w:smartTagPr>
          <w:attr w:name="Year" w:val="2003"/>
          <w:attr w:name="Day" w:val="1"/>
          <w:attr w:name="Month" w:val="4"/>
        </w:smartTagPr>
        <w:r w:rsidRPr="00E8297F">
          <w:t>April 1, 2003</w:t>
        </w:r>
      </w:smartTag>
      <w:r w:rsidRPr="00E8297F">
        <w:t>; December 24, 1979;</w:t>
      </w:r>
    </w:p>
    <w:p w14:paraId="2132F90F" w14:textId="77777777" w:rsidR="006A0BDB" w:rsidRPr="00E8297F" w:rsidRDefault="006A0BDB" w:rsidP="001D2CEB">
      <w:pPr>
        <w:pStyle w:val="HistoryAfter"/>
      </w:pPr>
      <w:r w:rsidRPr="00E8297F">
        <w:t>Repealed Eff. January 1, 2020.</w:t>
      </w:r>
    </w:p>
    <w:p w14:paraId="3B896767" w14:textId="77777777" w:rsidR="006A0BDB" w:rsidRDefault="006A0BDB" w:rsidP="001D2CEB">
      <w:pPr>
        <w:pStyle w:val="Base"/>
      </w:pPr>
    </w:p>
    <w:p w14:paraId="2150A1AD" w14:textId="77777777" w:rsidR="006A0BDB" w:rsidRPr="002720A5" w:rsidRDefault="006A0BDB" w:rsidP="001D2CEB">
      <w:pPr>
        <w:pStyle w:val="Rule"/>
      </w:pPr>
      <w:r w:rsidRPr="002720A5">
        <w:t>10A NCAC 13C .1408</w:t>
      </w:r>
      <w:r w:rsidRPr="002720A5">
        <w:tab/>
        <w:t>GENERAL</w:t>
      </w:r>
    </w:p>
    <w:p w14:paraId="2D5739B9" w14:textId="77777777" w:rsidR="006A0BDB" w:rsidRPr="002720A5" w:rsidRDefault="006A0BDB" w:rsidP="001D2CEB">
      <w:pPr>
        <w:pStyle w:val="Rule"/>
      </w:pPr>
      <w:r w:rsidRPr="002720A5">
        <w:t>10A NCAC 13C .1409</w:t>
      </w:r>
      <w:r w:rsidRPr="002720A5">
        <w:tab/>
        <w:t>LIST OF REFERENCED CODES AND STANDARDS</w:t>
      </w:r>
    </w:p>
    <w:p w14:paraId="064E39D0" w14:textId="77777777" w:rsidR="006A0BDB" w:rsidRPr="002720A5" w:rsidRDefault="006A0BDB" w:rsidP="001D2CEB">
      <w:pPr>
        <w:pStyle w:val="Base"/>
      </w:pPr>
    </w:p>
    <w:p w14:paraId="020C9E9B" w14:textId="77777777" w:rsidR="006A0BDB" w:rsidRPr="002720A5" w:rsidRDefault="006A0BDB" w:rsidP="001D2CEB">
      <w:pPr>
        <w:pStyle w:val="History"/>
      </w:pPr>
      <w:r w:rsidRPr="002720A5">
        <w:t>History Note:</w:t>
      </w:r>
      <w:r w:rsidRPr="002720A5">
        <w:tab/>
        <w:t>Authority G.S. 131E</w:t>
      </w:r>
      <w:r w:rsidRPr="002720A5">
        <w:noBreakHyphen/>
        <w:t>149;</w:t>
      </w:r>
    </w:p>
    <w:p w14:paraId="392D6312" w14:textId="77777777" w:rsidR="006A0BDB" w:rsidRPr="002720A5" w:rsidRDefault="006A0BDB" w:rsidP="001D2CEB">
      <w:pPr>
        <w:pStyle w:val="HistoryAfter"/>
      </w:pPr>
      <w:r w:rsidRPr="002720A5">
        <w:t xml:space="preserve">Eff. </w:t>
      </w:r>
      <w:smartTag w:uri="urn:schemas-microsoft-com:office:smarttags" w:element="date">
        <w:smartTagPr>
          <w:attr w:name="Month" w:val="4"/>
          <w:attr w:name="Day" w:val="1"/>
          <w:attr w:name="Year" w:val="2003"/>
        </w:smartTagPr>
        <w:r w:rsidRPr="002720A5">
          <w:t>April 1, 2003;</w:t>
        </w:r>
      </w:smartTag>
    </w:p>
    <w:p w14:paraId="1D3E7D50" w14:textId="77777777" w:rsidR="006A0BDB" w:rsidRPr="002720A5" w:rsidRDefault="006A0BDB" w:rsidP="001D2CEB">
      <w:pPr>
        <w:pStyle w:val="HistoryAfter"/>
      </w:pPr>
      <w:r w:rsidRPr="002720A5">
        <w:t>Pursuant to G.S. 150B-21.3A, rule is necessary without substantive public interest Eff. December 23, 2017;</w:t>
      </w:r>
    </w:p>
    <w:p w14:paraId="015A3365" w14:textId="77777777" w:rsidR="006A0BDB" w:rsidRPr="002720A5" w:rsidRDefault="006A0BDB" w:rsidP="001D2CEB">
      <w:pPr>
        <w:pStyle w:val="HistoryAfter"/>
      </w:pPr>
      <w:r w:rsidRPr="002720A5">
        <w:t>Repealed Eff. January 1, 2020.</w:t>
      </w:r>
    </w:p>
    <w:p w14:paraId="7C72482F" w14:textId="77777777" w:rsidR="006A0BDB" w:rsidRPr="002720A5" w:rsidRDefault="006A0BDB" w:rsidP="001D2CEB">
      <w:pPr>
        <w:pStyle w:val="Base"/>
      </w:pPr>
    </w:p>
    <w:p w14:paraId="47483081" w14:textId="77777777" w:rsidR="006A0BDB" w:rsidRPr="00CC5074" w:rsidRDefault="006A0BDB" w:rsidP="001D2CEB">
      <w:pPr>
        <w:pStyle w:val="Rule"/>
      </w:pPr>
      <w:r w:rsidRPr="00CC5074">
        <w:t>10A ncac 13C .1410</w:t>
      </w:r>
      <w:r w:rsidRPr="00CC5074">
        <w:tab/>
        <w:t>APPLICATION OF PHYSICAL PLANT REQUIREMENTS</w:t>
      </w:r>
    </w:p>
    <w:p w14:paraId="3779ACCA" w14:textId="77777777" w:rsidR="006A0BDB" w:rsidRPr="00CC5074" w:rsidRDefault="006A0BDB" w:rsidP="001D2CEB">
      <w:pPr>
        <w:pStyle w:val="Base"/>
      </w:pPr>
    </w:p>
    <w:p w14:paraId="51E698C0" w14:textId="77777777" w:rsidR="006A0BDB" w:rsidRPr="00CC5074" w:rsidRDefault="006A0BDB" w:rsidP="001D2CEB">
      <w:pPr>
        <w:pStyle w:val="History"/>
      </w:pPr>
      <w:r w:rsidRPr="00CC5074">
        <w:t>History Note:</w:t>
      </w:r>
      <w:r w:rsidRPr="00CC5074">
        <w:tab/>
        <w:t>Authority G.S. 131E</w:t>
      </w:r>
      <w:r w:rsidRPr="00CC5074">
        <w:noBreakHyphen/>
        <w:t>149;</w:t>
      </w:r>
    </w:p>
    <w:p w14:paraId="167ECFA6" w14:textId="77777777" w:rsidR="006A0BDB" w:rsidRPr="00CC5074" w:rsidRDefault="006A0BDB" w:rsidP="001D2CEB">
      <w:pPr>
        <w:pStyle w:val="HistoryAfter"/>
      </w:pPr>
      <w:r w:rsidRPr="00CC5074">
        <w:t>Eff. April 1, 2003;</w:t>
      </w:r>
    </w:p>
    <w:p w14:paraId="19F0DB3D" w14:textId="77777777" w:rsidR="006A0BDB" w:rsidRPr="00CC5074" w:rsidRDefault="006A0BDB" w:rsidP="001D2CEB">
      <w:pPr>
        <w:pStyle w:val="HistoryAfter"/>
      </w:pPr>
      <w:r w:rsidRPr="00CC5074">
        <w:t>Repealed Eff. January 1, 2020.</w:t>
      </w:r>
    </w:p>
    <w:p w14:paraId="48177506" w14:textId="77777777" w:rsidR="006A0BDB" w:rsidRPr="00CC5074" w:rsidRDefault="006A0BDB" w:rsidP="001D2CEB">
      <w:pPr>
        <w:pStyle w:val="Base"/>
      </w:pPr>
    </w:p>
    <w:p w14:paraId="46F1340E" w14:textId="77777777" w:rsidR="006A0BDB" w:rsidRPr="00F07438" w:rsidRDefault="006A0BDB" w:rsidP="001D2CEB">
      <w:pPr>
        <w:pStyle w:val="Rule"/>
      </w:pPr>
      <w:r w:rsidRPr="00F07438">
        <w:t>10A NCAC 13F .0203</w:t>
      </w:r>
      <w:r w:rsidRPr="00F07438">
        <w:tab/>
        <w:t>PERSONS NOT ELIGIBLE FOR NEW ADULT CARE HOME LICENSES</w:t>
      </w:r>
    </w:p>
    <w:p w14:paraId="2E66E4DD" w14:textId="77777777" w:rsidR="006A0BDB" w:rsidRPr="00F07438" w:rsidRDefault="006A0BDB" w:rsidP="001D2CEB">
      <w:pPr>
        <w:pStyle w:val="Base"/>
      </w:pPr>
    </w:p>
    <w:p w14:paraId="3C66BBB7" w14:textId="77777777" w:rsidR="006A0BDB" w:rsidRPr="00F07438" w:rsidRDefault="006A0BDB" w:rsidP="001D2CEB">
      <w:pPr>
        <w:pStyle w:val="History"/>
      </w:pPr>
      <w:r w:rsidRPr="00F07438">
        <w:t>History Note:</w:t>
      </w:r>
      <w:r w:rsidRPr="00F07438">
        <w:tab/>
        <w:t>Authority G.S. 131D-2.4; 131D-2.5; 131D-4.5; 131D-2.16; 143B-165;</w:t>
      </w:r>
    </w:p>
    <w:p w14:paraId="4C3C359E" w14:textId="77777777" w:rsidR="006A0BDB" w:rsidRPr="00F07438" w:rsidRDefault="006A0BDB" w:rsidP="001D2CEB">
      <w:pPr>
        <w:pStyle w:val="HistoryAfter"/>
      </w:pPr>
      <w:r w:rsidRPr="00F07438">
        <w:lastRenderedPageBreak/>
        <w:t>Temporary Adoption Eff. December 1, 1999;</w:t>
      </w:r>
    </w:p>
    <w:p w14:paraId="3CE1DBF2" w14:textId="77777777" w:rsidR="006A0BDB" w:rsidRPr="00F07438" w:rsidRDefault="006A0BDB" w:rsidP="001D2CEB">
      <w:pPr>
        <w:pStyle w:val="HistoryAfter"/>
      </w:pPr>
      <w:r w:rsidRPr="00F07438">
        <w:t>Eff. July 1, 2000;</w:t>
      </w:r>
    </w:p>
    <w:p w14:paraId="3FBF9BD2" w14:textId="77777777" w:rsidR="006A0BDB" w:rsidRPr="00F07438" w:rsidRDefault="006A0BDB" w:rsidP="001D2CEB">
      <w:pPr>
        <w:pStyle w:val="HistoryAfter"/>
      </w:pPr>
      <w:r w:rsidRPr="00F07438">
        <w:t>Temporary Amendment Eff. July 1, 2003;</w:t>
      </w:r>
    </w:p>
    <w:p w14:paraId="34C99704" w14:textId="77777777" w:rsidR="006A0BDB" w:rsidRPr="00F07438" w:rsidRDefault="006A0BDB" w:rsidP="001D2CEB">
      <w:pPr>
        <w:pStyle w:val="HistoryAfter"/>
      </w:pPr>
      <w:r w:rsidRPr="00F07438">
        <w:t>Amended Eff. June 1, 2004;</w:t>
      </w:r>
    </w:p>
    <w:p w14:paraId="34B3321F" w14:textId="77777777" w:rsidR="006A0BDB" w:rsidRPr="00F07438" w:rsidRDefault="006A0BDB" w:rsidP="001D2CEB">
      <w:pPr>
        <w:pStyle w:val="HistoryAfter"/>
      </w:pPr>
      <w:r w:rsidRPr="00F07438">
        <w:t>Repealed Eff. January 1, 2020.</w:t>
      </w:r>
    </w:p>
    <w:p w14:paraId="5996958B" w14:textId="77777777" w:rsidR="006A0BDB" w:rsidRPr="00F07438" w:rsidRDefault="006A0BDB" w:rsidP="001D2CEB">
      <w:pPr>
        <w:pStyle w:val="Base"/>
      </w:pPr>
    </w:p>
    <w:p w14:paraId="00F3DDE0" w14:textId="77777777" w:rsidR="006A0BDB" w:rsidRPr="00313B20" w:rsidRDefault="006A0BDB" w:rsidP="001D2CEB">
      <w:pPr>
        <w:pStyle w:val="Rule"/>
      </w:pPr>
      <w:r w:rsidRPr="00313B20">
        <w:t>10A NCAC 13F .0207</w:t>
      </w:r>
      <w:r w:rsidRPr="00313B20">
        <w:tab/>
        <w:t>CHANGE OF LICENSEE</w:t>
      </w:r>
    </w:p>
    <w:p w14:paraId="26938ED4" w14:textId="77777777" w:rsidR="006A0BDB" w:rsidRPr="00313B20" w:rsidRDefault="006A0BDB" w:rsidP="001D2CEB">
      <w:pPr>
        <w:pStyle w:val="Paragraph"/>
      </w:pPr>
      <w:r w:rsidRPr="00313B20">
        <w:t>Prior to the sale of an adult care home business, the current and prospective licensee shall meet the requirements of this Rule.</w:t>
      </w:r>
    </w:p>
    <w:p w14:paraId="05DB1431" w14:textId="77777777" w:rsidR="006A0BDB" w:rsidRPr="00313B20" w:rsidRDefault="006A0BDB" w:rsidP="001D2CEB">
      <w:pPr>
        <w:pStyle w:val="Item"/>
        <w:tabs>
          <w:tab w:val="clear" w:pos="1800"/>
        </w:tabs>
      </w:pPr>
      <w:r w:rsidRPr="00313B20">
        <w:t>(1)</w:t>
      </w:r>
      <w:r w:rsidRPr="00313B20">
        <w:tab/>
        <w:t>The current licensee shall provide written notification of a planned change of licensee to the Division of Health Service Regulation, the county department of social services, and the residents or their responsible persons at least 30 days prior to the date of the planned change of licensee.</w:t>
      </w:r>
    </w:p>
    <w:p w14:paraId="40A24B1E" w14:textId="77777777" w:rsidR="006A0BDB" w:rsidRPr="00313B20" w:rsidRDefault="006A0BDB" w:rsidP="001D2CEB">
      <w:pPr>
        <w:pStyle w:val="Item"/>
        <w:tabs>
          <w:tab w:val="clear" w:pos="1800"/>
        </w:tabs>
      </w:pPr>
      <w:r w:rsidRPr="00313B20">
        <w:t>(2)</w:t>
      </w:r>
      <w:r w:rsidRPr="00313B20">
        <w:tab/>
        <w:t>If the prospective licensee plans to purchase the building, the prospective licensee shall provide the Healthcare Planning and Certificate of Need Section of the Division of Health Service Regulation with prior written notice as required by G.S. 131E-184(a)(8) prior to the purchase of the building.</w:t>
      </w:r>
    </w:p>
    <w:p w14:paraId="2D289FA5" w14:textId="77777777" w:rsidR="006A0BDB" w:rsidRPr="00313B20" w:rsidRDefault="006A0BDB" w:rsidP="001D2CEB">
      <w:pPr>
        <w:pStyle w:val="Item"/>
        <w:tabs>
          <w:tab w:val="clear" w:pos="1800"/>
        </w:tabs>
      </w:pPr>
      <w:r w:rsidRPr="00313B20">
        <w:t>(3)</w:t>
      </w:r>
      <w:r w:rsidRPr="00313B20">
        <w:tab/>
        <w:t>The prospective licensee shall submit the following license application material to the Division of Health Service Regulation:</w:t>
      </w:r>
    </w:p>
    <w:p w14:paraId="0A8141BB" w14:textId="77777777" w:rsidR="006A0BDB" w:rsidRPr="00313B20" w:rsidRDefault="006A0BDB" w:rsidP="001D2CEB">
      <w:pPr>
        <w:pStyle w:val="SubItemLvl1"/>
        <w:tabs>
          <w:tab w:val="clear" w:pos="2520"/>
        </w:tabs>
      </w:pPr>
      <w:r w:rsidRPr="00313B20">
        <w:t>(a)</w:t>
      </w:r>
      <w:r w:rsidRPr="00313B20">
        <w:tab/>
        <w:t>the Change Licensure Application for Adult Care Home (7 or more Beds) that is available on the internet website,</w:t>
      </w:r>
      <w:r>
        <w:t xml:space="preserve"> </w:t>
      </w:r>
      <w:r w:rsidRPr="00313B20">
        <w:t>https://info.ncdhhs.gov/dhsr/acls/pdf/acchgapp.pdf at no cost and includes the following:</w:t>
      </w:r>
    </w:p>
    <w:p w14:paraId="1BC34CAC" w14:textId="77777777" w:rsidR="006A0BDB" w:rsidRPr="00313B20" w:rsidRDefault="006A0BDB" w:rsidP="001D2CEB">
      <w:pPr>
        <w:pStyle w:val="SubItemLvl2"/>
      </w:pPr>
      <w:r w:rsidRPr="00313B20">
        <w:t>(i)</w:t>
      </w:r>
      <w:r w:rsidRPr="00313B20">
        <w:tab/>
        <w:t>facility administrator and building owner information;</w:t>
      </w:r>
    </w:p>
    <w:p w14:paraId="2E611CA1" w14:textId="77777777" w:rsidR="006A0BDB" w:rsidRPr="00313B20" w:rsidRDefault="006A0BDB" w:rsidP="001D2CEB">
      <w:pPr>
        <w:pStyle w:val="SubItemLvl2"/>
      </w:pPr>
      <w:r w:rsidRPr="00313B20">
        <w:t>(ii)</w:t>
      </w:r>
      <w:r w:rsidRPr="00313B20">
        <w:tab/>
        <w:t>operation disclosure including new licensee information and management company, if any; and</w:t>
      </w:r>
    </w:p>
    <w:p w14:paraId="5E942487" w14:textId="77777777" w:rsidR="006A0BDB" w:rsidRPr="00313B20" w:rsidRDefault="006A0BDB" w:rsidP="001D2CEB">
      <w:pPr>
        <w:pStyle w:val="SubItemLvl2"/>
      </w:pPr>
      <w:r w:rsidRPr="00313B20">
        <w:t>(iii)</w:t>
      </w:r>
      <w:r w:rsidRPr="00313B20">
        <w:tab/>
        <w:t>ownership disclosure including new owners, principles, affiliates, shareholders, and members;</w:t>
      </w:r>
    </w:p>
    <w:p w14:paraId="744A394A" w14:textId="77777777" w:rsidR="006A0BDB" w:rsidRPr="00313B20" w:rsidRDefault="006A0BDB" w:rsidP="001D2CEB">
      <w:pPr>
        <w:pStyle w:val="SubItemLvl1"/>
        <w:tabs>
          <w:tab w:val="clear" w:pos="2520"/>
        </w:tabs>
      </w:pPr>
      <w:r w:rsidRPr="00313B20">
        <w:t>(b)</w:t>
      </w:r>
      <w:r w:rsidRPr="00313B20">
        <w:tab/>
        <w:t>a fire and building safety inspection report from the local fire marshal dated within the past 12 months;</w:t>
      </w:r>
    </w:p>
    <w:p w14:paraId="5E84BB73" w14:textId="77777777" w:rsidR="006A0BDB" w:rsidRPr="00313B20" w:rsidRDefault="006A0BDB" w:rsidP="001D2CEB">
      <w:pPr>
        <w:pStyle w:val="SubItemLvl1"/>
        <w:tabs>
          <w:tab w:val="clear" w:pos="2520"/>
        </w:tabs>
      </w:pPr>
      <w:r w:rsidRPr="00313B20">
        <w:t>(c)</w:t>
      </w:r>
      <w:r w:rsidRPr="00313B20">
        <w:tab/>
        <w:t>a sanitation report from the sanitation division of the county health department dated within the past 12 months; and</w:t>
      </w:r>
    </w:p>
    <w:p w14:paraId="25181674" w14:textId="77777777" w:rsidR="006A0BDB" w:rsidRPr="00313B20" w:rsidRDefault="006A0BDB" w:rsidP="001D2CEB">
      <w:pPr>
        <w:pStyle w:val="SubItemLvl1"/>
        <w:tabs>
          <w:tab w:val="clear" w:pos="2520"/>
        </w:tabs>
      </w:pPr>
      <w:r w:rsidRPr="00313B20">
        <w:t>(d)</w:t>
      </w:r>
      <w:r w:rsidRPr="00313B20">
        <w:tab/>
        <w:t>a nonrefundable license fee as required by G.S. 131D-2.5.</w:t>
      </w:r>
    </w:p>
    <w:p w14:paraId="2822144B" w14:textId="77777777" w:rsidR="006A0BDB" w:rsidRPr="00313B20" w:rsidRDefault="006A0BDB" w:rsidP="001D2CEB">
      <w:pPr>
        <w:pStyle w:val="Base"/>
      </w:pPr>
    </w:p>
    <w:p w14:paraId="3E7144E8" w14:textId="77777777" w:rsidR="006A0BDB" w:rsidRPr="00313B20" w:rsidRDefault="006A0BDB" w:rsidP="001D2CEB">
      <w:pPr>
        <w:pStyle w:val="History"/>
      </w:pPr>
      <w:r w:rsidRPr="00313B20">
        <w:t>History Note:</w:t>
      </w:r>
      <w:r w:rsidRPr="00313B20">
        <w:tab/>
        <w:t>Authority G.S. 131D-2.4; 131D-2.5; 131D-2.16; 143B-165;</w:t>
      </w:r>
    </w:p>
    <w:p w14:paraId="1A6D52F2" w14:textId="77777777" w:rsidR="006A0BDB" w:rsidRPr="00313B20" w:rsidRDefault="006A0BDB" w:rsidP="001D2CEB">
      <w:pPr>
        <w:pStyle w:val="HistoryAfter"/>
      </w:pPr>
      <w:r w:rsidRPr="00313B20">
        <w:t>Eff. January 1, 1977;</w:t>
      </w:r>
    </w:p>
    <w:p w14:paraId="6F13DF82" w14:textId="77777777" w:rsidR="006A0BDB" w:rsidRPr="00313B20" w:rsidRDefault="006A0BDB" w:rsidP="001D2CEB">
      <w:pPr>
        <w:pStyle w:val="HistoryAfter"/>
      </w:pPr>
      <w:r w:rsidRPr="00313B20">
        <w:t>Readopted Eff. October 31, 1977;</w:t>
      </w:r>
    </w:p>
    <w:p w14:paraId="68727702" w14:textId="77777777" w:rsidR="006A0BDB" w:rsidRPr="00313B20" w:rsidRDefault="006A0BDB" w:rsidP="001D2CEB">
      <w:pPr>
        <w:pStyle w:val="HistoryAfter"/>
      </w:pPr>
      <w:r w:rsidRPr="00313B20">
        <w:t>Amended Eff. April 1, 1984;</w:t>
      </w:r>
    </w:p>
    <w:p w14:paraId="0A4C8071" w14:textId="77777777" w:rsidR="006A0BDB" w:rsidRPr="00313B20" w:rsidRDefault="006A0BDB" w:rsidP="001D2CEB">
      <w:pPr>
        <w:pStyle w:val="HistoryAfter"/>
      </w:pPr>
      <w:r w:rsidRPr="00313B20">
        <w:t>Temporary Amendment Eff. September 1, 2003; July 1, 2003;</w:t>
      </w:r>
    </w:p>
    <w:p w14:paraId="33E81411" w14:textId="77777777" w:rsidR="006A0BDB" w:rsidRPr="00313B20" w:rsidRDefault="006A0BDB" w:rsidP="001D2CEB">
      <w:pPr>
        <w:pStyle w:val="HistoryAfter"/>
      </w:pPr>
      <w:r w:rsidRPr="00313B20">
        <w:t>Amended Eff. June 1, 2004;</w:t>
      </w:r>
    </w:p>
    <w:p w14:paraId="69569FAC" w14:textId="77777777" w:rsidR="006A0BDB" w:rsidRPr="00313B20" w:rsidRDefault="006A0BDB" w:rsidP="001D2CEB">
      <w:pPr>
        <w:pStyle w:val="HistoryAfter"/>
      </w:pPr>
      <w:r w:rsidRPr="00313B20">
        <w:t>Readopted Eff. January 1, 2020.</w:t>
      </w:r>
    </w:p>
    <w:p w14:paraId="3B387EF9" w14:textId="77777777" w:rsidR="006A0BDB" w:rsidRPr="00313B20" w:rsidRDefault="006A0BDB" w:rsidP="001D2CEB">
      <w:pPr>
        <w:pStyle w:val="Base"/>
      </w:pPr>
    </w:p>
    <w:p w14:paraId="016BE91B" w14:textId="77777777" w:rsidR="006A0BDB" w:rsidRPr="009538E6" w:rsidRDefault="006A0BDB" w:rsidP="001D2CEB">
      <w:pPr>
        <w:pStyle w:val="Rule"/>
      </w:pPr>
      <w:r w:rsidRPr="009538E6">
        <w:t>10A NCAC 13F .0214</w:t>
      </w:r>
      <w:r w:rsidRPr="009538E6">
        <w:tab/>
        <w:t>SUSPENSION OF ADMISSIONS</w:t>
      </w:r>
    </w:p>
    <w:p w14:paraId="23DA71B3" w14:textId="77777777" w:rsidR="006A0BDB" w:rsidRPr="009538E6" w:rsidRDefault="006A0BDB" w:rsidP="001D2CEB">
      <w:pPr>
        <w:pStyle w:val="Base"/>
      </w:pPr>
    </w:p>
    <w:p w14:paraId="0E489F0C" w14:textId="77777777" w:rsidR="006A0BDB" w:rsidRPr="009538E6" w:rsidRDefault="006A0BDB" w:rsidP="001D2CEB">
      <w:pPr>
        <w:pStyle w:val="History"/>
      </w:pPr>
      <w:r w:rsidRPr="009538E6">
        <w:t>History Note:</w:t>
      </w:r>
      <w:r w:rsidRPr="009538E6">
        <w:tab/>
        <w:t>Authority G.S. 131D-2.7;</w:t>
      </w:r>
    </w:p>
    <w:p w14:paraId="130A4520" w14:textId="77777777" w:rsidR="006A0BDB" w:rsidRPr="009538E6" w:rsidRDefault="006A0BDB" w:rsidP="001D2CEB">
      <w:pPr>
        <w:pStyle w:val="HistoryAfter"/>
      </w:pPr>
      <w:r w:rsidRPr="009538E6">
        <w:t>Eff. January 1, 1982;</w:t>
      </w:r>
    </w:p>
    <w:p w14:paraId="0C0A8979" w14:textId="77777777" w:rsidR="006A0BDB" w:rsidRPr="009538E6" w:rsidRDefault="006A0BDB" w:rsidP="001D2CEB">
      <w:pPr>
        <w:pStyle w:val="HistoryAfter"/>
      </w:pPr>
      <w:r w:rsidRPr="009538E6">
        <w:t>Repealed Eff. January 1, 2020.</w:t>
      </w:r>
    </w:p>
    <w:p w14:paraId="0B48A291" w14:textId="77777777" w:rsidR="006A0BDB" w:rsidRPr="009538E6" w:rsidRDefault="006A0BDB" w:rsidP="001D2CEB">
      <w:pPr>
        <w:pStyle w:val="Base"/>
      </w:pPr>
    </w:p>
    <w:p w14:paraId="7C9147F6" w14:textId="77777777" w:rsidR="006A0BDB" w:rsidRPr="00AB4F04" w:rsidRDefault="006A0BDB" w:rsidP="001D2CEB">
      <w:pPr>
        <w:pStyle w:val="Rule"/>
      </w:pPr>
      <w:r w:rsidRPr="00AB4F04">
        <w:t>10A NCAC 13F .1206</w:t>
      </w:r>
      <w:r w:rsidRPr="00AB4F04">
        <w:tab/>
        <w:t>marketing</w:t>
      </w:r>
    </w:p>
    <w:p w14:paraId="6C82A229" w14:textId="77777777" w:rsidR="006A0BDB" w:rsidRPr="00AB4F04" w:rsidRDefault="006A0BDB" w:rsidP="001D2CEB">
      <w:pPr>
        <w:pStyle w:val="Paragraph"/>
      </w:pPr>
      <w:r w:rsidRPr="00AB4F04">
        <w:t>An adult care home may market provided:</w:t>
      </w:r>
    </w:p>
    <w:p w14:paraId="6A93F5CE" w14:textId="77777777" w:rsidR="006A0BDB" w:rsidRPr="00AB4F04" w:rsidRDefault="006A0BDB" w:rsidP="001D2CEB">
      <w:pPr>
        <w:pStyle w:val="Item"/>
        <w:tabs>
          <w:tab w:val="clear" w:pos="1800"/>
        </w:tabs>
      </w:pPr>
      <w:r w:rsidRPr="00AB4F04">
        <w:t>(1)</w:t>
      </w:r>
      <w:r w:rsidRPr="00AB4F04">
        <w:tab/>
        <w:t>the name used is as it appears on the license;</w:t>
      </w:r>
    </w:p>
    <w:p w14:paraId="4949C3DD" w14:textId="77777777" w:rsidR="006A0BDB" w:rsidRPr="00AB4F04" w:rsidRDefault="006A0BDB" w:rsidP="001D2CEB">
      <w:pPr>
        <w:pStyle w:val="Item"/>
        <w:tabs>
          <w:tab w:val="clear" w:pos="1800"/>
        </w:tabs>
      </w:pPr>
      <w:r w:rsidRPr="00AB4F04">
        <w:t>(2)</w:t>
      </w:r>
      <w:r w:rsidRPr="00AB4F04">
        <w:tab/>
        <w:t>only the services and accommodations for which the home is licensed are used; and</w:t>
      </w:r>
    </w:p>
    <w:p w14:paraId="2DEBE1EF" w14:textId="77777777" w:rsidR="006A0BDB" w:rsidRPr="00AB4F04" w:rsidRDefault="006A0BDB" w:rsidP="001D2CEB">
      <w:pPr>
        <w:pStyle w:val="Item"/>
        <w:tabs>
          <w:tab w:val="clear" w:pos="1800"/>
        </w:tabs>
      </w:pPr>
      <w:r w:rsidRPr="00AB4F04">
        <w:t>(3)</w:t>
      </w:r>
      <w:r w:rsidRPr="00AB4F04">
        <w:tab/>
        <w:t>the home is classified by licensure status.</w:t>
      </w:r>
    </w:p>
    <w:p w14:paraId="4D474FD6" w14:textId="77777777" w:rsidR="006A0BDB" w:rsidRPr="00AB4F04" w:rsidRDefault="006A0BDB" w:rsidP="001D2CEB">
      <w:pPr>
        <w:pStyle w:val="Base"/>
      </w:pPr>
    </w:p>
    <w:p w14:paraId="43CE9F8E" w14:textId="77777777" w:rsidR="006A0BDB" w:rsidRPr="00AB4F04" w:rsidRDefault="006A0BDB" w:rsidP="001D2CEB">
      <w:pPr>
        <w:pStyle w:val="History"/>
      </w:pPr>
      <w:r w:rsidRPr="00AB4F04">
        <w:t>History Note:</w:t>
      </w:r>
      <w:r w:rsidRPr="00AB4F04">
        <w:tab/>
        <w:t>Authority G.S. 131D-2.1; 131D-2.16; 143B-165;</w:t>
      </w:r>
    </w:p>
    <w:p w14:paraId="68CBEA1E" w14:textId="77777777" w:rsidR="006A0BDB" w:rsidRPr="00AB4F04" w:rsidRDefault="006A0BDB" w:rsidP="001D2CEB">
      <w:pPr>
        <w:pStyle w:val="HistoryAfter"/>
      </w:pPr>
      <w:r w:rsidRPr="00AB4F04">
        <w:t>Eff. January 1, 1977;</w:t>
      </w:r>
    </w:p>
    <w:p w14:paraId="71E17170" w14:textId="77777777" w:rsidR="006A0BDB" w:rsidRPr="00AB4F04" w:rsidRDefault="006A0BDB" w:rsidP="001D2CEB">
      <w:pPr>
        <w:pStyle w:val="HistoryAfter"/>
      </w:pPr>
      <w:r w:rsidRPr="00AB4F04">
        <w:t>Readopted Eff. October 31, 1977;</w:t>
      </w:r>
    </w:p>
    <w:p w14:paraId="70C9CF25" w14:textId="77777777" w:rsidR="006A0BDB" w:rsidRPr="00AB4F04" w:rsidRDefault="006A0BDB" w:rsidP="001D2CEB">
      <w:pPr>
        <w:pStyle w:val="HistoryAfter"/>
      </w:pPr>
      <w:r w:rsidRPr="00AB4F04">
        <w:t>Temporary Amendment Eff. July 1, 2003;</w:t>
      </w:r>
    </w:p>
    <w:p w14:paraId="091CA938" w14:textId="77777777" w:rsidR="006A0BDB" w:rsidRPr="00AB4F04" w:rsidRDefault="006A0BDB" w:rsidP="001D2CEB">
      <w:pPr>
        <w:pStyle w:val="HistoryAfter"/>
      </w:pPr>
      <w:r w:rsidRPr="00AB4F04">
        <w:t>Amended Eff. July 1, 2004;</w:t>
      </w:r>
    </w:p>
    <w:p w14:paraId="2B9476AD" w14:textId="77777777" w:rsidR="006A0BDB" w:rsidRPr="00AB4F04" w:rsidRDefault="006A0BDB" w:rsidP="001D2CEB">
      <w:pPr>
        <w:pStyle w:val="HistoryAfter"/>
      </w:pPr>
      <w:r w:rsidRPr="00AB4F04">
        <w:t>Readopted Eff. January 1, 2020.</w:t>
      </w:r>
    </w:p>
    <w:p w14:paraId="7999A090" w14:textId="77777777" w:rsidR="006A0BDB" w:rsidRDefault="006A0BDB" w:rsidP="001D2CEB">
      <w:pPr>
        <w:pStyle w:val="Base"/>
      </w:pPr>
    </w:p>
    <w:p w14:paraId="15B1ACBA" w14:textId="77777777" w:rsidR="006A0BDB" w:rsidRPr="001126A5" w:rsidRDefault="006A0BDB" w:rsidP="001D2CEB">
      <w:pPr>
        <w:pStyle w:val="Rule"/>
      </w:pPr>
      <w:r w:rsidRPr="001126A5">
        <w:t>10A NCAC 13G .0207</w:t>
      </w:r>
      <w:r w:rsidRPr="001126A5">
        <w:tab/>
        <w:t>CHANGE OF LICENSEE</w:t>
      </w:r>
    </w:p>
    <w:p w14:paraId="5C3C0B26" w14:textId="77777777" w:rsidR="006A0BDB" w:rsidRPr="001126A5" w:rsidRDefault="006A0BDB" w:rsidP="001D2CEB">
      <w:pPr>
        <w:pStyle w:val="Paragraph"/>
      </w:pPr>
      <w:r w:rsidRPr="001126A5">
        <w:t>Prior to the sale of a family care home business, the current and prospective licensee shall meet the requirements of this Rule.</w:t>
      </w:r>
    </w:p>
    <w:p w14:paraId="068497C3" w14:textId="77777777" w:rsidR="006A0BDB" w:rsidRPr="001126A5" w:rsidRDefault="006A0BDB" w:rsidP="001D2CEB">
      <w:pPr>
        <w:pStyle w:val="Item"/>
        <w:tabs>
          <w:tab w:val="clear" w:pos="1800"/>
        </w:tabs>
      </w:pPr>
      <w:r w:rsidRPr="001126A5">
        <w:t>(1)</w:t>
      </w:r>
      <w:r w:rsidRPr="001126A5">
        <w:tab/>
        <w:t>The current licensee shall provide written notification of a planned change of licensee to the Division of Health Service Regulation, the county department of social services, and the residents or their responsible persons at least 30 days prior to the date of the planned change of licensee.</w:t>
      </w:r>
    </w:p>
    <w:p w14:paraId="27BEB6FC" w14:textId="77777777" w:rsidR="006A0BDB" w:rsidRPr="001126A5" w:rsidRDefault="006A0BDB" w:rsidP="001D2CEB">
      <w:pPr>
        <w:pStyle w:val="Item"/>
        <w:tabs>
          <w:tab w:val="clear" w:pos="1800"/>
        </w:tabs>
      </w:pPr>
      <w:r w:rsidRPr="001126A5">
        <w:t>(2)</w:t>
      </w:r>
      <w:r w:rsidRPr="001126A5">
        <w:tab/>
        <w:t>The prospective licensee shall submit the following license application material to the Division of Health Service Regulation:</w:t>
      </w:r>
    </w:p>
    <w:p w14:paraId="5A7E9C4A" w14:textId="77777777" w:rsidR="006A0BDB" w:rsidRPr="001126A5" w:rsidRDefault="006A0BDB" w:rsidP="001D2CEB">
      <w:pPr>
        <w:pStyle w:val="SubItemLvl1"/>
        <w:tabs>
          <w:tab w:val="clear" w:pos="2520"/>
        </w:tabs>
      </w:pPr>
      <w:r w:rsidRPr="001126A5">
        <w:t>(a)</w:t>
      </w:r>
      <w:r w:rsidRPr="001126A5">
        <w:tab/>
        <w:t>the Change Licensure Application for Family Care Home (2 to 6 Beds) that is available on the internet website,</w:t>
      </w:r>
      <w:r>
        <w:t xml:space="preserve"> </w:t>
      </w:r>
      <w:r w:rsidRPr="001126A5">
        <w:t>https://info.ncdhhs.gov/dhsr/acls/pdf/fcchgapp.pdf at no cost and includes the following:</w:t>
      </w:r>
    </w:p>
    <w:p w14:paraId="463EAC4F" w14:textId="77777777" w:rsidR="006A0BDB" w:rsidRPr="001126A5" w:rsidRDefault="006A0BDB" w:rsidP="001D2CEB">
      <w:pPr>
        <w:pStyle w:val="SubItemLvl2"/>
      </w:pPr>
      <w:r w:rsidRPr="001126A5">
        <w:t>(i)</w:t>
      </w:r>
      <w:r w:rsidRPr="001126A5">
        <w:tab/>
        <w:t>facility, administrator and building owner information;</w:t>
      </w:r>
    </w:p>
    <w:p w14:paraId="6D651BFA" w14:textId="77777777" w:rsidR="006A0BDB" w:rsidRPr="001126A5" w:rsidRDefault="006A0BDB" w:rsidP="001D2CEB">
      <w:pPr>
        <w:pStyle w:val="SubItemLvl2"/>
      </w:pPr>
      <w:r w:rsidRPr="001126A5">
        <w:t>(ii)</w:t>
      </w:r>
      <w:r w:rsidRPr="001126A5">
        <w:tab/>
        <w:t>operation disclosure including new licensee information and management company, if any; and</w:t>
      </w:r>
    </w:p>
    <w:p w14:paraId="5AEF3862" w14:textId="77777777" w:rsidR="006A0BDB" w:rsidRPr="001126A5" w:rsidRDefault="006A0BDB" w:rsidP="001D2CEB">
      <w:pPr>
        <w:pStyle w:val="SubItemLvl2"/>
      </w:pPr>
      <w:r w:rsidRPr="001126A5">
        <w:t>(iii)</w:t>
      </w:r>
      <w:r w:rsidRPr="001126A5">
        <w:tab/>
        <w:t>ownership disclosure including new owners, principles, affiliates, shareholders, and members;</w:t>
      </w:r>
    </w:p>
    <w:p w14:paraId="2652FD77" w14:textId="77777777" w:rsidR="006A0BDB" w:rsidRPr="001126A5" w:rsidRDefault="006A0BDB" w:rsidP="001D2CEB">
      <w:pPr>
        <w:pStyle w:val="SubItemLvl1"/>
        <w:tabs>
          <w:tab w:val="clear" w:pos="2520"/>
        </w:tabs>
      </w:pPr>
      <w:r w:rsidRPr="001126A5">
        <w:t>(b)</w:t>
      </w:r>
      <w:r w:rsidRPr="001126A5">
        <w:tab/>
        <w:t>a fire and building safety inspection report from the local fire marshal dated within the past 12 months;</w:t>
      </w:r>
    </w:p>
    <w:p w14:paraId="58D28D5B" w14:textId="77777777" w:rsidR="006A0BDB" w:rsidRPr="001126A5" w:rsidRDefault="006A0BDB" w:rsidP="001D2CEB">
      <w:pPr>
        <w:pStyle w:val="SubItemLvl1"/>
        <w:tabs>
          <w:tab w:val="clear" w:pos="2520"/>
        </w:tabs>
      </w:pPr>
      <w:r w:rsidRPr="001126A5">
        <w:t>(c)</w:t>
      </w:r>
      <w:r w:rsidRPr="001126A5">
        <w:tab/>
        <w:t xml:space="preserve">a sanitation report from the sanitation division of the county health </w:t>
      </w:r>
      <w:r w:rsidRPr="001126A5">
        <w:lastRenderedPageBreak/>
        <w:t>department dated within the past 12 months; and</w:t>
      </w:r>
    </w:p>
    <w:p w14:paraId="2085AEB5" w14:textId="77777777" w:rsidR="006A0BDB" w:rsidRPr="001126A5" w:rsidRDefault="006A0BDB" w:rsidP="001D2CEB">
      <w:pPr>
        <w:pStyle w:val="SubItemLvl1"/>
        <w:tabs>
          <w:tab w:val="clear" w:pos="2520"/>
        </w:tabs>
      </w:pPr>
      <w:r w:rsidRPr="001126A5">
        <w:t>(d)</w:t>
      </w:r>
      <w:r w:rsidRPr="001126A5">
        <w:tab/>
        <w:t>a nonrefundable license fee as required by G.S. 131D-2.5.</w:t>
      </w:r>
    </w:p>
    <w:p w14:paraId="438C16A4" w14:textId="77777777" w:rsidR="006A0BDB" w:rsidRPr="001126A5" w:rsidRDefault="006A0BDB" w:rsidP="001D2CEB">
      <w:pPr>
        <w:pStyle w:val="Base"/>
      </w:pPr>
    </w:p>
    <w:p w14:paraId="704D76F4" w14:textId="77777777" w:rsidR="006A0BDB" w:rsidRPr="001126A5" w:rsidRDefault="006A0BDB" w:rsidP="001D2CEB">
      <w:pPr>
        <w:pStyle w:val="History"/>
      </w:pPr>
      <w:r w:rsidRPr="001126A5">
        <w:t>History Note:</w:t>
      </w:r>
      <w:r w:rsidRPr="001126A5">
        <w:tab/>
        <w:t>Authority G.S. 131D-2.4; 131D-2.16; 143B-165;</w:t>
      </w:r>
    </w:p>
    <w:p w14:paraId="66D965A0" w14:textId="77777777" w:rsidR="006A0BDB" w:rsidRPr="001126A5" w:rsidRDefault="006A0BDB" w:rsidP="001D2CEB">
      <w:pPr>
        <w:pStyle w:val="HistoryAfter"/>
      </w:pPr>
      <w:r w:rsidRPr="001126A5">
        <w:t>Eff. January 1, 1977;</w:t>
      </w:r>
    </w:p>
    <w:p w14:paraId="3D1C960C" w14:textId="77777777" w:rsidR="006A0BDB" w:rsidRPr="001126A5" w:rsidRDefault="006A0BDB" w:rsidP="001D2CEB">
      <w:pPr>
        <w:pStyle w:val="HistoryAfter"/>
      </w:pPr>
      <w:r w:rsidRPr="001126A5">
        <w:t>Readopted Eff. October 31, 1977;</w:t>
      </w:r>
    </w:p>
    <w:p w14:paraId="0CB52BEB" w14:textId="77777777" w:rsidR="006A0BDB" w:rsidRPr="001126A5" w:rsidRDefault="006A0BDB" w:rsidP="001D2CEB">
      <w:pPr>
        <w:pStyle w:val="HistoryAfter"/>
      </w:pPr>
      <w:r w:rsidRPr="001126A5">
        <w:t>Amended Eff. July 1, 1990; April 1, 1984;</w:t>
      </w:r>
    </w:p>
    <w:p w14:paraId="1D629CE2" w14:textId="77777777" w:rsidR="006A0BDB" w:rsidRPr="001126A5" w:rsidRDefault="006A0BDB" w:rsidP="001D2CEB">
      <w:pPr>
        <w:pStyle w:val="HistoryAfter"/>
      </w:pPr>
      <w:r w:rsidRPr="001126A5">
        <w:t>Temporary Amendment Eff. September 1, 2003;</w:t>
      </w:r>
    </w:p>
    <w:p w14:paraId="6B293AA7" w14:textId="77777777" w:rsidR="006A0BDB" w:rsidRPr="001126A5" w:rsidRDefault="006A0BDB" w:rsidP="001D2CEB">
      <w:pPr>
        <w:pStyle w:val="HistoryAfter"/>
      </w:pPr>
      <w:r w:rsidRPr="001126A5">
        <w:t>Amended Eff. June 1, 2004;</w:t>
      </w:r>
    </w:p>
    <w:p w14:paraId="27BC0D7C" w14:textId="77777777" w:rsidR="006A0BDB" w:rsidRPr="001126A5" w:rsidRDefault="006A0BDB" w:rsidP="001D2CEB">
      <w:pPr>
        <w:pStyle w:val="HistoryAfter"/>
      </w:pPr>
      <w:r w:rsidRPr="001126A5">
        <w:t>Readopted Eff. January 1, 2020.</w:t>
      </w:r>
    </w:p>
    <w:p w14:paraId="745E086A" w14:textId="77777777" w:rsidR="006A0BDB" w:rsidRPr="001126A5" w:rsidRDefault="006A0BDB" w:rsidP="001D2CEB">
      <w:pPr>
        <w:pStyle w:val="Base"/>
      </w:pPr>
    </w:p>
    <w:p w14:paraId="5675B774" w14:textId="77777777" w:rsidR="006A0BDB" w:rsidRPr="00AF4256" w:rsidRDefault="006A0BDB" w:rsidP="001D2CEB">
      <w:pPr>
        <w:pStyle w:val="Rule"/>
      </w:pPr>
      <w:r w:rsidRPr="00AF4256">
        <w:t>10A NCAC 13G .0214</w:t>
      </w:r>
      <w:r w:rsidRPr="00AF4256">
        <w:tab/>
        <w:t>suspension of admissions</w:t>
      </w:r>
    </w:p>
    <w:p w14:paraId="7D0BBB2C" w14:textId="77777777" w:rsidR="006A0BDB" w:rsidRPr="00AF4256" w:rsidRDefault="006A0BDB" w:rsidP="001D2CEB">
      <w:pPr>
        <w:pStyle w:val="Base"/>
      </w:pPr>
    </w:p>
    <w:p w14:paraId="4618859D" w14:textId="77777777" w:rsidR="006A0BDB" w:rsidRPr="00AF4256" w:rsidRDefault="006A0BDB" w:rsidP="001D2CEB">
      <w:pPr>
        <w:pStyle w:val="History"/>
      </w:pPr>
      <w:r w:rsidRPr="00AF4256">
        <w:t>History Note:</w:t>
      </w:r>
      <w:r w:rsidRPr="00AF4256">
        <w:tab/>
        <w:t>Authority G.S. 131D-2.7;</w:t>
      </w:r>
    </w:p>
    <w:p w14:paraId="35CAB0FA" w14:textId="77777777" w:rsidR="006A0BDB" w:rsidRPr="00AF4256" w:rsidRDefault="006A0BDB" w:rsidP="001D2CEB">
      <w:pPr>
        <w:pStyle w:val="HistoryAfter"/>
      </w:pPr>
      <w:r w:rsidRPr="00AF4256">
        <w:t>Eff. January 1, 1982;</w:t>
      </w:r>
    </w:p>
    <w:p w14:paraId="3BF43199" w14:textId="77777777" w:rsidR="006A0BDB" w:rsidRPr="00AF4256" w:rsidRDefault="006A0BDB" w:rsidP="001D2CEB">
      <w:pPr>
        <w:pStyle w:val="HistoryAfter"/>
      </w:pPr>
      <w:r w:rsidRPr="00AF4256">
        <w:t>Amended Eff. July 1, 1990;</w:t>
      </w:r>
    </w:p>
    <w:p w14:paraId="221F9F10" w14:textId="77777777" w:rsidR="006A0BDB" w:rsidRPr="00AF4256" w:rsidRDefault="006A0BDB" w:rsidP="001D2CEB">
      <w:pPr>
        <w:pStyle w:val="HistoryAfter"/>
      </w:pPr>
      <w:r w:rsidRPr="00AF4256">
        <w:t>Repealed Eff. January 1, 2020.</w:t>
      </w:r>
    </w:p>
    <w:p w14:paraId="3225F28B" w14:textId="77777777" w:rsidR="006A0BDB" w:rsidRPr="00AF4256" w:rsidRDefault="006A0BDB" w:rsidP="001D2CEB">
      <w:pPr>
        <w:pStyle w:val="Base"/>
      </w:pPr>
    </w:p>
    <w:p w14:paraId="74D68E24" w14:textId="77777777" w:rsidR="006A0BDB" w:rsidRPr="001E1273" w:rsidRDefault="006A0BDB" w:rsidP="001D2CEB">
      <w:pPr>
        <w:pStyle w:val="Rule"/>
      </w:pPr>
      <w:r w:rsidRPr="001E1273">
        <w:t>10A NCAC 13G .1207</w:t>
      </w:r>
      <w:r w:rsidRPr="001E1273">
        <w:tab/>
        <w:t>marketing</w:t>
      </w:r>
    </w:p>
    <w:p w14:paraId="6617FE80" w14:textId="77777777" w:rsidR="006A0BDB" w:rsidRPr="001E1273" w:rsidRDefault="006A0BDB" w:rsidP="001D2CEB">
      <w:pPr>
        <w:pStyle w:val="Paragraph"/>
      </w:pPr>
      <w:r w:rsidRPr="001E1273">
        <w:t>A family care home may market provided:</w:t>
      </w:r>
    </w:p>
    <w:p w14:paraId="418B656B" w14:textId="77777777" w:rsidR="006A0BDB" w:rsidRPr="001E1273" w:rsidRDefault="006A0BDB" w:rsidP="001D2CEB">
      <w:pPr>
        <w:pStyle w:val="Item"/>
        <w:tabs>
          <w:tab w:val="clear" w:pos="1800"/>
        </w:tabs>
      </w:pPr>
      <w:r w:rsidRPr="001E1273">
        <w:t>(1)</w:t>
      </w:r>
      <w:r w:rsidRPr="001E1273">
        <w:tab/>
        <w:t>the name used is as it appears on the license;</w:t>
      </w:r>
    </w:p>
    <w:p w14:paraId="1BBE8973" w14:textId="77777777" w:rsidR="006A0BDB" w:rsidRPr="001E1273" w:rsidRDefault="006A0BDB" w:rsidP="001D2CEB">
      <w:pPr>
        <w:pStyle w:val="Item"/>
        <w:tabs>
          <w:tab w:val="clear" w:pos="1800"/>
        </w:tabs>
      </w:pPr>
      <w:r w:rsidRPr="001E1273">
        <w:t>(2)</w:t>
      </w:r>
      <w:r w:rsidRPr="001E1273">
        <w:tab/>
        <w:t>only the services and accommodations for which the home is licensed are used; and</w:t>
      </w:r>
    </w:p>
    <w:p w14:paraId="77ABB081" w14:textId="77777777" w:rsidR="006A0BDB" w:rsidRPr="001E1273" w:rsidRDefault="006A0BDB" w:rsidP="001D2CEB">
      <w:pPr>
        <w:pStyle w:val="Item"/>
        <w:tabs>
          <w:tab w:val="clear" w:pos="1800"/>
        </w:tabs>
      </w:pPr>
      <w:r w:rsidRPr="001E1273">
        <w:t>(3)</w:t>
      </w:r>
      <w:r w:rsidRPr="001E1273">
        <w:tab/>
        <w:t>the home is classified by licensure status.</w:t>
      </w:r>
    </w:p>
    <w:p w14:paraId="109F39C1" w14:textId="77777777" w:rsidR="006A0BDB" w:rsidRPr="001E1273" w:rsidRDefault="006A0BDB" w:rsidP="001D2CEB">
      <w:pPr>
        <w:pStyle w:val="Base"/>
      </w:pPr>
    </w:p>
    <w:p w14:paraId="47776260" w14:textId="77777777" w:rsidR="006A0BDB" w:rsidRPr="001E1273" w:rsidRDefault="006A0BDB" w:rsidP="001D2CEB">
      <w:pPr>
        <w:pStyle w:val="History"/>
      </w:pPr>
      <w:r w:rsidRPr="001E1273">
        <w:t>History Note:</w:t>
      </w:r>
      <w:r w:rsidRPr="001E1273">
        <w:tab/>
        <w:t>Authority G.S. 131D-2.1; 131D-2.16; 143B-165;</w:t>
      </w:r>
    </w:p>
    <w:p w14:paraId="4A05DEBB" w14:textId="77777777" w:rsidR="006A0BDB" w:rsidRPr="001E1273" w:rsidRDefault="006A0BDB" w:rsidP="001D2CEB">
      <w:pPr>
        <w:pStyle w:val="HistoryAfter"/>
      </w:pPr>
      <w:r w:rsidRPr="001E1273">
        <w:t>Eff. January 1, 1977;</w:t>
      </w:r>
    </w:p>
    <w:p w14:paraId="5E3E8E50" w14:textId="77777777" w:rsidR="006A0BDB" w:rsidRPr="001E1273" w:rsidRDefault="006A0BDB" w:rsidP="001D2CEB">
      <w:pPr>
        <w:pStyle w:val="HistoryAfter"/>
      </w:pPr>
      <w:r w:rsidRPr="001E1273">
        <w:t>Readopted Eff. October 31, 1977;</w:t>
      </w:r>
    </w:p>
    <w:p w14:paraId="20E67FDC" w14:textId="77777777" w:rsidR="006A0BDB" w:rsidRPr="001E1273" w:rsidRDefault="006A0BDB" w:rsidP="001D2CEB">
      <w:pPr>
        <w:pStyle w:val="HistoryAfter"/>
      </w:pPr>
      <w:r w:rsidRPr="001E1273">
        <w:t>Amended Eff. April 1, 1984;</w:t>
      </w:r>
    </w:p>
    <w:p w14:paraId="45C3EADF" w14:textId="77777777" w:rsidR="006A0BDB" w:rsidRPr="001E1273" w:rsidRDefault="006A0BDB" w:rsidP="001D2CEB">
      <w:pPr>
        <w:pStyle w:val="HistoryAfter"/>
      </w:pPr>
      <w:r w:rsidRPr="001E1273">
        <w:t>Readopted Eff. January 1, 2020.</w:t>
      </w:r>
    </w:p>
    <w:p w14:paraId="08163F96" w14:textId="77777777" w:rsidR="006A0BDB" w:rsidRDefault="006A0BDB" w:rsidP="001D2CEB">
      <w:pPr>
        <w:pStyle w:val="Base"/>
      </w:pPr>
    </w:p>
    <w:p w14:paraId="58921769" w14:textId="77777777" w:rsidR="006A0BDB" w:rsidRDefault="006A0BDB" w:rsidP="001D2CEB">
      <w:pPr>
        <w:jc w:val="center"/>
      </w:pPr>
      <w:r>
        <w:t>* * * * * * * * * * * * * * * * * * * *</w:t>
      </w:r>
    </w:p>
    <w:p w14:paraId="779900A4" w14:textId="77777777" w:rsidR="006A0BDB" w:rsidRDefault="006A0BDB" w:rsidP="001D2CEB"/>
    <w:p w14:paraId="43BA8A31" w14:textId="77777777" w:rsidR="006A0BDB" w:rsidRPr="00F37622" w:rsidRDefault="006A0BDB" w:rsidP="001D2CEB">
      <w:pPr>
        <w:pStyle w:val="Rule"/>
      </w:pPr>
      <w:r w:rsidRPr="00F37622">
        <w:t>10A NCAC 41C .0701</w:t>
      </w:r>
      <w:r w:rsidRPr="00F37622">
        <w:tab/>
        <w:t>DEFINITION</w:t>
      </w:r>
    </w:p>
    <w:p w14:paraId="665441F4" w14:textId="77777777" w:rsidR="006A0BDB" w:rsidRPr="00F37622" w:rsidRDefault="006A0BDB" w:rsidP="001D2CEB">
      <w:pPr>
        <w:pStyle w:val="Paragraph"/>
      </w:pPr>
      <w:r w:rsidRPr="00F37622">
        <w:t>The following definitions apply in this Section:</w:t>
      </w:r>
    </w:p>
    <w:p w14:paraId="49732AC5" w14:textId="77777777" w:rsidR="006A0BDB" w:rsidRPr="00F37622" w:rsidRDefault="006A0BDB" w:rsidP="001D2CEB">
      <w:pPr>
        <w:pStyle w:val="Item"/>
        <w:tabs>
          <w:tab w:val="clear" w:pos="1800"/>
        </w:tabs>
      </w:pPr>
      <w:r w:rsidRPr="00F37622">
        <w:t>(1)</w:t>
      </w:r>
      <w:r w:rsidRPr="00F37622">
        <w:tab/>
        <w:t xml:space="preserve">"Elevated blood lead level" means a blood lead of </w:t>
      </w:r>
      <w:bookmarkStart w:id="1" w:name="_Hlk13644493"/>
      <w:r w:rsidRPr="00F37622">
        <w:t xml:space="preserve">&gt; 0 </w:t>
      </w:r>
      <w:bookmarkStart w:id="2" w:name="_Hlk13644231"/>
      <w:r w:rsidRPr="00F37622">
        <w:t>µ</w:t>
      </w:r>
      <w:bookmarkEnd w:id="2"/>
      <w:r w:rsidRPr="00F37622">
        <w:t>g/dL.</w:t>
      </w:r>
      <w:bookmarkEnd w:id="1"/>
    </w:p>
    <w:p w14:paraId="623CAE71" w14:textId="77777777" w:rsidR="006A0BDB" w:rsidRPr="00F37622" w:rsidRDefault="006A0BDB" w:rsidP="001D2CEB">
      <w:pPr>
        <w:pStyle w:val="Item"/>
        <w:tabs>
          <w:tab w:val="clear" w:pos="1800"/>
        </w:tabs>
      </w:pPr>
      <w:r w:rsidRPr="00F37622">
        <w:t>(2)</w:t>
      </w:r>
      <w:r w:rsidRPr="00F37622">
        <w:tab/>
        <w:t>"Non-elevated blood lead level" means all blood lead levels that are 0 µg/dL or an undetectable amount.</w:t>
      </w:r>
    </w:p>
    <w:p w14:paraId="4CFD0DF3" w14:textId="77777777" w:rsidR="006A0BDB" w:rsidRPr="00F37622" w:rsidRDefault="006A0BDB" w:rsidP="001D2CEB">
      <w:pPr>
        <w:pStyle w:val="Base"/>
      </w:pPr>
    </w:p>
    <w:p w14:paraId="230D0882" w14:textId="77777777" w:rsidR="006A0BDB" w:rsidRPr="00F37622" w:rsidRDefault="006A0BDB" w:rsidP="001D2CEB">
      <w:pPr>
        <w:pStyle w:val="History"/>
      </w:pPr>
      <w:r w:rsidRPr="00F37622">
        <w:t>History Note:</w:t>
      </w:r>
      <w:r w:rsidRPr="00F37622">
        <w:tab/>
        <w:t>Authority G.S. 130A</w:t>
      </w:r>
      <w:r w:rsidRPr="00F37622">
        <w:noBreakHyphen/>
        <w:t>455;</w:t>
      </w:r>
    </w:p>
    <w:p w14:paraId="460C25EA" w14:textId="77777777" w:rsidR="006A0BDB" w:rsidRPr="00F37622" w:rsidRDefault="006A0BDB" w:rsidP="001D2CEB">
      <w:pPr>
        <w:pStyle w:val="HistoryAfter"/>
      </w:pPr>
      <w:r w:rsidRPr="00F37622">
        <w:t xml:space="preserve">Eff. January 4, </w:t>
      </w:r>
      <w:bookmarkStart w:id="3" w:name="_Hlk25080896"/>
      <w:r w:rsidRPr="00F37622">
        <w:t xml:space="preserve">1994; </w:t>
      </w:r>
    </w:p>
    <w:p w14:paraId="5B174ECF" w14:textId="77777777" w:rsidR="006A0BDB" w:rsidRPr="00F37622" w:rsidRDefault="006A0BDB" w:rsidP="001D2CEB">
      <w:pPr>
        <w:pStyle w:val="HistoryAfter"/>
      </w:pPr>
      <w:r w:rsidRPr="00F37622">
        <w:t>Readopted Eff. January 1, 2020.</w:t>
      </w:r>
    </w:p>
    <w:p w14:paraId="28373C02" w14:textId="77777777" w:rsidR="006A0BDB" w:rsidRPr="00F37622" w:rsidRDefault="006A0BDB" w:rsidP="001D2CEB">
      <w:pPr>
        <w:pStyle w:val="Base"/>
      </w:pPr>
    </w:p>
    <w:bookmarkEnd w:id="3"/>
    <w:p w14:paraId="6A05E646" w14:textId="77777777" w:rsidR="006A0BDB" w:rsidRPr="0046609B" w:rsidRDefault="006A0BDB" w:rsidP="001D2CEB">
      <w:pPr>
        <w:pStyle w:val="Rule"/>
      </w:pPr>
      <w:r w:rsidRPr="0046609B">
        <w:t>10A NCAC 41C .0702</w:t>
      </w:r>
      <w:r w:rsidRPr="0046609B">
        <w:tab/>
        <w:t>REPORTABLE DISEASES, ILLNESSES, AND INJURIES</w:t>
      </w:r>
    </w:p>
    <w:p w14:paraId="7F600B8E" w14:textId="77777777" w:rsidR="006A0BDB" w:rsidRPr="0046609B" w:rsidRDefault="006A0BDB" w:rsidP="001D2CEB">
      <w:pPr>
        <w:pStyle w:val="Paragraph"/>
      </w:pPr>
      <w:r w:rsidRPr="0046609B">
        <w:t>(a)  The following named diseases, illnesses, and injuries are declared to be dangerous to the public health and shall be reported by a physician within the time period specified after the disease, illness, and injury is diagnosed:</w:t>
      </w:r>
    </w:p>
    <w:p w14:paraId="22A837A8" w14:textId="77777777" w:rsidR="006A0BDB" w:rsidRPr="0046609B" w:rsidRDefault="006A0BDB" w:rsidP="001D2CEB">
      <w:pPr>
        <w:pStyle w:val="SubParagraph"/>
        <w:tabs>
          <w:tab w:val="clear" w:pos="1800"/>
        </w:tabs>
      </w:pPr>
      <w:r w:rsidRPr="0046609B">
        <w:t>(1)</w:t>
      </w:r>
      <w:r w:rsidRPr="0046609B">
        <w:tab/>
        <w:t xml:space="preserve">asbestosis </w:t>
      </w:r>
      <w:r w:rsidRPr="0046609B">
        <w:noBreakHyphen/>
        <w:t xml:space="preserve"> 15 business days;</w:t>
      </w:r>
    </w:p>
    <w:p w14:paraId="2A6BDF41" w14:textId="77777777" w:rsidR="006A0BDB" w:rsidRPr="0046609B" w:rsidRDefault="006A0BDB" w:rsidP="001D2CEB">
      <w:pPr>
        <w:pStyle w:val="SubParagraph"/>
        <w:tabs>
          <w:tab w:val="clear" w:pos="1800"/>
        </w:tabs>
      </w:pPr>
      <w:r w:rsidRPr="0046609B">
        <w:t>(2)</w:t>
      </w:r>
      <w:r w:rsidRPr="0046609B">
        <w:tab/>
        <w:t xml:space="preserve">silicosis </w:t>
      </w:r>
      <w:r w:rsidRPr="0046609B">
        <w:noBreakHyphen/>
        <w:t xml:space="preserve"> 15 business days;</w:t>
      </w:r>
    </w:p>
    <w:p w14:paraId="07609570" w14:textId="77777777" w:rsidR="006A0BDB" w:rsidRPr="0046609B" w:rsidRDefault="006A0BDB" w:rsidP="001D2CEB">
      <w:pPr>
        <w:pStyle w:val="SubParagraph"/>
        <w:tabs>
          <w:tab w:val="clear" w:pos="1800"/>
        </w:tabs>
      </w:pPr>
      <w:r w:rsidRPr="0046609B">
        <w:t>(3)</w:t>
      </w:r>
      <w:r w:rsidRPr="0046609B">
        <w:tab/>
        <w:t xml:space="preserve">elevated blood lead levels for persons aged 16 years of age and above </w:t>
      </w:r>
      <w:r w:rsidRPr="0046609B">
        <w:noBreakHyphen/>
        <w:t xml:space="preserve"> 15 business days;</w:t>
      </w:r>
    </w:p>
    <w:p w14:paraId="1F518E7B" w14:textId="77777777" w:rsidR="006A0BDB" w:rsidRPr="0046609B" w:rsidRDefault="006A0BDB" w:rsidP="001D2CEB">
      <w:pPr>
        <w:pStyle w:val="SubParagraph"/>
        <w:tabs>
          <w:tab w:val="clear" w:pos="1800"/>
        </w:tabs>
      </w:pPr>
      <w:r w:rsidRPr="0046609B">
        <w:t>(4)</w:t>
      </w:r>
      <w:r w:rsidRPr="0046609B">
        <w:tab/>
        <w:t>injuries caused by tractors, farm equipment, or farm machinery that occur while working on a farm and require medical care – 15 business days;</w:t>
      </w:r>
    </w:p>
    <w:p w14:paraId="16D3BF48" w14:textId="77777777" w:rsidR="006A0BDB" w:rsidRPr="0046609B" w:rsidRDefault="006A0BDB" w:rsidP="001D2CEB">
      <w:pPr>
        <w:pStyle w:val="SubParagraph"/>
        <w:tabs>
          <w:tab w:val="clear" w:pos="1800"/>
        </w:tabs>
      </w:pPr>
      <w:r w:rsidRPr="0046609B">
        <w:t>(5)</w:t>
      </w:r>
      <w:r w:rsidRPr="0046609B">
        <w:tab/>
        <w:t>carbon monoxide poisoning - 15 business days.</w:t>
      </w:r>
    </w:p>
    <w:p w14:paraId="545DE248" w14:textId="77777777" w:rsidR="006A0BDB" w:rsidRPr="0046609B" w:rsidRDefault="006A0BDB" w:rsidP="001D2CEB">
      <w:pPr>
        <w:pStyle w:val="Paragraph"/>
      </w:pPr>
      <w:r w:rsidRPr="0046609B">
        <w:t>(b)  All laboratories providing diagnostic service in North Carolina shall report to the Occupational and Environmental Epidemiology Branch within the Division of Public Health elevated blood lead levels for persons aged 16 years of age and above.</w:t>
      </w:r>
    </w:p>
    <w:p w14:paraId="30BEB5AE" w14:textId="77777777" w:rsidR="006A0BDB" w:rsidRPr="0046609B" w:rsidRDefault="006A0BDB" w:rsidP="001D2CEB">
      <w:pPr>
        <w:pStyle w:val="Paragraph"/>
      </w:pPr>
      <w:r w:rsidRPr="0046609B">
        <w:t>(c)  Physicians shall not be required to report elevated blood lead levels for persons aged 16 years of age and above when a laboratory providing diagnostic service in North Carolina reports elevated blood lead levels.</w:t>
      </w:r>
    </w:p>
    <w:p w14:paraId="1F4C9FAB" w14:textId="77777777" w:rsidR="006A0BDB" w:rsidRPr="0046609B" w:rsidRDefault="006A0BDB" w:rsidP="001D2CEB">
      <w:pPr>
        <w:pStyle w:val="Paragraph"/>
      </w:pPr>
      <w:r w:rsidRPr="0046609B">
        <w:t>(d)  Non-elevated blood lead levels shall be reported in same manner as elevated blood lead levels under Subparagraph (a)(3) for surveillance purposes.</w:t>
      </w:r>
    </w:p>
    <w:p w14:paraId="59961339" w14:textId="77777777" w:rsidR="006A0BDB" w:rsidRPr="0046609B" w:rsidRDefault="006A0BDB" w:rsidP="001D2CEB">
      <w:pPr>
        <w:pStyle w:val="Base"/>
      </w:pPr>
    </w:p>
    <w:p w14:paraId="6D6C6312" w14:textId="77777777" w:rsidR="006A0BDB" w:rsidRPr="0046609B" w:rsidRDefault="006A0BDB" w:rsidP="001D2CEB">
      <w:pPr>
        <w:pStyle w:val="History"/>
      </w:pPr>
      <w:r w:rsidRPr="0046609B">
        <w:t>History Note:</w:t>
      </w:r>
      <w:r w:rsidRPr="0046609B">
        <w:tab/>
        <w:t>Authority G.S. 130A-29(b); 130A</w:t>
      </w:r>
      <w:r w:rsidRPr="0046609B">
        <w:noBreakHyphen/>
        <w:t>455; 130A</w:t>
      </w:r>
      <w:r w:rsidRPr="0046609B">
        <w:noBreakHyphen/>
        <w:t>456; 130A</w:t>
      </w:r>
      <w:r w:rsidRPr="0046609B">
        <w:noBreakHyphen/>
        <w:t>457; 130A</w:t>
      </w:r>
      <w:r w:rsidRPr="0046609B">
        <w:noBreakHyphen/>
        <w:t>458;</w:t>
      </w:r>
    </w:p>
    <w:p w14:paraId="7221A2EC" w14:textId="77777777" w:rsidR="006A0BDB" w:rsidRPr="0046609B" w:rsidRDefault="006A0BDB" w:rsidP="001D2CEB">
      <w:pPr>
        <w:pStyle w:val="HistoryAfter"/>
      </w:pPr>
      <w:r w:rsidRPr="0046609B">
        <w:t>Eff. January 4, 1994;</w:t>
      </w:r>
    </w:p>
    <w:p w14:paraId="0F741B78" w14:textId="77777777" w:rsidR="006A0BDB" w:rsidRPr="0046609B" w:rsidRDefault="006A0BDB" w:rsidP="001D2CEB">
      <w:pPr>
        <w:pStyle w:val="HistoryAfter"/>
      </w:pPr>
      <w:r w:rsidRPr="0046609B">
        <w:t>Amended Eff. December 1, 2016;</w:t>
      </w:r>
    </w:p>
    <w:p w14:paraId="744E7513" w14:textId="77777777" w:rsidR="006A0BDB" w:rsidRPr="0046609B" w:rsidRDefault="006A0BDB" w:rsidP="001D2CEB">
      <w:pPr>
        <w:pStyle w:val="HistoryAfter"/>
      </w:pPr>
      <w:r w:rsidRPr="0046609B">
        <w:t xml:space="preserve">Pursuant to G.S. 150B-21.3A, rule is necessary without substantive public interest Eff. February 16, 2019; </w:t>
      </w:r>
    </w:p>
    <w:p w14:paraId="00EE59BC" w14:textId="77777777" w:rsidR="006A0BDB" w:rsidRPr="0046609B" w:rsidRDefault="006A0BDB" w:rsidP="001D2CEB">
      <w:pPr>
        <w:pStyle w:val="HistoryAfter"/>
      </w:pPr>
      <w:r w:rsidRPr="0046609B">
        <w:t>Amended Eff. January 1, 2020.</w:t>
      </w:r>
    </w:p>
    <w:p w14:paraId="52F53047" w14:textId="77777777" w:rsidR="006A0BDB" w:rsidRDefault="006A0BDB" w:rsidP="001D2CEB">
      <w:pPr>
        <w:pStyle w:val="Base"/>
      </w:pPr>
    </w:p>
    <w:p w14:paraId="2349E95D" w14:textId="77777777" w:rsidR="006A0BDB" w:rsidRPr="002D57C3" w:rsidRDefault="006A0BDB" w:rsidP="001D2CEB">
      <w:pPr>
        <w:pStyle w:val="Rule"/>
      </w:pPr>
      <w:r w:rsidRPr="002D57C3">
        <w:t>10A NCAC 41C .0703</w:t>
      </w:r>
      <w:r w:rsidRPr="002D57C3">
        <w:tab/>
        <w:t>METHOD OF REPORTING</w:t>
      </w:r>
    </w:p>
    <w:p w14:paraId="658A645B" w14:textId="77777777" w:rsidR="006A0BDB" w:rsidRPr="002D57C3" w:rsidRDefault="006A0BDB" w:rsidP="001D2CEB">
      <w:pPr>
        <w:pStyle w:val="Paragraph"/>
      </w:pPr>
      <w:r w:rsidRPr="002D57C3">
        <w:t>(a)  When a physician makes a report of a disease, illness, injury, or elevated blood lead level for persons aged 16 years of age and above pursuant to G.S. 130A</w:t>
      </w:r>
      <w:r w:rsidRPr="002D57C3">
        <w:noBreakHyphen/>
        <w:t>456 or a medical facility makes such a report pursuant to G.S. 130A</w:t>
      </w:r>
      <w:r w:rsidRPr="002D57C3">
        <w:noBreakHyphen/>
        <w:t>457, the report shall be made to the Occupational and Environmental Epidemiology Branch as follows:</w:t>
      </w:r>
    </w:p>
    <w:p w14:paraId="0938F385" w14:textId="77777777" w:rsidR="006A0BDB" w:rsidRPr="002D57C3" w:rsidRDefault="006A0BDB" w:rsidP="001D2CEB">
      <w:pPr>
        <w:pStyle w:val="SubParagraph"/>
        <w:tabs>
          <w:tab w:val="clear" w:pos="1800"/>
        </w:tabs>
      </w:pPr>
      <w:r w:rsidRPr="002D57C3">
        <w:t>(1)</w:t>
      </w:r>
      <w:r w:rsidRPr="002D57C3">
        <w:tab/>
        <w:t>The report shall be made on the surveillance forms provided by the Occupational and Environmental Epidemiology Branch and shall include the following information:</w:t>
      </w:r>
    </w:p>
    <w:p w14:paraId="68E2DD7A" w14:textId="77777777" w:rsidR="006A0BDB" w:rsidRPr="002D57C3" w:rsidRDefault="006A0BDB" w:rsidP="001D2CEB">
      <w:pPr>
        <w:pStyle w:val="Part"/>
        <w:tabs>
          <w:tab w:val="clear" w:pos="2520"/>
        </w:tabs>
      </w:pPr>
      <w:r w:rsidRPr="002D57C3">
        <w:t>(A)</w:t>
      </w:r>
      <w:r w:rsidRPr="002D57C3">
        <w:tab/>
        <w:t>The name, address, telephone number, date of birth, race, ethnicity, gender, and job title of the person;</w:t>
      </w:r>
    </w:p>
    <w:p w14:paraId="625778F2" w14:textId="77777777" w:rsidR="006A0BDB" w:rsidRPr="002D57C3" w:rsidRDefault="006A0BDB" w:rsidP="001D2CEB">
      <w:pPr>
        <w:pStyle w:val="Part"/>
        <w:tabs>
          <w:tab w:val="clear" w:pos="2520"/>
        </w:tabs>
      </w:pPr>
      <w:r w:rsidRPr="002D57C3">
        <w:t>(B)</w:t>
      </w:r>
      <w:r w:rsidRPr="002D57C3">
        <w:tab/>
        <w:t>The name, address, telephone number, and type of business of the person's employer;</w:t>
      </w:r>
    </w:p>
    <w:p w14:paraId="50C7BDC5" w14:textId="77777777" w:rsidR="006A0BDB" w:rsidRPr="002D57C3" w:rsidRDefault="006A0BDB" w:rsidP="001D2CEB">
      <w:pPr>
        <w:pStyle w:val="Part"/>
        <w:tabs>
          <w:tab w:val="clear" w:pos="2520"/>
        </w:tabs>
      </w:pPr>
      <w:r w:rsidRPr="002D57C3">
        <w:t>(C)</w:t>
      </w:r>
      <w:r w:rsidRPr="002D57C3">
        <w:tab/>
        <w:t>The name of the disease, illness, or injury being reported; and</w:t>
      </w:r>
    </w:p>
    <w:p w14:paraId="19C810F3" w14:textId="77777777" w:rsidR="006A0BDB" w:rsidRPr="002D57C3" w:rsidRDefault="006A0BDB" w:rsidP="001D2CEB">
      <w:pPr>
        <w:pStyle w:val="Part"/>
        <w:tabs>
          <w:tab w:val="clear" w:pos="2520"/>
        </w:tabs>
      </w:pPr>
      <w:r w:rsidRPr="002D57C3">
        <w:t>(D)</w:t>
      </w:r>
      <w:r w:rsidRPr="002D57C3">
        <w:tab/>
        <w:t>The name, address, and telephone number of the physician, laboratory, or medical facility.</w:t>
      </w:r>
    </w:p>
    <w:p w14:paraId="2B3F00B6" w14:textId="77777777" w:rsidR="006A0BDB" w:rsidRPr="002D57C3" w:rsidRDefault="006A0BDB" w:rsidP="001D2CEB">
      <w:pPr>
        <w:pStyle w:val="SubParagraph"/>
        <w:tabs>
          <w:tab w:val="clear" w:pos="1800"/>
        </w:tabs>
      </w:pPr>
      <w:r w:rsidRPr="002D57C3">
        <w:t>(2)</w:t>
      </w:r>
      <w:r w:rsidRPr="002D57C3">
        <w:tab/>
        <w:t>Surveillance forms are available from the Occupational and Environmental Epidemiology Branch, Epidemiology Section, Division of Public Health, N.C. Department of Health and Human Services, 1912 Mail Service Center, Raleigh, NC 27699-1912. The form can also be</w:t>
      </w:r>
      <w:r>
        <w:t xml:space="preserve"> </w:t>
      </w:r>
      <w:r w:rsidRPr="002D57C3">
        <w:t>requested by calling (919) 707-5900.</w:t>
      </w:r>
    </w:p>
    <w:p w14:paraId="2B0B1611" w14:textId="77777777" w:rsidR="006A0BDB" w:rsidRPr="002D57C3" w:rsidRDefault="006A0BDB" w:rsidP="001D2CEB">
      <w:pPr>
        <w:pStyle w:val="Paragraph"/>
      </w:pPr>
      <w:r w:rsidRPr="002D57C3">
        <w:t>(b)  When a laboratory providing diagnostic service in North Carolina reports laboratory findings related to occupational disease or illness pursuant to G.S. 130A</w:t>
      </w:r>
      <w:r w:rsidRPr="002D57C3">
        <w:noBreakHyphen/>
        <w:t>458, the report shall include:</w:t>
      </w:r>
    </w:p>
    <w:p w14:paraId="635A5CBF" w14:textId="77777777" w:rsidR="006A0BDB" w:rsidRPr="002D57C3" w:rsidRDefault="006A0BDB" w:rsidP="001D2CEB">
      <w:pPr>
        <w:pStyle w:val="SubParagraph"/>
        <w:tabs>
          <w:tab w:val="clear" w:pos="1800"/>
        </w:tabs>
      </w:pPr>
      <w:r w:rsidRPr="002D57C3">
        <w:lastRenderedPageBreak/>
        <w:t>(1)</w:t>
      </w:r>
      <w:r w:rsidRPr="002D57C3">
        <w:tab/>
        <w:t>the specimen collection date;</w:t>
      </w:r>
    </w:p>
    <w:p w14:paraId="1CA4EBAC" w14:textId="77777777" w:rsidR="006A0BDB" w:rsidRPr="002D57C3" w:rsidRDefault="006A0BDB" w:rsidP="001D2CEB">
      <w:pPr>
        <w:pStyle w:val="SubParagraph"/>
        <w:tabs>
          <w:tab w:val="clear" w:pos="1800"/>
        </w:tabs>
      </w:pPr>
      <w:r w:rsidRPr="002D57C3">
        <w:t>(2)</w:t>
      </w:r>
      <w:r w:rsidRPr="002D57C3">
        <w:tab/>
        <w:t xml:space="preserve">the person's name, date of birth, gender, race, and ethnicity; </w:t>
      </w:r>
    </w:p>
    <w:p w14:paraId="7DF1E89E" w14:textId="77777777" w:rsidR="006A0BDB" w:rsidRPr="002D57C3" w:rsidRDefault="006A0BDB" w:rsidP="001D2CEB">
      <w:pPr>
        <w:pStyle w:val="SubParagraph"/>
        <w:tabs>
          <w:tab w:val="clear" w:pos="1800"/>
        </w:tabs>
      </w:pPr>
      <w:r w:rsidRPr="002D57C3">
        <w:t>(3)</w:t>
      </w:r>
      <w:r w:rsidRPr="002D57C3">
        <w:tab/>
        <w:t>the submitting physician/employer name, address, and telephone number; and</w:t>
      </w:r>
    </w:p>
    <w:p w14:paraId="4475EC03" w14:textId="77777777" w:rsidR="006A0BDB" w:rsidRPr="002D57C3" w:rsidRDefault="006A0BDB" w:rsidP="001D2CEB">
      <w:pPr>
        <w:pStyle w:val="SubParagraph"/>
        <w:tabs>
          <w:tab w:val="clear" w:pos="1800"/>
        </w:tabs>
      </w:pPr>
      <w:r w:rsidRPr="002D57C3">
        <w:t>(4)</w:t>
      </w:r>
      <w:r w:rsidRPr="002D57C3">
        <w:tab/>
        <w:t>the name, address, and telephone number of the laboratory.</w:t>
      </w:r>
    </w:p>
    <w:p w14:paraId="7AEBF73E" w14:textId="77777777" w:rsidR="006A0BDB" w:rsidRPr="002D57C3" w:rsidRDefault="006A0BDB" w:rsidP="001D2CEB">
      <w:pPr>
        <w:pStyle w:val="Base"/>
      </w:pPr>
    </w:p>
    <w:p w14:paraId="497902A7" w14:textId="77777777" w:rsidR="006A0BDB" w:rsidRPr="002D57C3" w:rsidRDefault="006A0BDB" w:rsidP="001D2CEB">
      <w:pPr>
        <w:pStyle w:val="History"/>
      </w:pPr>
      <w:r w:rsidRPr="002D57C3">
        <w:t>History Note:</w:t>
      </w:r>
      <w:r w:rsidRPr="002D57C3">
        <w:tab/>
        <w:t>Authority G.S. 130A</w:t>
      </w:r>
      <w:r w:rsidRPr="002D57C3">
        <w:noBreakHyphen/>
        <w:t>455; 130A-456; 130A</w:t>
      </w:r>
      <w:r w:rsidRPr="002D57C3">
        <w:noBreakHyphen/>
        <w:t>458;</w:t>
      </w:r>
    </w:p>
    <w:p w14:paraId="4267A7B2" w14:textId="77777777" w:rsidR="006A0BDB" w:rsidRPr="002D57C3" w:rsidRDefault="006A0BDB" w:rsidP="001D2CEB">
      <w:pPr>
        <w:pStyle w:val="HistoryAfter"/>
      </w:pPr>
      <w:r w:rsidRPr="002D57C3">
        <w:t xml:space="preserve">Eff. January 4, 1994; </w:t>
      </w:r>
    </w:p>
    <w:p w14:paraId="1D992824" w14:textId="77777777" w:rsidR="006A0BDB" w:rsidRPr="002D57C3" w:rsidRDefault="006A0BDB" w:rsidP="001D2CEB">
      <w:pPr>
        <w:pStyle w:val="HistoryAfter"/>
      </w:pPr>
      <w:r w:rsidRPr="002D57C3">
        <w:t>Readopted Eff. January 1, 2020.</w:t>
      </w:r>
    </w:p>
    <w:p w14:paraId="17A5A3B4" w14:textId="77777777" w:rsidR="006A0BDB" w:rsidRDefault="006A0BDB" w:rsidP="001D2CEB">
      <w:pPr>
        <w:pStyle w:val="Base"/>
      </w:pPr>
    </w:p>
    <w:p w14:paraId="4885F3D3" w14:textId="77777777" w:rsidR="006A0BDB" w:rsidRDefault="006A0BDB" w:rsidP="001D2CEB">
      <w:pPr>
        <w:jc w:val="center"/>
      </w:pPr>
      <w:r>
        <w:t>* * * * * * * * * * * * * * * * * * * *</w:t>
      </w:r>
    </w:p>
    <w:p w14:paraId="55E7D1C6" w14:textId="77777777" w:rsidR="006A0BDB" w:rsidRDefault="006A0BDB" w:rsidP="001D2CEB"/>
    <w:p w14:paraId="396776E4" w14:textId="77777777" w:rsidR="006A0BDB" w:rsidRPr="00A72242" w:rsidRDefault="006A0BDB" w:rsidP="001D2CEB">
      <w:pPr>
        <w:pStyle w:val="Rule"/>
      </w:pPr>
      <w:r w:rsidRPr="00A72242">
        <w:t>10A NCAC 43D .0202</w:t>
      </w:r>
      <w:r w:rsidRPr="00A72242">
        <w:tab/>
        <w:t>DEFINITIONS</w:t>
      </w:r>
    </w:p>
    <w:p w14:paraId="5148DA20" w14:textId="77777777" w:rsidR="006A0BDB" w:rsidRPr="00A72242" w:rsidRDefault="006A0BDB" w:rsidP="001D2CEB">
      <w:pPr>
        <w:pStyle w:val="Paragraph"/>
      </w:pPr>
      <w:r w:rsidRPr="00A72242">
        <w:t>(a)  For the purposes of this Subchapter, all definitions set forth in 7 C.F.R. Part 246.2 are hereby incorporated by reference, including subsequent amendments and editions, with the following additions and modifications:</w:t>
      </w:r>
    </w:p>
    <w:p w14:paraId="72E4DA89" w14:textId="77777777" w:rsidR="006A0BDB" w:rsidRPr="00A72242" w:rsidRDefault="006A0BDB" w:rsidP="001D2CEB">
      <w:pPr>
        <w:pStyle w:val="SubParagraph"/>
        <w:tabs>
          <w:tab w:val="clear" w:pos="1800"/>
        </w:tabs>
      </w:pPr>
      <w:r w:rsidRPr="00A72242">
        <w:t>(1)</w:t>
      </w:r>
      <w:r w:rsidRPr="00A72242">
        <w:tab/>
        <w:t>An "administrative appeal" is an appeal in accordance with Section .0800 of this Subchapter through which a local WIC agency, potential local WIC agency, authorized WIC vendor, or WIC vendor applicant may appeal the adverse actions listed in 7 C.F.R. 246.18(a)(1)(i), (a)(1)(ii), and (a)(3)(i).</w:t>
      </w:r>
    </w:p>
    <w:p w14:paraId="50A09C99" w14:textId="77777777" w:rsidR="006A0BDB" w:rsidRPr="00A72242" w:rsidRDefault="006A0BDB" w:rsidP="001D2CEB">
      <w:pPr>
        <w:pStyle w:val="SubParagraph"/>
        <w:tabs>
          <w:tab w:val="clear" w:pos="1800"/>
        </w:tabs>
      </w:pPr>
      <w:r w:rsidRPr="00A72242">
        <w:t>(2)</w:t>
      </w:r>
      <w:r w:rsidRPr="00A72242">
        <w:tab/>
        <w:t>An "authorized store representative" includes an owner, manager, assistant manager, head cashier, or chief fiscal officer.</w:t>
      </w:r>
    </w:p>
    <w:p w14:paraId="3CA489E6" w14:textId="77777777" w:rsidR="006A0BDB" w:rsidRPr="00A72242" w:rsidRDefault="006A0BDB" w:rsidP="001D2CEB">
      <w:pPr>
        <w:pStyle w:val="SubParagraph"/>
        <w:tabs>
          <w:tab w:val="clear" w:pos="1800"/>
        </w:tabs>
      </w:pPr>
      <w:r w:rsidRPr="00A72242">
        <w:t>(3)</w:t>
      </w:r>
      <w:r w:rsidRPr="00A72242">
        <w:tab/>
        <w:t>An "authorized WIC vendor" is a food retailer or free-standing pharmacy that has executed a currently effective North Carolina WIC Vendor Agreement, as set forth in 7 C.F.R 246.12(h)(3).</w:t>
      </w:r>
    </w:p>
    <w:p w14:paraId="0F4B211D" w14:textId="77777777" w:rsidR="006A0BDB" w:rsidRPr="00A72242" w:rsidRDefault="006A0BDB" w:rsidP="001D2CEB">
      <w:pPr>
        <w:pStyle w:val="SubParagraph"/>
        <w:tabs>
          <w:tab w:val="clear" w:pos="1800"/>
        </w:tabs>
      </w:pPr>
      <w:r w:rsidRPr="00A72242">
        <w:t>(4)</w:t>
      </w:r>
      <w:r w:rsidRPr="00A72242">
        <w:tab/>
        <w:t>A "chain store" is a store that is owned or operated by a corporation, partnership, cooperative association, or other business entity that has 20 or more stores owned or operated by the business entity.</w:t>
      </w:r>
    </w:p>
    <w:p w14:paraId="5041FFDE" w14:textId="77777777" w:rsidR="006A0BDB" w:rsidRPr="00A72242" w:rsidRDefault="006A0BDB" w:rsidP="001D2CEB">
      <w:pPr>
        <w:pStyle w:val="SubParagraph"/>
        <w:tabs>
          <w:tab w:val="clear" w:pos="1800"/>
        </w:tabs>
      </w:pPr>
      <w:r w:rsidRPr="00A72242">
        <w:t>(5)</w:t>
      </w:r>
      <w:r w:rsidRPr="00A72242">
        <w:tab/>
        <w:t>An "Electronic Benefit Transfer (EBT) Processor" is an entity contracted by a government agency for the implementation, maintenance, and operation of the State WIC agency's WIC EBT system that acts as the agent of the State WIC agency to process and settle EBT transactions.</w:t>
      </w:r>
    </w:p>
    <w:p w14:paraId="0F01D98B" w14:textId="77777777" w:rsidR="006A0BDB" w:rsidRPr="00A72242" w:rsidRDefault="006A0BDB" w:rsidP="001D2CEB">
      <w:pPr>
        <w:pStyle w:val="SubParagraph"/>
        <w:tabs>
          <w:tab w:val="clear" w:pos="1800"/>
        </w:tabs>
      </w:pPr>
      <w:r w:rsidRPr="00A72242">
        <w:t>(6)</w:t>
      </w:r>
      <w:r w:rsidRPr="00A72242">
        <w:tab/>
        <w:t xml:space="preserve">A "fair hearing" is the informal dispute resolution process in Section .0900 of this Subchapter through which any individual may appeal a State or local agency action that results in a claim against the individual for repayment of the cash value of issued benefits by which the individual is not eligible or results in the individual's denial of participation or disqualification from the WIC Program, as set forth in Rule .0410 of this Subchapter. This process must be complied with prior to requesting a contested case hearing in </w:t>
      </w:r>
      <w:r w:rsidRPr="00A72242">
        <w:t>accordance with G.S. 150B, as set forth in 7 CFR 246.9.</w:t>
      </w:r>
    </w:p>
    <w:p w14:paraId="55036091" w14:textId="77777777" w:rsidR="006A0BDB" w:rsidRPr="00A72242" w:rsidRDefault="006A0BDB" w:rsidP="001D2CEB">
      <w:pPr>
        <w:pStyle w:val="SubParagraph"/>
        <w:tabs>
          <w:tab w:val="clear" w:pos="1800"/>
        </w:tabs>
      </w:pPr>
      <w:r w:rsidRPr="00A72242">
        <w:t>(7)</w:t>
      </w:r>
      <w:r w:rsidRPr="00A72242">
        <w:tab/>
        <w:t>"First date to spend" means "first date of use" as defined in 7 C.F.R. 246.12, hereby incorporated by reference with all subsequent amendments and editions.</w:t>
      </w:r>
    </w:p>
    <w:p w14:paraId="7D9C87EB" w14:textId="77777777" w:rsidR="006A0BDB" w:rsidRPr="00A72242" w:rsidRDefault="006A0BDB" w:rsidP="001D2CEB">
      <w:pPr>
        <w:pStyle w:val="SubParagraph"/>
        <w:tabs>
          <w:tab w:val="clear" w:pos="1800"/>
        </w:tabs>
      </w:pPr>
      <w:r w:rsidRPr="00A72242">
        <w:t>(8)</w:t>
      </w:r>
      <w:r w:rsidRPr="00A72242">
        <w:tab/>
        <w:t>"FNS" means the Food and Nutrition Service of the U.S. Department of Agriculture.</w:t>
      </w:r>
    </w:p>
    <w:p w14:paraId="79173C20" w14:textId="77777777" w:rsidR="006A0BDB" w:rsidRPr="00A72242" w:rsidRDefault="006A0BDB" w:rsidP="001D2CEB">
      <w:pPr>
        <w:pStyle w:val="SubParagraph"/>
        <w:tabs>
          <w:tab w:val="clear" w:pos="1800"/>
        </w:tabs>
      </w:pPr>
      <w:r w:rsidRPr="00A72242">
        <w:t>(9)</w:t>
      </w:r>
      <w:r>
        <w:tab/>
      </w:r>
      <w:r w:rsidRPr="00A72242">
        <w:t>"Food benefits" are the prescribed amounts of WIC authorized foods and formulas or a fixed dollar amount prescribed to WIC customers to receive fruits and vegetables.</w:t>
      </w:r>
    </w:p>
    <w:p w14:paraId="0B6A9E46" w14:textId="77777777" w:rsidR="006A0BDB" w:rsidRPr="00A72242" w:rsidRDefault="006A0BDB" w:rsidP="001D2CEB">
      <w:pPr>
        <w:pStyle w:val="SubParagraph"/>
        <w:tabs>
          <w:tab w:val="clear" w:pos="1800"/>
        </w:tabs>
      </w:pPr>
      <w:r w:rsidRPr="00A72242">
        <w:t>(10)</w:t>
      </w:r>
      <w:r>
        <w:tab/>
      </w:r>
      <w:r w:rsidRPr="00A72242">
        <w:t>"Food benefit balance" means the unspent food benefits for the current month that are available to use by the cardholder.</w:t>
      </w:r>
    </w:p>
    <w:p w14:paraId="1446A6A5" w14:textId="77777777" w:rsidR="006A0BDB" w:rsidRPr="00A72242" w:rsidRDefault="006A0BDB" w:rsidP="001D2CEB">
      <w:pPr>
        <w:pStyle w:val="SubParagraph"/>
      </w:pPr>
      <w:r w:rsidRPr="00A72242">
        <w:t>(11)</w:t>
      </w:r>
      <w:r>
        <w:tab/>
      </w:r>
      <w:r w:rsidRPr="00A72242">
        <w:t>"Free-standing pharmacy" means a pharmacy that does not operate within another retail store. Free-standing pharmacy includes free-standing pharmacies that are chain stores and free-standing pharmacies participating under a WIC corporate agreement.</w:t>
      </w:r>
    </w:p>
    <w:p w14:paraId="7573B8CB" w14:textId="77777777" w:rsidR="006A0BDB" w:rsidRPr="00A72242" w:rsidRDefault="006A0BDB" w:rsidP="001D2CEB">
      <w:pPr>
        <w:pStyle w:val="SubParagraph"/>
        <w:tabs>
          <w:tab w:val="clear" w:pos="1800"/>
        </w:tabs>
      </w:pPr>
      <w:r w:rsidRPr="00A72242">
        <w:t>(12)</w:t>
      </w:r>
      <w:r w:rsidRPr="00A72242">
        <w:tab/>
        <w:t>"Last date to spend" means "last date of use" as defined in 7 C.F.R. 246.12, hereby incorporated by reference with all subsequent amendments and editions.</w:t>
      </w:r>
    </w:p>
    <w:p w14:paraId="73852E11" w14:textId="77777777" w:rsidR="006A0BDB" w:rsidRPr="00A72242" w:rsidRDefault="006A0BDB" w:rsidP="001D2CEB">
      <w:pPr>
        <w:pStyle w:val="SubParagraph"/>
        <w:tabs>
          <w:tab w:val="clear" w:pos="1800"/>
        </w:tabs>
      </w:pPr>
      <w:r w:rsidRPr="00A72242">
        <w:t>(13)</w:t>
      </w:r>
      <w:r>
        <w:tab/>
      </w:r>
      <w:r w:rsidRPr="00A72242">
        <w:t>The "local WIC agency" is the local agency that enters into an agreement with the Division of Public Health to operate the Special Supplemental Nutrition Program for Women, Infants and Children.</w:t>
      </w:r>
    </w:p>
    <w:p w14:paraId="574538C9" w14:textId="77777777" w:rsidR="006A0BDB" w:rsidRPr="00A72242" w:rsidRDefault="006A0BDB" w:rsidP="001D2CEB">
      <w:pPr>
        <w:pStyle w:val="SubParagraph"/>
        <w:tabs>
          <w:tab w:val="clear" w:pos="1800"/>
        </w:tabs>
      </w:pPr>
      <w:r w:rsidRPr="00A72242">
        <w:t>(14)</w:t>
      </w:r>
      <w:r>
        <w:tab/>
      </w:r>
      <w:r w:rsidRPr="00A72242">
        <w:t>A "local WIC program plan" is a written compilation of information on the local WIC agency policies concerning program operation, including administration, nutrition education, personnel functions, costs and other information prepared by the local WIC agency and submitted to the Nutrition Services Branch.</w:t>
      </w:r>
    </w:p>
    <w:p w14:paraId="15A0658B" w14:textId="77777777" w:rsidR="006A0BDB" w:rsidRPr="00A72242" w:rsidRDefault="006A0BDB" w:rsidP="001D2CEB">
      <w:pPr>
        <w:pStyle w:val="SubParagraph"/>
        <w:tabs>
          <w:tab w:val="clear" w:pos="1800"/>
        </w:tabs>
      </w:pPr>
      <w:r w:rsidRPr="00A72242">
        <w:t>(15)</w:t>
      </w:r>
      <w:r w:rsidRPr="00A72242">
        <w:tab/>
        <w:t>"New authorized WIC vendor" is an authorized WIC vendor that has been approved to accept WIC for the first time and does not include vendors that have a previous WIC authorization history.</w:t>
      </w:r>
    </w:p>
    <w:p w14:paraId="456435E6" w14:textId="77777777" w:rsidR="006A0BDB" w:rsidRPr="00A72242" w:rsidRDefault="006A0BDB" w:rsidP="001D2CEB">
      <w:pPr>
        <w:pStyle w:val="SubParagraph"/>
        <w:tabs>
          <w:tab w:val="clear" w:pos="1800"/>
        </w:tabs>
      </w:pPr>
      <w:r w:rsidRPr="00A72242">
        <w:t>(16)</w:t>
      </w:r>
      <w:r>
        <w:tab/>
      </w:r>
      <w:r w:rsidRPr="00A72242">
        <w:t>A "personal identification number" (PIN) is a numeric password selected and used by a WIC participant to authenticate the participant to the EBT system.</w:t>
      </w:r>
    </w:p>
    <w:p w14:paraId="30749F6F" w14:textId="77777777" w:rsidR="006A0BDB" w:rsidRPr="00A72242" w:rsidRDefault="006A0BDB" w:rsidP="001D2CEB">
      <w:pPr>
        <w:pStyle w:val="SubParagraph"/>
      </w:pPr>
      <w:r w:rsidRPr="00A72242">
        <w:t>(17)</w:t>
      </w:r>
      <w:r>
        <w:tab/>
      </w:r>
      <w:r w:rsidRPr="00A72242">
        <w:t>A "point of sale terminal" (POS) is an electronic device used to process EBT card payments at authorized vendor locations.</w:t>
      </w:r>
    </w:p>
    <w:p w14:paraId="051527DD" w14:textId="77777777" w:rsidR="006A0BDB" w:rsidRPr="00A72242" w:rsidRDefault="006A0BDB" w:rsidP="001D2CEB">
      <w:pPr>
        <w:pStyle w:val="SubParagraph"/>
        <w:tabs>
          <w:tab w:val="clear" w:pos="1800"/>
        </w:tabs>
      </w:pPr>
      <w:r w:rsidRPr="00A72242">
        <w:t>(18)</w:t>
      </w:r>
      <w:r>
        <w:tab/>
      </w:r>
      <w:r w:rsidRPr="00A72242">
        <w:t>A "predominantly WIC vendor" is an "above-50-percent vendor" as defined in 7 C.F.R. 246.2.</w:t>
      </w:r>
    </w:p>
    <w:p w14:paraId="17A70827" w14:textId="77777777" w:rsidR="006A0BDB" w:rsidRPr="00A72242" w:rsidRDefault="006A0BDB" w:rsidP="001D2CEB">
      <w:pPr>
        <w:pStyle w:val="SubParagraph"/>
        <w:tabs>
          <w:tab w:val="clear" w:pos="1800"/>
        </w:tabs>
      </w:pPr>
      <w:r w:rsidRPr="00A72242">
        <w:t>(19)</w:t>
      </w:r>
      <w:r>
        <w:tab/>
      </w:r>
      <w:r w:rsidRPr="00A72242">
        <w:t>A "product look-up (PLU) code" is an identification number placed on produce sold at authorized vendor locations.</w:t>
      </w:r>
    </w:p>
    <w:p w14:paraId="7DF082DA" w14:textId="77777777" w:rsidR="006A0BDB" w:rsidRPr="00A72242" w:rsidRDefault="006A0BDB" w:rsidP="001D2CEB">
      <w:pPr>
        <w:pStyle w:val="SubParagraph"/>
        <w:tabs>
          <w:tab w:val="clear" w:pos="1800"/>
        </w:tabs>
      </w:pPr>
      <w:r w:rsidRPr="00A72242">
        <w:t>(20)</w:t>
      </w:r>
      <w:r>
        <w:tab/>
      </w:r>
      <w:r w:rsidRPr="00A72242">
        <w:t>"Redeemed food benefits" means the benefits that have been used by the WIC customer.</w:t>
      </w:r>
    </w:p>
    <w:p w14:paraId="0ED8D85D" w14:textId="77777777" w:rsidR="006A0BDB" w:rsidRPr="00A72242" w:rsidRDefault="006A0BDB" w:rsidP="001D2CEB">
      <w:pPr>
        <w:pStyle w:val="SubParagraph"/>
        <w:tabs>
          <w:tab w:val="clear" w:pos="1800"/>
        </w:tabs>
      </w:pPr>
      <w:r w:rsidRPr="00A72242">
        <w:t>(21)</w:t>
      </w:r>
      <w:r>
        <w:tab/>
      </w:r>
      <w:r w:rsidRPr="00A72242">
        <w:t>"Redemption" is the process by which a vendor receives payment from the State agency</w:t>
      </w:r>
      <w:r>
        <w:t xml:space="preserve"> </w:t>
      </w:r>
      <w:r w:rsidRPr="00A72242">
        <w:t xml:space="preserve">or its </w:t>
      </w:r>
      <w:r w:rsidRPr="00A72242">
        <w:lastRenderedPageBreak/>
        <w:t xml:space="preserve">financial agent for food benefits transacted at that vendor location. </w:t>
      </w:r>
    </w:p>
    <w:p w14:paraId="2FF1224E" w14:textId="77777777" w:rsidR="006A0BDB" w:rsidRPr="00A72242" w:rsidRDefault="006A0BDB" w:rsidP="001D2CEB">
      <w:pPr>
        <w:pStyle w:val="SubParagraph"/>
        <w:tabs>
          <w:tab w:val="clear" w:pos="1800"/>
        </w:tabs>
      </w:pPr>
      <w:r w:rsidRPr="00A72242">
        <w:t>(22)</w:t>
      </w:r>
      <w:r>
        <w:tab/>
      </w:r>
      <w:r w:rsidRPr="00A72242">
        <w:t>"Shelf price" is the price listed on the shelf for the WIC supplemental food.</w:t>
      </w:r>
    </w:p>
    <w:p w14:paraId="50BDDEDB" w14:textId="77777777" w:rsidR="006A0BDB" w:rsidRPr="00A72242" w:rsidRDefault="006A0BDB" w:rsidP="001D2CEB">
      <w:pPr>
        <w:pStyle w:val="SubParagraph"/>
        <w:tabs>
          <w:tab w:val="clear" w:pos="1800"/>
        </w:tabs>
      </w:pPr>
      <w:r w:rsidRPr="00A72242">
        <w:t>(23)</w:t>
      </w:r>
      <w:r>
        <w:tab/>
      </w:r>
      <w:r w:rsidRPr="00A72242">
        <w:t>"SNAP-eligible food sales" means "food sales" as defined in 7 C.F.R. 246.2, which are those foods that can be purchased with Supplemental Nutrition Assistance Program ("SNAP") benefits.</w:t>
      </w:r>
    </w:p>
    <w:p w14:paraId="1F1B4D34" w14:textId="77777777" w:rsidR="006A0BDB" w:rsidRPr="00A72242" w:rsidRDefault="006A0BDB" w:rsidP="001D2CEB">
      <w:pPr>
        <w:pStyle w:val="SubParagraph"/>
        <w:tabs>
          <w:tab w:val="clear" w:pos="1800"/>
        </w:tabs>
      </w:pPr>
      <w:r w:rsidRPr="00A72242">
        <w:t>(24)</w:t>
      </w:r>
      <w:r>
        <w:tab/>
      </w:r>
      <w:r w:rsidRPr="00A72242">
        <w:t>The "State agency" is the Nutrition Services Branch, Women's and Children's Health Section, Division of Public Health, North Carolina Department of Health and Human Services.</w:t>
      </w:r>
    </w:p>
    <w:p w14:paraId="756D8EF7" w14:textId="77777777" w:rsidR="006A0BDB" w:rsidRPr="00A72242" w:rsidRDefault="006A0BDB" w:rsidP="001D2CEB">
      <w:pPr>
        <w:pStyle w:val="SubParagraph"/>
        <w:tabs>
          <w:tab w:val="clear" w:pos="1800"/>
        </w:tabs>
      </w:pPr>
      <w:r w:rsidRPr="00A72242">
        <w:t>(25)</w:t>
      </w:r>
      <w:r>
        <w:tab/>
      </w:r>
      <w:r w:rsidRPr="00A72242">
        <w:t>"Store" means a food retailer or free-standing pharmacy operating at a single, fixed location.</w:t>
      </w:r>
    </w:p>
    <w:p w14:paraId="07129A16" w14:textId="77777777" w:rsidR="006A0BDB" w:rsidRPr="00A72242" w:rsidRDefault="006A0BDB" w:rsidP="001D2CEB">
      <w:pPr>
        <w:pStyle w:val="SubParagraph"/>
        <w:tabs>
          <w:tab w:val="clear" w:pos="1800"/>
        </w:tabs>
      </w:pPr>
      <w:r w:rsidRPr="00A72242">
        <w:t>(26)</w:t>
      </w:r>
      <w:r>
        <w:tab/>
      </w:r>
      <w:r w:rsidRPr="00A72242">
        <w:t>"Supplemental food" or "WIC supplemental food" is a food that satisfies the requirements of 10A NCAC 43D .0501.</w:t>
      </w:r>
    </w:p>
    <w:p w14:paraId="6FADF74F" w14:textId="77777777" w:rsidR="006A0BDB" w:rsidRPr="00A72242" w:rsidRDefault="006A0BDB" w:rsidP="001D2CEB">
      <w:pPr>
        <w:pStyle w:val="SubParagraph"/>
        <w:tabs>
          <w:tab w:val="clear" w:pos="1800"/>
        </w:tabs>
      </w:pPr>
      <w:r w:rsidRPr="00A72242">
        <w:t>(27)</w:t>
      </w:r>
      <w:r>
        <w:tab/>
      </w:r>
      <w:r w:rsidRPr="00A72242">
        <w:t>"Support costs" are clinic costs, administrative costs, and nutrition education costs.</w:t>
      </w:r>
    </w:p>
    <w:p w14:paraId="7FF5902D" w14:textId="77777777" w:rsidR="006A0BDB" w:rsidRPr="00A72242" w:rsidRDefault="006A0BDB" w:rsidP="001D2CEB">
      <w:pPr>
        <w:pStyle w:val="SubParagraph"/>
        <w:tabs>
          <w:tab w:val="clear" w:pos="1800"/>
        </w:tabs>
      </w:pPr>
      <w:r w:rsidRPr="00A72242">
        <w:t>(28)</w:t>
      </w:r>
      <w:r>
        <w:tab/>
      </w:r>
      <w:r w:rsidRPr="00A72242">
        <w:t>"Transaction" is the process by which a WIC customer tenders food benefits at an authorized vendor in exchange for authorized supplemental foods.</w:t>
      </w:r>
    </w:p>
    <w:p w14:paraId="0AA8FF91" w14:textId="77777777" w:rsidR="006A0BDB" w:rsidRPr="00A72242" w:rsidRDefault="006A0BDB" w:rsidP="001D2CEB">
      <w:pPr>
        <w:pStyle w:val="SubParagraph"/>
        <w:tabs>
          <w:tab w:val="clear" w:pos="1800"/>
        </w:tabs>
      </w:pPr>
      <w:r w:rsidRPr="00A72242">
        <w:t>(29)</w:t>
      </w:r>
      <w:r>
        <w:tab/>
      </w:r>
      <w:r w:rsidRPr="00A72242">
        <w:t>"Universal Product Code (UPC)" means an identification code printed on the packaging of WIC approved foods sold at WIC authorized vendor locations.</w:t>
      </w:r>
    </w:p>
    <w:p w14:paraId="106122D6" w14:textId="77777777" w:rsidR="006A0BDB" w:rsidRPr="00A72242" w:rsidRDefault="006A0BDB" w:rsidP="001D2CEB">
      <w:pPr>
        <w:pStyle w:val="SubParagraph"/>
        <w:tabs>
          <w:tab w:val="clear" w:pos="1800"/>
        </w:tabs>
      </w:pPr>
      <w:r w:rsidRPr="00A72242">
        <w:t>(30)</w:t>
      </w:r>
      <w:r>
        <w:tab/>
      </w:r>
      <w:r w:rsidRPr="00A72242">
        <w:t xml:space="preserve">"Vendor applicant" is a store that has </w:t>
      </w:r>
      <w:proofErr w:type="gramStart"/>
      <w:r w:rsidRPr="00A72242">
        <w:t>submitted an application</w:t>
      </w:r>
      <w:proofErr w:type="gramEnd"/>
      <w:r w:rsidRPr="00A72242">
        <w:t xml:space="preserve"> to become an authorized WIC vendor but is not yet authorized.</w:t>
      </w:r>
    </w:p>
    <w:p w14:paraId="79823851" w14:textId="77777777" w:rsidR="006A0BDB" w:rsidRPr="00A72242" w:rsidRDefault="006A0BDB" w:rsidP="001D2CEB">
      <w:pPr>
        <w:pStyle w:val="SubParagraph"/>
        <w:tabs>
          <w:tab w:val="clear" w:pos="1800"/>
        </w:tabs>
      </w:pPr>
      <w:r w:rsidRPr="00A72242">
        <w:t>(31)</w:t>
      </w:r>
      <w:r>
        <w:tab/>
      </w:r>
      <w:r w:rsidRPr="00A72242">
        <w:t>A "vendor overcharge" is intentionally or unintentionally charging more for supplemental food provided to a WIC customer than to a non-WIC customer or charging more than the current shelf price for supplemental food provided to a WIC customer.</w:t>
      </w:r>
    </w:p>
    <w:p w14:paraId="13B76DB2" w14:textId="77777777" w:rsidR="006A0BDB" w:rsidRPr="00A72242" w:rsidRDefault="006A0BDB" w:rsidP="001D2CEB">
      <w:pPr>
        <w:pStyle w:val="SubParagraph"/>
        <w:tabs>
          <w:tab w:val="clear" w:pos="1800"/>
        </w:tabs>
      </w:pPr>
      <w:r w:rsidRPr="00A72242">
        <w:t>(32)</w:t>
      </w:r>
      <w:r>
        <w:tab/>
      </w:r>
      <w:r w:rsidRPr="00A72242">
        <w:t>A "WIC corporate agreement" is a single WIC Vendor Agreement with a corporate entity that has 20 or more stores authorized as WIC vendors under the Agreement.</w:t>
      </w:r>
    </w:p>
    <w:p w14:paraId="7EF7F949" w14:textId="77777777" w:rsidR="006A0BDB" w:rsidRPr="00A72242" w:rsidRDefault="006A0BDB" w:rsidP="001D2CEB">
      <w:pPr>
        <w:pStyle w:val="SubParagraph"/>
        <w:tabs>
          <w:tab w:val="clear" w:pos="1800"/>
        </w:tabs>
      </w:pPr>
      <w:r w:rsidRPr="00A72242">
        <w:t>(33)</w:t>
      </w:r>
      <w:r>
        <w:tab/>
      </w:r>
      <w:r w:rsidRPr="00A72242">
        <w:t>"WIC customer" means a WIC participant, parent, or caretaker of an infant or child participant, proxy for the eligible participant, or compliance investigator who transacts food benefits at a vendor in exchange for WIC supplemental food.</w:t>
      </w:r>
    </w:p>
    <w:p w14:paraId="0A236B7F" w14:textId="77777777" w:rsidR="006A0BDB" w:rsidRPr="00A72242" w:rsidRDefault="006A0BDB" w:rsidP="001D2CEB">
      <w:pPr>
        <w:pStyle w:val="SubParagraph"/>
        <w:tabs>
          <w:tab w:val="clear" w:pos="1800"/>
        </w:tabs>
      </w:pPr>
      <w:r w:rsidRPr="00A72242">
        <w:t>(34)</w:t>
      </w:r>
      <w:r>
        <w:tab/>
      </w:r>
      <w:r w:rsidRPr="00A72242">
        <w:t>"WIC program" means the Special Supplemental Nutrition Program for Women, Infants, and Children authorized by 42 U.S.C. 1786 of the Child Nutrition Act of 1966 as amended.</w:t>
      </w:r>
    </w:p>
    <w:p w14:paraId="0BDF91ED" w14:textId="77777777" w:rsidR="006A0BDB" w:rsidRPr="00A72242" w:rsidRDefault="006A0BDB" w:rsidP="001D2CEB">
      <w:pPr>
        <w:pStyle w:val="Paragraph"/>
      </w:pPr>
      <w:r w:rsidRPr="00A72242">
        <w:t>(b)  A copy of 7 C.F.R. Part 246 is available free of charge at https://www.ecfr.gov.</w:t>
      </w:r>
    </w:p>
    <w:p w14:paraId="1AEDD9B6" w14:textId="77777777" w:rsidR="006A0BDB" w:rsidRPr="00A72242" w:rsidRDefault="006A0BDB" w:rsidP="001D2CEB">
      <w:pPr>
        <w:pStyle w:val="Base"/>
      </w:pPr>
    </w:p>
    <w:p w14:paraId="31C5DFD4" w14:textId="77777777" w:rsidR="006A0BDB" w:rsidRPr="00A72242" w:rsidRDefault="006A0BDB" w:rsidP="001D2CEB">
      <w:pPr>
        <w:pStyle w:val="History"/>
      </w:pPr>
      <w:r w:rsidRPr="00A72242">
        <w:t>History Note:</w:t>
      </w:r>
      <w:r w:rsidRPr="00A72242">
        <w:tab/>
        <w:t>Authority G.S. 130A-361; 7 C.F.R. 246.2; 7 C.F.R. 246.9; 7 C.F.R. 246.12; 7 C.F.R. 246.18; 42 U.S.C. 1786;</w:t>
      </w:r>
    </w:p>
    <w:p w14:paraId="0F289126" w14:textId="77777777" w:rsidR="006A0BDB" w:rsidRPr="00A72242" w:rsidRDefault="006A0BDB" w:rsidP="001D2CEB">
      <w:pPr>
        <w:pStyle w:val="HistoryAfter"/>
      </w:pPr>
      <w:r w:rsidRPr="00A72242">
        <w:t>Eff. July 1, 1981;</w:t>
      </w:r>
    </w:p>
    <w:p w14:paraId="22551D12" w14:textId="77777777" w:rsidR="006A0BDB" w:rsidRPr="00A72242" w:rsidRDefault="006A0BDB" w:rsidP="001D2CEB">
      <w:pPr>
        <w:pStyle w:val="HistoryAfter"/>
      </w:pPr>
      <w:r w:rsidRPr="00A72242">
        <w:t>Amended Eff. December 6, 1991; November 1, 1990; July 1, 1989;</w:t>
      </w:r>
    </w:p>
    <w:p w14:paraId="36491335" w14:textId="77777777" w:rsidR="006A0BDB" w:rsidRPr="00A72242" w:rsidRDefault="006A0BDB" w:rsidP="001D2CEB">
      <w:pPr>
        <w:pStyle w:val="HistoryAfter"/>
      </w:pPr>
      <w:r w:rsidRPr="00A72242">
        <w:t>Temporary Amendment Eff. May 17, 2000;</w:t>
      </w:r>
    </w:p>
    <w:p w14:paraId="2C729FA9" w14:textId="77777777" w:rsidR="006A0BDB" w:rsidRPr="00A72242" w:rsidRDefault="006A0BDB" w:rsidP="001D2CEB">
      <w:pPr>
        <w:pStyle w:val="HistoryAfter"/>
      </w:pPr>
      <w:r w:rsidRPr="00A72242">
        <w:t>Amended Eff. April 1, 2001;</w:t>
      </w:r>
    </w:p>
    <w:p w14:paraId="4463F434" w14:textId="77777777" w:rsidR="006A0BDB" w:rsidRPr="00A72242" w:rsidRDefault="006A0BDB" w:rsidP="001D2CEB">
      <w:pPr>
        <w:pStyle w:val="HistoryAfter"/>
      </w:pPr>
      <w:r w:rsidRPr="00A72242">
        <w:t>Temporary Amendment Eff. July 1, 2002;</w:t>
      </w:r>
    </w:p>
    <w:p w14:paraId="499C589D" w14:textId="77777777" w:rsidR="006A0BDB" w:rsidRPr="00A72242" w:rsidRDefault="006A0BDB" w:rsidP="001D2CEB">
      <w:pPr>
        <w:pStyle w:val="HistoryAfter"/>
      </w:pPr>
      <w:r w:rsidRPr="00A72242">
        <w:t>Amended Eff. August 1, 2004;</w:t>
      </w:r>
    </w:p>
    <w:p w14:paraId="0E006431" w14:textId="77777777" w:rsidR="006A0BDB" w:rsidRPr="00A72242" w:rsidRDefault="006A0BDB" w:rsidP="001D2CEB">
      <w:pPr>
        <w:pStyle w:val="HistoryAfter"/>
      </w:pPr>
      <w:r w:rsidRPr="00A72242">
        <w:t>Temporary Amendment Eff. July 1, 2006;</w:t>
      </w:r>
    </w:p>
    <w:p w14:paraId="40106785" w14:textId="77777777" w:rsidR="006A0BDB" w:rsidRPr="00A72242" w:rsidRDefault="006A0BDB" w:rsidP="001D2CEB">
      <w:pPr>
        <w:pStyle w:val="HistoryAfter"/>
      </w:pPr>
      <w:r w:rsidRPr="00A72242">
        <w:t>Amended Eff. October 1, 2017; February 1, 2013; October 1, 2009; April 1, 2007;</w:t>
      </w:r>
    </w:p>
    <w:p w14:paraId="50602A3D" w14:textId="77777777" w:rsidR="006A0BDB" w:rsidRPr="00A72242" w:rsidRDefault="006A0BDB" w:rsidP="001D2CEB">
      <w:pPr>
        <w:pStyle w:val="HistoryAfter"/>
      </w:pPr>
      <w:r w:rsidRPr="00A72242">
        <w:t xml:space="preserve">Pursuant to G.S. 150B-21.3A, rule is necessary without substantive public interest Eff. December 23, 2017; </w:t>
      </w:r>
    </w:p>
    <w:p w14:paraId="14414699" w14:textId="77777777" w:rsidR="006A0BDB" w:rsidRPr="00A72242" w:rsidRDefault="006A0BDB" w:rsidP="001D2CEB">
      <w:pPr>
        <w:pStyle w:val="HistoryAfter"/>
      </w:pPr>
      <w:r w:rsidRPr="00A72242">
        <w:t>Amended Eff. March 1, 2020.</w:t>
      </w:r>
    </w:p>
    <w:p w14:paraId="273E064B" w14:textId="77777777" w:rsidR="006A0BDB" w:rsidRDefault="006A0BDB" w:rsidP="001D2CEB">
      <w:pPr>
        <w:pStyle w:val="Base"/>
      </w:pPr>
    </w:p>
    <w:p w14:paraId="11843341" w14:textId="77777777" w:rsidR="006A0BDB" w:rsidRPr="00F50D7B" w:rsidRDefault="006A0BDB" w:rsidP="001D2CEB">
      <w:pPr>
        <w:pStyle w:val="Rule"/>
      </w:pPr>
      <w:r w:rsidRPr="00F50D7B">
        <w:t>10A NCAC 43D .0408</w:t>
      </w:r>
      <w:r w:rsidRPr="00F50D7B">
        <w:tab/>
        <w:t>WAITING LIST</w:t>
      </w:r>
    </w:p>
    <w:p w14:paraId="17AF0D72" w14:textId="77777777" w:rsidR="006A0BDB" w:rsidRPr="00F50D7B" w:rsidRDefault="006A0BDB" w:rsidP="001D2CEB">
      <w:pPr>
        <w:pStyle w:val="Paragraph"/>
      </w:pPr>
      <w:r w:rsidRPr="00F50D7B">
        <w:t>(a)  A waiting list shall be established in accordance with 7 C.F.R. 246.7(f), which is incorporated by reference with all subsequent amendments and editions.</w:t>
      </w:r>
    </w:p>
    <w:p w14:paraId="31A3972C" w14:textId="77777777" w:rsidR="006A0BDB" w:rsidRPr="00F50D7B" w:rsidRDefault="006A0BDB" w:rsidP="001D2CEB">
      <w:pPr>
        <w:pStyle w:val="Paragraph"/>
      </w:pPr>
      <w:r w:rsidRPr="00F50D7B">
        <w:t>(b)  Local WIC agencies maintaining a waiting list shall continue to provide WIC program benefits to all individuals enrolled in the program until the expiration of their certification period.</w:t>
      </w:r>
    </w:p>
    <w:p w14:paraId="6BEB34C5" w14:textId="77777777" w:rsidR="006A0BDB" w:rsidRPr="00F50D7B" w:rsidRDefault="006A0BDB" w:rsidP="001D2CEB">
      <w:pPr>
        <w:pStyle w:val="Paragraph"/>
      </w:pPr>
      <w:r w:rsidRPr="00F50D7B">
        <w:t>(c)  Local WIC agencies shall enroll individuals in a manner which ensures that applicants in a higher priority level are first given an opportunity to receive food benefits in accordance with 7 C.F.R. 246.7(e)(4) which is incorporated by reference with all subsequent amendments and editions.</w:t>
      </w:r>
    </w:p>
    <w:p w14:paraId="395455D7" w14:textId="77777777" w:rsidR="006A0BDB" w:rsidRPr="00F50D7B" w:rsidRDefault="006A0BDB" w:rsidP="001D2CEB">
      <w:pPr>
        <w:pStyle w:val="Base"/>
      </w:pPr>
    </w:p>
    <w:p w14:paraId="736DDEB6" w14:textId="77777777" w:rsidR="006A0BDB" w:rsidRPr="00F50D7B" w:rsidRDefault="006A0BDB" w:rsidP="001D2CEB">
      <w:pPr>
        <w:pStyle w:val="History"/>
      </w:pPr>
      <w:r w:rsidRPr="00F50D7B">
        <w:t>History Note:</w:t>
      </w:r>
      <w:r w:rsidRPr="00F50D7B">
        <w:tab/>
        <w:t>Authority G.S. 130A-361; 7 C.F.R. 246.7;</w:t>
      </w:r>
    </w:p>
    <w:p w14:paraId="5905E281" w14:textId="77777777" w:rsidR="006A0BDB" w:rsidRPr="00F50D7B" w:rsidRDefault="006A0BDB" w:rsidP="001D2CEB">
      <w:pPr>
        <w:pStyle w:val="HistoryAfter"/>
      </w:pPr>
      <w:r w:rsidRPr="00F50D7B">
        <w:t>Eff. July 1, 1981;</w:t>
      </w:r>
    </w:p>
    <w:p w14:paraId="51CF4867" w14:textId="77777777" w:rsidR="006A0BDB" w:rsidRPr="00F50D7B" w:rsidRDefault="006A0BDB" w:rsidP="001D2CEB">
      <w:pPr>
        <w:pStyle w:val="HistoryAfter"/>
      </w:pPr>
      <w:r w:rsidRPr="00F50D7B">
        <w:t>Amended Eff. October 1, 2009; November 1, 1990; July 1, 1989;</w:t>
      </w:r>
    </w:p>
    <w:p w14:paraId="18197395" w14:textId="77777777" w:rsidR="006A0BDB" w:rsidRPr="00F50D7B" w:rsidRDefault="006A0BDB" w:rsidP="001D2CEB">
      <w:pPr>
        <w:pStyle w:val="HistoryAfter"/>
      </w:pPr>
      <w:r w:rsidRPr="00F50D7B">
        <w:t xml:space="preserve">Pursuant to G.S. 150B-21.3A, rule is necessary without substantive public interest Eff. December 23, 2017; </w:t>
      </w:r>
    </w:p>
    <w:p w14:paraId="2373DEA4" w14:textId="77777777" w:rsidR="006A0BDB" w:rsidRDefault="006A0BDB" w:rsidP="001D2CEB">
      <w:pPr>
        <w:pStyle w:val="HistoryAfter"/>
      </w:pPr>
      <w:r w:rsidRPr="00F50D7B">
        <w:t>Amended Eff. March 1, 2020.</w:t>
      </w:r>
    </w:p>
    <w:p w14:paraId="2F31064E" w14:textId="77777777" w:rsidR="006A0BDB" w:rsidRPr="00B75114" w:rsidRDefault="006A0BDB" w:rsidP="001D2CEB">
      <w:pPr>
        <w:pStyle w:val="Base"/>
        <w:rPr>
          <w:highlight w:val="red"/>
        </w:rPr>
      </w:pPr>
    </w:p>
    <w:p w14:paraId="06CBB82E" w14:textId="77777777" w:rsidR="006A0BDB" w:rsidRPr="00C72B69" w:rsidRDefault="006A0BDB" w:rsidP="001D2CEB">
      <w:pPr>
        <w:pStyle w:val="Rule"/>
      </w:pPr>
      <w:r w:rsidRPr="00C72B69">
        <w:t>10A NCAC 43D .0501</w:t>
      </w:r>
      <w:r w:rsidRPr="00C72B69">
        <w:tab/>
        <w:t>Supplemental FOODS</w:t>
      </w:r>
    </w:p>
    <w:p w14:paraId="50656805" w14:textId="77777777" w:rsidR="006A0BDB" w:rsidRPr="00C72B69" w:rsidRDefault="006A0BDB" w:rsidP="001D2CEB">
      <w:pPr>
        <w:pStyle w:val="Paragraph"/>
      </w:pPr>
      <w:r w:rsidRPr="00C72B69">
        <w:t>(a)  The foods that may be provided to WIC program participants are specified in 7 C.F.R. 246.10, which is incorporated by reference including any subsequent amendments and editions. This material is available for inspection at the Department of Health and Human Services, Division of Public Health, 5601 Six Forks Road, Raleigh, North Carolina 27609 and may be obtained from Nutrition Services at no cost.</w:t>
      </w:r>
    </w:p>
    <w:p w14:paraId="5D546134" w14:textId="77777777" w:rsidR="006A0BDB" w:rsidRPr="00C72B69" w:rsidRDefault="006A0BDB" w:rsidP="001D2CEB">
      <w:pPr>
        <w:pStyle w:val="Paragraph"/>
      </w:pPr>
      <w:r w:rsidRPr="00C72B69">
        <w:t>(b)  The following exclusions from the food package have been adopted by the North Carolina WIC Program:</w:t>
      </w:r>
      <w:r>
        <w:t xml:space="preserve"> </w:t>
      </w:r>
    </w:p>
    <w:p w14:paraId="0921FC7C" w14:textId="77777777" w:rsidR="006A0BDB" w:rsidRPr="00C72B69" w:rsidRDefault="006A0BDB" w:rsidP="001D2CEB">
      <w:pPr>
        <w:pStyle w:val="SubParagraph"/>
        <w:tabs>
          <w:tab w:val="clear" w:pos="1800"/>
        </w:tabs>
      </w:pPr>
      <w:r w:rsidRPr="00C72B69">
        <w:t>(1)</w:t>
      </w:r>
      <w:r w:rsidRPr="00C72B69">
        <w:tab/>
        <w:t>mackerel and sardines;</w:t>
      </w:r>
    </w:p>
    <w:p w14:paraId="77DFC66F" w14:textId="77777777" w:rsidR="006A0BDB" w:rsidRPr="00C72B69" w:rsidRDefault="006A0BDB" w:rsidP="001D2CEB">
      <w:pPr>
        <w:pStyle w:val="SubParagraph"/>
        <w:tabs>
          <w:tab w:val="clear" w:pos="1800"/>
        </w:tabs>
      </w:pPr>
      <w:r w:rsidRPr="00C72B69">
        <w:t>(2)</w:t>
      </w:r>
      <w:r w:rsidRPr="00C72B69">
        <w:tab/>
        <w:t>goat milk; and</w:t>
      </w:r>
    </w:p>
    <w:p w14:paraId="5ECC82AA" w14:textId="77777777" w:rsidR="006A0BDB" w:rsidRPr="00C72B69" w:rsidRDefault="006A0BDB" w:rsidP="001D2CEB">
      <w:pPr>
        <w:pStyle w:val="SubParagraph"/>
        <w:tabs>
          <w:tab w:val="clear" w:pos="1800"/>
        </w:tabs>
      </w:pPr>
      <w:r w:rsidRPr="00C72B69">
        <w:t>(3)</w:t>
      </w:r>
      <w:r w:rsidRPr="00C72B69">
        <w:tab/>
        <w:t>dried fruits and vegetables.</w:t>
      </w:r>
    </w:p>
    <w:p w14:paraId="66BD94CA" w14:textId="77777777" w:rsidR="006A0BDB" w:rsidRPr="00C72B69" w:rsidRDefault="006A0BDB" w:rsidP="001D2CEB">
      <w:pPr>
        <w:pStyle w:val="Paragraph"/>
      </w:pPr>
      <w:r w:rsidRPr="00C72B69">
        <w:t>(c)  The State agency may exclude foods other than those described in Paragraph (b) of this Rule if it determines such foods to be inappropriate for provision as supplemental foods through the WIC Program as a result of their cost, nutritional composition, packaging, statewide availability, participant redemption data, or promotion in a manner which is contrary to the purpose of the program as contained in 7 C.F.R. 246.1.</w:t>
      </w:r>
    </w:p>
    <w:p w14:paraId="1201EBD7" w14:textId="77777777" w:rsidR="006A0BDB" w:rsidRPr="00C72B69" w:rsidRDefault="006A0BDB" w:rsidP="001D2CEB">
      <w:pPr>
        <w:pStyle w:val="Base"/>
      </w:pPr>
    </w:p>
    <w:p w14:paraId="6EC16481" w14:textId="77777777" w:rsidR="006A0BDB" w:rsidRPr="00C72B69" w:rsidRDefault="006A0BDB" w:rsidP="001D2CEB">
      <w:pPr>
        <w:pStyle w:val="History"/>
      </w:pPr>
      <w:r w:rsidRPr="00C72B69">
        <w:t>History Note:</w:t>
      </w:r>
      <w:r w:rsidRPr="00C72B69">
        <w:tab/>
        <w:t>Authority G.S. 130A-361; 7 C.F.R. 246.10; 42 U.S.C. 1786;</w:t>
      </w:r>
    </w:p>
    <w:p w14:paraId="0C399B0F" w14:textId="77777777" w:rsidR="006A0BDB" w:rsidRPr="00C72B69" w:rsidRDefault="006A0BDB" w:rsidP="001D2CEB">
      <w:pPr>
        <w:pStyle w:val="HistoryAfter"/>
      </w:pPr>
      <w:r w:rsidRPr="00C72B69">
        <w:t>Eff. July 1, 1981;</w:t>
      </w:r>
    </w:p>
    <w:p w14:paraId="18FE3B09" w14:textId="77777777" w:rsidR="006A0BDB" w:rsidRPr="00C72B69" w:rsidRDefault="006A0BDB" w:rsidP="001D2CEB">
      <w:pPr>
        <w:pStyle w:val="HistoryAfter"/>
      </w:pPr>
      <w:r w:rsidRPr="00C72B69">
        <w:t>Amended Eff. October 1, 1993; October 1, 1990; July 1, 1989; October 1, 1988;</w:t>
      </w:r>
    </w:p>
    <w:p w14:paraId="6C2B7EAA" w14:textId="77777777" w:rsidR="006A0BDB" w:rsidRPr="00C72B69" w:rsidRDefault="006A0BDB" w:rsidP="001D2CEB">
      <w:pPr>
        <w:pStyle w:val="HistoryAfter"/>
      </w:pPr>
      <w:r w:rsidRPr="00C72B69">
        <w:lastRenderedPageBreak/>
        <w:t>Temporary Amendment Eff. July 1, 2002;</w:t>
      </w:r>
    </w:p>
    <w:p w14:paraId="5BA73B03" w14:textId="77777777" w:rsidR="006A0BDB" w:rsidRPr="00C72B69" w:rsidRDefault="006A0BDB" w:rsidP="001D2CEB">
      <w:pPr>
        <w:pStyle w:val="HistoryAfter"/>
      </w:pPr>
      <w:r w:rsidRPr="00C72B69">
        <w:t>Amended Eff. October 1, 2009; August 1, 2004;</w:t>
      </w:r>
    </w:p>
    <w:p w14:paraId="398FDAA6" w14:textId="77777777" w:rsidR="006A0BDB" w:rsidRPr="00C72B69" w:rsidRDefault="006A0BDB" w:rsidP="001D2CEB">
      <w:pPr>
        <w:pStyle w:val="HistoryAfter"/>
      </w:pPr>
      <w:r w:rsidRPr="00C72B69">
        <w:t xml:space="preserve">Pursuant to G.S. 150B-21.3A, rule is necessary without substantive public interest Eff. December 23, 2017; </w:t>
      </w:r>
    </w:p>
    <w:p w14:paraId="5EC3F61C" w14:textId="77777777" w:rsidR="006A0BDB" w:rsidRPr="00C72B69" w:rsidRDefault="006A0BDB" w:rsidP="001D2CEB">
      <w:pPr>
        <w:pStyle w:val="HistoryAfter"/>
      </w:pPr>
      <w:r w:rsidRPr="00C72B69">
        <w:t>Amended Eff. March 1, 2020.</w:t>
      </w:r>
    </w:p>
    <w:p w14:paraId="1EC567EA" w14:textId="77777777" w:rsidR="006A0BDB" w:rsidRDefault="006A0BDB" w:rsidP="001D2CEB">
      <w:pPr>
        <w:pStyle w:val="Base"/>
      </w:pPr>
    </w:p>
    <w:p w14:paraId="16304A63" w14:textId="77777777" w:rsidR="006A0BDB" w:rsidRPr="00073558" w:rsidRDefault="006A0BDB" w:rsidP="001D2CEB">
      <w:pPr>
        <w:pStyle w:val="Rule"/>
      </w:pPr>
      <w:r w:rsidRPr="00073558">
        <w:t>10A NCAC 43D .0701</w:t>
      </w:r>
      <w:r w:rsidRPr="00073558">
        <w:tab/>
        <w:t>The North carolina automated wic system</w:t>
      </w:r>
    </w:p>
    <w:p w14:paraId="55A26B4A" w14:textId="77777777" w:rsidR="006A0BDB" w:rsidRPr="00073558" w:rsidRDefault="006A0BDB" w:rsidP="001D2CEB">
      <w:pPr>
        <w:pStyle w:val="Paragraph"/>
      </w:pPr>
      <w:r w:rsidRPr="00073558">
        <w:t>The WIC program shall provide supplemental foods through a uniform EBT retail distribution system in accordance with 7 C.F.R. 246.12. Local agencies shall use an automated data processing system to promote the provision of and accounting for food benefits issued to participants.</w:t>
      </w:r>
    </w:p>
    <w:p w14:paraId="52FADFFB" w14:textId="77777777" w:rsidR="006A0BDB" w:rsidRPr="00073558" w:rsidRDefault="006A0BDB" w:rsidP="001D2CEB">
      <w:pPr>
        <w:pStyle w:val="Base"/>
      </w:pPr>
    </w:p>
    <w:p w14:paraId="7D6F81D0" w14:textId="77777777" w:rsidR="006A0BDB" w:rsidRPr="00073558" w:rsidRDefault="006A0BDB" w:rsidP="001D2CEB">
      <w:pPr>
        <w:pStyle w:val="History"/>
      </w:pPr>
      <w:r w:rsidRPr="00073558">
        <w:t>History Note:</w:t>
      </w:r>
      <w:r w:rsidRPr="00073558">
        <w:tab/>
        <w:t>Authority G.S. 130A</w:t>
      </w:r>
      <w:r w:rsidRPr="00073558">
        <w:noBreakHyphen/>
        <w:t>361; 42 U.S.C. 1786; 7 C.F.R. 246.12;</w:t>
      </w:r>
    </w:p>
    <w:p w14:paraId="39D3FC67" w14:textId="77777777" w:rsidR="006A0BDB" w:rsidRPr="00073558" w:rsidRDefault="006A0BDB" w:rsidP="001D2CEB">
      <w:pPr>
        <w:pStyle w:val="HistoryAfter"/>
      </w:pPr>
      <w:r w:rsidRPr="00073558">
        <w:t>Eff. July 1, 1981;</w:t>
      </w:r>
    </w:p>
    <w:p w14:paraId="1486CE5E" w14:textId="77777777" w:rsidR="006A0BDB" w:rsidRPr="00073558" w:rsidRDefault="006A0BDB" w:rsidP="001D2CEB">
      <w:pPr>
        <w:pStyle w:val="HistoryAfter"/>
      </w:pPr>
      <w:r w:rsidRPr="00073558">
        <w:t>Amended Eff. October 1, 2009; April 1, 2001;</w:t>
      </w:r>
    </w:p>
    <w:p w14:paraId="12A7A28D" w14:textId="77777777" w:rsidR="006A0BDB" w:rsidRPr="00073558" w:rsidRDefault="006A0BDB" w:rsidP="001D2CEB">
      <w:pPr>
        <w:pStyle w:val="HistoryAfter"/>
      </w:pPr>
      <w:r w:rsidRPr="00073558">
        <w:t xml:space="preserve">Pursuant to G.S. 150B-21.3A, rule is necessary without substantive public interest Eff. December 23, 2017; </w:t>
      </w:r>
    </w:p>
    <w:p w14:paraId="4413A9C1" w14:textId="77777777" w:rsidR="006A0BDB" w:rsidRPr="00073558" w:rsidRDefault="006A0BDB" w:rsidP="001D2CEB">
      <w:pPr>
        <w:pStyle w:val="HistoryAfter"/>
      </w:pPr>
      <w:r w:rsidRPr="00073558">
        <w:t>Amended Eff. March 1, 2020.</w:t>
      </w:r>
    </w:p>
    <w:p w14:paraId="4164233C" w14:textId="77777777" w:rsidR="006A0BDB" w:rsidRDefault="006A0BDB" w:rsidP="001D2CEB">
      <w:pPr>
        <w:pStyle w:val="Base"/>
      </w:pPr>
    </w:p>
    <w:p w14:paraId="39A891A2" w14:textId="77777777" w:rsidR="006A0BDB" w:rsidRPr="005330C7" w:rsidRDefault="006A0BDB" w:rsidP="001D2CEB">
      <w:pPr>
        <w:pStyle w:val="Rule"/>
      </w:pPr>
      <w:r w:rsidRPr="005330C7">
        <w:t>10A nCAC 43D .0702</w:t>
      </w:r>
      <w:r w:rsidRPr="005330C7">
        <w:tab/>
        <w:t>ISSUANCE OF FOOD BENEFITS</w:t>
      </w:r>
    </w:p>
    <w:p w14:paraId="12E7CFB7" w14:textId="77777777" w:rsidR="006A0BDB" w:rsidRPr="005330C7" w:rsidRDefault="006A0BDB" w:rsidP="001D2CEB">
      <w:pPr>
        <w:pStyle w:val="Paragraph"/>
      </w:pPr>
      <w:r w:rsidRPr="005330C7">
        <w:t>(a)  Local WIC agencies shall issue WIC program food benefits to program participants in a manner which ensures that participants can receive the supplemental foods that have been prescribed for them in accordance with 7 C.F.R. 246.10, which is incorporated by reference with all subsequent amendments and editions.</w:t>
      </w:r>
    </w:p>
    <w:p w14:paraId="62186D7B" w14:textId="77777777" w:rsidR="006A0BDB" w:rsidRPr="005330C7" w:rsidRDefault="006A0BDB" w:rsidP="001D2CEB">
      <w:pPr>
        <w:pStyle w:val="Paragraph"/>
      </w:pPr>
      <w:r w:rsidRPr="005330C7">
        <w:t>(b)  Local WIC agencies shall issue food benefits and shall retain documentation of issuance. The documentation of issuance shall include the dated signature of the authorized individual receiving the food</w:t>
      </w:r>
      <w:r>
        <w:t xml:space="preserve"> </w:t>
      </w:r>
      <w:r w:rsidRPr="005330C7">
        <w:t xml:space="preserve">benefits, as set out in Subparagraph (c) of this Rule. </w:t>
      </w:r>
    </w:p>
    <w:p w14:paraId="5E2CE4E5" w14:textId="77777777" w:rsidR="006A0BDB" w:rsidRPr="005330C7" w:rsidRDefault="006A0BDB" w:rsidP="001D2CEB">
      <w:pPr>
        <w:pStyle w:val="Paragraph"/>
      </w:pPr>
      <w:r w:rsidRPr="005330C7">
        <w:t>(c)  Food benefits shall be issued only to the participant, the participant's parent, the participant's caretaker, a proxy, or a representative of the program completing a compliance buy.</w:t>
      </w:r>
    </w:p>
    <w:p w14:paraId="7B55FD87" w14:textId="77777777" w:rsidR="006A0BDB" w:rsidRPr="005330C7" w:rsidRDefault="006A0BDB" w:rsidP="001D2CEB">
      <w:pPr>
        <w:pStyle w:val="Base"/>
      </w:pPr>
    </w:p>
    <w:p w14:paraId="2CEC2A2B" w14:textId="77777777" w:rsidR="006A0BDB" w:rsidRPr="005330C7" w:rsidRDefault="006A0BDB" w:rsidP="001D2CEB">
      <w:pPr>
        <w:pStyle w:val="History"/>
      </w:pPr>
      <w:r w:rsidRPr="005330C7">
        <w:t>History Note:</w:t>
      </w:r>
      <w:r w:rsidRPr="005330C7">
        <w:tab/>
        <w:t>Authority G.S. 130A</w:t>
      </w:r>
      <w:r w:rsidRPr="005330C7">
        <w:noBreakHyphen/>
        <w:t>361;</w:t>
      </w:r>
      <w:r w:rsidRPr="007D3A9E">
        <w:t xml:space="preserve"> </w:t>
      </w:r>
      <w:r w:rsidRPr="005330C7">
        <w:t>7 C.F.R. 246.2; 7 C.F.R. 246.10; 42 U.S.C. 1786;</w:t>
      </w:r>
    </w:p>
    <w:p w14:paraId="7B1A6C7D" w14:textId="77777777" w:rsidR="006A0BDB" w:rsidRPr="005330C7" w:rsidRDefault="006A0BDB" w:rsidP="001D2CEB">
      <w:pPr>
        <w:pStyle w:val="HistoryAfter"/>
      </w:pPr>
      <w:r w:rsidRPr="005330C7">
        <w:t>Eff. July 1, 1981;</w:t>
      </w:r>
    </w:p>
    <w:p w14:paraId="3FC0F271" w14:textId="77777777" w:rsidR="006A0BDB" w:rsidRPr="005330C7" w:rsidRDefault="006A0BDB" w:rsidP="001D2CEB">
      <w:pPr>
        <w:pStyle w:val="HistoryAfter"/>
      </w:pPr>
      <w:r w:rsidRPr="005330C7">
        <w:t>Amended Eff. April 1, 2001;</w:t>
      </w:r>
    </w:p>
    <w:p w14:paraId="6821BCC7" w14:textId="77777777" w:rsidR="006A0BDB" w:rsidRPr="005330C7" w:rsidRDefault="006A0BDB" w:rsidP="001D2CEB">
      <w:pPr>
        <w:pStyle w:val="HistoryAfter"/>
      </w:pPr>
      <w:r w:rsidRPr="005330C7">
        <w:t>Temporary Amendment Eff. July 1, 2002;</w:t>
      </w:r>
    </w:p>
    <w:p w14:paraId="7154156D" w14:textId="77777777" w:rsidR="006A0BDB" w:rsidRPr="005330C7" w:rsidRDefault="006A0BDB" w:rsidP="001D2CEB">
      <w:pPr>
        <w:pStyle w:val="HistoryAfter"/>
      </w:pPr>
      <w:r w:rsidRPr="005330C7">
        <w:t>Amended Eff. October 1, 2009; August 1, 2004;</w:t>
      </w:r>
    </w:p>
    <w:p w14:paraId="41C6EF75" w14:textId="77777777" w:rsidR="006A0BDB" w:rsidRPr="005330C7" w:rsidRDefault="006A0BDB" w:rsidP="001D2CEB">
      <w:pPr>
        <w:pStyle w:val="HistoryAfter"/>
      </w:pPr>
      <w:r w:rsidRPr="005330C7">
        <w:t xml:space="preserve">Pursuant to G.S. 150B-21.3A, rule is necessary without substantive public interest Eff. December 23, 2017; </w:t>
      </w:r>
    </w:p>
    <w:p w14:paraId="07DD34E6" w14:textId="77777777" w:rsidR="006A0BDB" w:rsidRPr="005330C7" w:rsidRDefault="006A0BDB" w:rsidP="001D2CEB">
      <w:pPr>
        <w:pStyle w:val="HistoryAfter"/>
      </w:pPr>
      <w:r w:rsidRPr="005330C7">
        <w:t>Amended Eff. March 1, 2020.</w:t>
      </w:r>
    </w:p>
    <w:p w14:paraId="4C43036B" w14:textId="77777777" w:rsidR="006A0BDB" w:rsidRDefault="006A0BDB" w:rsidP="001D2CEB">
      <w:pPr>
        <w:pStyle w:val="Base"/>
      </w:pPr>
    </w:p>
    <w:p w14:paraId="41E6EBA0" w14:textId="77777777" w:rsidR="006A0BDB" w:rsidRPr="000D3436" w:rsidRDefault="006A0BDB" w:rsidP="001D2CEB">
      <w:pPr>
        <w:pStyle w:val="Rule"/>
      </w:pPr>
      <w:r w:rsidRPr="000D3436">
        <w:t>10A NCAC 43D .0703</w:t>
      </w:r>
      <w:r w:rsidRPr="000D3436">
        <w:tab/>
        <w:t>USE OF FOOD BENEFITS</w:t>
      </w:r>
    </w:p>
    <w:p w14:paraId="52EA251A" w14:textId="77777777" w:rsidR="006A0BDB" w:rsidRPr="000D3436" w:rsidRDefault="006A0BDB" w:rsidP="001D2CEB">
      <w:pPr>
        <w:pStyle w:val="Paragraph"/>
      </w:pPr>
      <w:r w:rsidRPr="000D3436">
        <w:t>(a)  Participants may transact food benefits on any day on or between the "First Date to Spend" and "Last Date to Spend" for their certification</w:t>
      </w:r>
      <w:r>
        <w:t xml:space="preserve"> </w:t>
      </w:r>
      <w:r w:rsidRPr="000D3436">
        <w:t>period, as defined in 7 C.F.R. 246.7(g), which is incorporated by reference with all subsequent amendments and editions.</w:t>
      </w:r>
    </w:p>
    <w:p w14:paraId="7B9E3753" w14:textId="77777777" w:rsidR="006A0BDB" w:rsidRPr="000D3436" w:rsidRDefault="006A0BDB" w:rsidP="001D2CEB">
      <w:pPr>
        <w:pStyle w:val="Paragraph"/>
      </w:pPr>
      <w:r w:rsidRPr="000D3436">
        <w:t xml:space="preserve">(b)  Food benefits shall be transacted only at authorized WIC vendors in accordance with the terms of the signed WIC Vendor Agreement and WIC program rules, regulations, and statutes. Authorized WIC vendors shall not be reimbursed for food benefits that are not properly transacted as set forth in Rule .0708 of this Section. </w:t>
      </w:r>
    </w:p>
    <w:p w14:paraId="7FBD6608" w14:textId="77777777" w:rsidR="006A0BDB" w:rsidRPr="000D3436" w:rsidRDefault="006A0BDB" w:rsidP="001D2CEB">
      <w:pPr>
        <w:pStyle w:val="Paragraph"/>
      </w:pPr>
      <w:r w:rsidRPr="000D3436">
        <w:t xml:space="preserve">(c) </w:t>
      </w:r>
      <w:r>
        <w:t xml:space="preserve"> </w:t>
      </w:r>
      <w:r w:rsidRPr="000D3436">
        <w:t>Authorized WIC vendors shall have their bank account credited with payments for completed EBT transactions. Food benefits shall not be assigned, transferred, sold, or otherwise negotiated.</w:t>
      </w:r>
    </w:p>
    <w:p w14:paraId="20003CEA" w14:textId="77777777" w:rsidR="006A0BDB" w:rsidRPr="000D3436" w:rsidRDefault="006A0BDB" w:rsidP="001D2CEB">
      <w:pPr>
        <w:pStyle w:val="Base"/>
      </w:pPr>
    </w:p>
    <w:p w14:paraId="442DA829" w14:textId="77777777" w:rsidR="006A0BDB" w:rsidRPr="000D3436" w:rsidRDefault="006A0BDB" w:rsidP="001D2CEB">
      <w:pPr>
        <w:pStyle w:val="History"/>
      </w:pPr>
      <w:r w:rsidRPr="000D3436">
        <w:t>History Note:</w:t>
      </w:r>
      <w:r w:rsidRPr="000D3436">
        <w:tab/>
        <w:t>Authority G.S. 130A</w:t>
      </w:r>
      <w:r w:rsidRPr="000D3436">
        <w:noBreakHyphen/>
        <w:t>361; 7 C.F.R. 246.7; 7 C.F.R. 246.12; 42 U.S.C. 1786;</w:t>
      </w:r>
    </w:p>
    <w:p w14:paraId="26990DDB" w14:textId="77777777" w:rsidR="006A0BDB" w:rsidRPr="000D3436" w:rsidRDefault="006A0BDB" w:rsidP="001D2CEB">
      <w:pPr>
        <w:pStyle w:val="HistoryAfter"/>
      </w:pPr>
      <w:r w:rsidRPr="000D3436">
        <w:t>Eff. July 1, 1981;</w:t>
      </w:r>
    </w:p>
    <w:p w14:paraId="58B53FAE" w14:textId="77777777" w:rsidR="006A0BDB" w:rsidRPr="000D3436" w:rsidRDefault="006A0BDB" w:rsidP="001D2CEB">
      <w:pPr>
        <w:pStyle w:val="HistoryAfter"/>
      </w:pPr>
      <w:r w:rsidRPr="000D3436">
        <w:t>Amended Eff. April 1, 2001; November 1, 1990; July 1, 1989;</w:t>
      </w:r>
    </w:p>
    <w:p w14:paraId="3C58EE19" w14:textId="77777777" w:rsidR="006A0BDB" w:rsidRPr="000D3436" w:rsidRDefault="006A0BDB" w:rsidP="001D2CEB">
      <w:pPr>
        <w:pStyle w:val="HistoryAfter"/>
      </w:pPr>
      <w:r w:rsidRPr="000D3436">
        <w:t>Temporary Amendment Eff. July 1, 2002;</w:t>
      </w:r>
    </w:p>
    <w:p w14:paraId="3AB30089" w14:textId="77777777" w:rsidR="006A0BDB" w:rsidRPr="000D3436" w:rsidRDefault="006A0BDB" w:rsidP="001D2CEB">
      <w:pPr>
        <w:pStyle w:val="HistoryAfter"/>
      </w:pPr>
      <w:r w:rsidRPr="000D3436">
        <w:t>Amended Eff. October 1, 2017; October 1, 2009; August 1, 2004;</w:t>
      </w:r>
    </w:p>
    <w:p w14:paraId="00285E3E" w14:textId="77777777" w:rsidR="006A0BDB" w:rsidRPr="000D3436" w:rsidRDefault="006A0BDB" w:rsidP="001D2CEB">
      <w:pPr>
        <w:pStyle w:val="HistoryAfter"/>
      </w:pPr>
      <w:r w:rsidRPr="000D3436">
        <w:t xml:space="preserve">Pursuant to G.S. 150B-21.3A, rule is necessary without substantive public interest Eff. December 23, 2017; </w:t>
      </w:r>
    </w:p>
    <w:p w14:paraId="27B4152A" w14:textId="77777777" w:rsidR="006A0BDB" w:rsidRPr="000D3436" w:rsidRDefault="006A0BDB" w:rsidP="001D2CEB">
      <w:pPr>
        <w:pStyle w:val="HistoryAfter"/>
        <w:rPr>
          <w:highlight w:val="red"/>
        </w:rPr>
      </w:pPr>
      <w:r w:rsidRPr="000D3436">
        <w:t>Amended Eff. March 1, 2020.</w:t>
      </w:r>
    </w:p>
    <w:p w14:paraId="429CBF48" w14:textId="77777777" w:rsidR="006A0BDB" w:rsidRDefault="006A0BDB" w:rsidP="001D2CEB">
      <w:pPr>
        <w:pStyle w:val="Base"/>
      </w:pPr>
    </w:p>
    <w:p w14:paraId="1262F8E9" w14:textId="77777777" w:rsidR="006A0BDB" w:rsidRPr="00A41BB3" w:rsidRDefault="006A0BDB" w:rsidP="001D2CEB">
      <w:pPr>
        <w:pStyle w:val="Rule"/>
      </w:pPr>
      <w:r w:rsidRPr="00A41BB3">
        <w:t>10A NCAC 43D .0704</w:t>
      </w:r>
      <w:r w:rsidRPr="00A41BB3">
        <w:tab/>
        <w:t>VALIDITY OF WIC FOOD INSTRUMENTS and cash-value vouchers</w:t>
      </w:r>
    </w:p>
    <w:p w14:paraId="79F3CE9E" w14:textId="77777777" w:rsidR="006A0BDB" w:rsidRPr="00A41BB3" w:rsidRDefault="006A0BDB" w:rsidP="001D2CEB">
      <w:pPr>
        <w:pStyle w:val="Base"/>
      </w:pPr>
    </w:p>
    <w:p w14:paraId="194A8AA6" w14:textId="77777777" w:rsidR="006A0BDB" w:rsidRPr="00A41BB3" w:rsidRDefault="006A0BDB" w:rsidP="001D2CEB">
      <w:pPr>
        <w:pStyle w:val="History"/>
      </w:pPr>
      <w:r w:rsidRPr="00A41BB3">
        <w:t>History Note:</w:t>
      </w:r>
      <w:r w:rsidRPr="00A41BB3">
        <w:tab/>
        <w:t>Authority G.S. 130A-361; 7 C.F.R. 246; 42 U.S.C. 1786;</w:t>
      </w:r>
    </w:p>
    <w:p w14:paraId="5BB5B089" w14:textId="77777777" w:rsidR="006A0BDB" w:rsidRPr="00A41BB3" w:rsidRDefault="006A0BDB" w:rsidP="001D2CEB">
      <w:pPr>
        <w:pStyle w:val="HistoryAfter"/>
      </w:pPr>
      <w:r w:rsidRPr="00A41BB3">
        <w:t xml:space="preserve">Eff. </w:t>
      </w:r>
      <w:smartTag w:uri="urn:schemas-microsoft-com:office:smarttags" w:element="date">
        <w:smartTagPr>
          <w:attr w:name="Year" w:val="1981"/>
          <w:attr w:name="Day" w:val="1"/>
          <w:attr w:name="Month" w:val="7"/>
        </w:smartTagPr>
        <w:r w:rsidRPr="00A41BB3">
          <w:t>July 1, 1981</w:t>
        </w:r>
      </w:smartTag>
      <w:r w:rsidRPr="00A41BB3">
        <w:t>;</w:t>
      </w:r>
    </w:p>
    <w:p w14:paraId="64425461" w14:textId="77777777" w:rsidR="006A0BDB" w:rsidRPr="00A41BB3" w:rsidRDefault="006A0BDB" w:rsidP="001D2CEB">
      <w:pPr>
        <w:pStyle w:val="HistoryAfter"/>
      </w:pPr>
      <w:r w:rsidRPr="00A41BB3">
        <w:t xml:space="preserve">Amended Eff. </w:t>
      </w:r>
      <w:smartTag w:uri="urn:schemas-microsoft-com:office:smarttags" w:element="date">
        <w:smartTagPr>
          <w:attr w:name="Year" w:val="1989"/>
          <w:attr w:name="Day" w:val="1"/>
          <w:attr w:name="Month" w:val="7"/>
        </w:smartTagPr>
        <w:r w:rsidRPr="00A41BB3">
          <w:t>July 1, 1989</w:t>
        </w:r>
      </w:smartTag>
      <w:r w:rsidRPr="00A41BB3">
        <w:t xml:space="preserve">; </w:t>
      </w:r>
      <w:smartTag w:uri="urn:schemas-microsoft-com:office:smarttags" w:element="date">
        <w:smartTagPr>
          <w:attr w:name="Year" w:val="1985"/>
          <w:attr w:name="Day" w:val="1"/>
          <w:attr w:name="Month" w:val="7"/>
        </w:smartTagPr>
        <w:r w:rsidRPr="00A41BB3">
          <w:t>July 1, 1985</w:t>
        </w:r>
      </w:smartTag>
      <w:r w:rsidRPr="00A41BB3">
        <w:t>;</w:t>
      </w:r>
    </w:p>
    <w:p w14:paraId="5FABFA8F" w14:textId="77777777" w:rsidR="006A0BDB" w:rsidRPr="00A41BB3" w:rsidRDefault="006A0BDB" w:rsidP="001D2CEB">
      <w:pPr>
        <w:pStyle w:val="HistoryAfter"/>
      </w:pPr>
      <w:r w:rsidRPr="00A41BB3">
        <w:t xml:space="preserve">Temporary Amendment Eff. </w:t>
      </w:r>
      <w:smartTag w:uri="urn:schemas-microsoft-com:office:smarttags" w:element="date">
        <w:smartTagPr>
          <w:attr w:name="Year" w:val="2000"/>
          <w:attr w:name="Day" w:val="17"/>
          <w:attr w:name="Month" w:val="5"/>
        </w:smartTagPr>
        <w:r w:rsidRPr="00A41BB3">
          <w:t>May 17, 2000</w:t>
        </w:r>
      </w:smartTag>
      <w:r w:rsidRPr="00A41BB3">
        <w:t>;</w:t>
      </w:r>
    </w:p>
    <w:p w14:paraId="63B81A50" w14:textId="77777777" w:rsidR="006A0BDB" w:rsidRPr="00A41BB3" w:rsidRDefault="006A0BDB" w:rsidP="001D2CEB">
      <w:pPr>
        <w:pStyle w:val="HistoryAfter"/>
      </w:pPr>
      <w:r w:rsidRPr="00A41BB3">
        <w:t xml:space="preserve">Amended Eff. </w:t>
      </w:r>
      <w:smartTag w:uri="urn:schemas-microsoft-com:office:smarttags" w:element="date">
        <w:smartTagPr>
          <w:attr w:name="Year" w:val="2001"/>
          <w:attr w:name="Day" w:val="1"/>
          <w:attr w:name="Month" w:val="4"/>
        </w:smartTagPr>
        <w:r w:rsidRPr="00A41BB3">
          <w:t>April 1, 2001</w:t>
        </w:r>
      </w:smartTag>
      <w:r w:rsidRPr="00A41BB3">
        <w:t>;</w:t>
      </w:r>
    </w:p>
    <w:p w14:paraId="28D64B27" w14:textId="77777777" w:rsidR="006A0BDB" w:rsidRPr="00A41BB3" w:rsidRDefault="006A0BDB" w:rsidP="001D2CEB">
      <w:pPr>
        <w:pStyle w:val="HistoryAfter"/>
      </w:pPr>
      <w:r w:rsidRPr="00A41BB3">
        <w:t xml:space="preserve">Temporary Amendment Eff. </w:t>
      </w:r>
      <w:smartTag w:uri="urn:schemas-microsoft-com:office:smarttags" w:element="date">
        <w:smartTagPr>
          <w:attr w:name="Year" w:val="2002"/>
          <w:attr w:name="Day" w:val="1"/>
          <w:attr w:name="Month" w:val="7"/>
        </w:smartTagPr>
        <w:r w:rsidRPr="00A41BB3">
          <w:t>July 1, 2002</w:t>
        </w:r>
      </w:smartTag>
      <w:r w:rsidRPr="00A41BB3">
        <w:t>;</w:t>
      </w:r>
    </w:p>
    <w:p w14:paraId="400DD3B6" w14:textId="77777777" w:rsidR="006A0BDB" w:rsidRPr="00A41BB3" w:rsidRDefault="006A0BDB" w:rsidP="001D2CEB">
      <w:pPr>
        <w:pStyle w:val="HistoryAfter"/>
      </w:pPr>
      <w:r w:rsidRPr="00A41BB3">
        <w:t>Amended Eff. October 1, 2009; August 1, 2004;</w:t>
      </w:r>
    </w:p>
    <w:p w14:paraId="6D7FBDF6" w14:textId="77777777" w:rsidR="006A0BDB" w:rsidRPr="00A41BB3" w:rsidRDefault="006A0BDB" w:rsidP="001D2CEB">
      <w:pPr>
        <w:pStyle w:val="HistoryAfter"/>
      </w:pPr>
      <w:r w:rsidRPr="00A41BB3">
        <w:t xml:space="preserve">Pursuant to G.S. 150B-21.3A, rule is necessary without substantive public interest Eff. December 23, 2017; </w:t>
      </w:r>
    </w:p>
    <w:p w14:paraId="58A78632" w14:textId="77777777" w:rsidR="006A0BDB" w:rsidRPr="00A41BB3" w:rsidRDefault="006A0BDB" w:rsidP="001D2CEB">
      <w:pPr>
        <w:pStyle w:val="HistoryAfter"/>
      </w:pPr>
      <w:r w:rsidRPr="00A41BB3">
        <w:t>Repealed Eff. March 1, 2020.</w:t>
      </w:r>
    </w:p>
    <w:p w14:paraId="2DD40182" w14:textId="77777777" w:rsidR="006A0BDB" w:rsidRPr="00A41BB3" w:rsidRDefault="006A0BDB" w:rsidP="001D2CEB">
      <w:pPr>
        <w:pStyle w:val="Base"/>
      </w:pPr>
    </w:p>
    <w:p w14:paraId="394AADCC" w14:textId="77777777" w:rsidR="006A0BDB" w:rsidRPr="00887D88" w:rsidRDefault="006A0BDB" w:rsidP="001D2CEB">
      <w:pPr>
        <w:pStyle w:val="Rule"/>
      </w:pPr>
      <w:r w:rsidRPr="00887D88">
        <w:t>10A NCAC 43D .0705</w:t>
      </w:r>
      <w:r w:rsidRPr="00887D88">
        <w:tab/>
        <w:t>PAYMENT OF WIC FOOD BENEFITS</w:t>
      </w:r>
    </w:p>
    <w:p w14:paraId="00FA2F39" w14:textId="77777777" w:rsidR="006A0BDB" w:rsidRPr="00887D88" w:rsidRDefault="006A0BDB" w:rsidP="001D2CEB">
      <w:pPr>
        <w:pStyle w:val="Paragraph"/>
      </w:pPr>
      <w:r w:rsidRPr="00887D88">
        <w:t>The State of North Carolina shall:</w:t>
      </w:r>
    </w:p>
    <w:p w14:paraId="18F25575" w14:textId="77777777" w:rsidR="006A0BDB" w:rsidRPr="00887D88" w:rsidRDefault="006A0BDB" w:rsidP="001D2CEB">
      <w:pPr>
        <w:pStyle w:val="Item"/>
        <w:tabs>
          <w:tab w:val="clear" w:pos="1800"/>
        </w:tabs>
      </w:pPr>
      <w:r w:rsidRPr="00887D88">
        <w:t>(1)</w:t>
      </w:r>
      <w:r w:rsidRPr="00887D88">
        <w:tab/>
        <w:t>accept EBT transactions for North Carolina WIC food benefits through the Federal Reserve and commercial banking systems;</w:t>
      </w:r>
    </w:p>
    <w:p w14:paraId="23C52261" w14:textId="77777777" w:rsidR="006A0BDB" w:rsidRPr="00887D88" w:rsidRDefault="006A0BDB" w:rsidP="001D2CEB">
      <w:pPr>
        <w:pStyle w:val="Item"/>
        <w:tabs>
          <w:tab w:val="clear" w:pos="1800"/>
        </w:tabs>
      </w:pPr>
      <w:r w:rsidRPr="00887D88">
        <w:t>(2)</w:t>
      </w:r>
      <w:r w:rsidRPr="00887D88">
        <w:tab/>
        <w:t>provide payment for all valid WIC food benefits. To the extent that funds are available in the WIC disbursing account, payment shall be provided by the Department of Health and Human Services.</w:t>
      </w:r>
      <w:r>
        <w:t xml:space="preserve"> </w:t>
      </w:r>
    </w:p>
    <w:p w14:paraId="5CC49D0B" w14:textId="77777777" w:rsidR="006A0BDB" w:rsidRPr="00887D88" w:rsidRDefault="006A0BDB" w:rsidP="001D2CEB">
      <w:pPr>
        <w:pStyle w:val="Base"/>
      </w:pPr>
    </w:p>
    <w:p w14:paraId="7DC9A139" w14:textId="77777777" w:rsidR="006A0BDB" w:rsidRPr="00887D88" w:rsidRDefault="006A0BDB" w:rsidP="001D2CEB">
      <w:pPr>
        <w:pStyle w:val="History"/>
      </w:pPr>
      <w:r w:rsidRPr="00887D88">
        <w:t>History Note:</w:t>
      </w:r>
      <w:r w:rsidRPr="00887D88">
        <w:tab/>
        <w:t>Authority G.S. 130A</w:t>
      </w:r>
      <w:r w:rsidRPr="00887D88">
        <w:noBreakHyphen/>
        <w:t>361; 42 U.S.C. 1786; 7 C.F.R. 246.12;</w:t>
      </w:r>
    </w:p>
    <w:p w14:paraId="3B3AF15B" w14:textId="77777777" w:rsidR="006A0BDB" w:rsidRPr="00887D88" w:rsidRDefault="006A0BDB" w:rsidP="001D2CEB">
      <w:pPr>
        <w:pStyle w:val="HistoryAfter"/>
      </w:pPr>
      <w:r w:rsidRPr="00887D88">
        <w:t>Eff. July 1, 1981;</w:t>
      </w:r>
    </w:p>
    <w:p w14:paraId="5F4A0E64" w14:textId="77777777" w:rsidR="006A0BDB" w:rsidRPr="00887D88" w:rsidRDefault="006A0BDB" w:rsidP="001D2CEB">
      <w:pPr>
        <w:pStyle w:val="HistoryAfter"/>
      </w:pPr>
      <w:r w:rsidRPr="00887D88">
        <w:t>Amended Eff. October 1, 2009; April 1, 2001;</w:t>
      </w:r>
    </w:p>
    <w:p w14:paraId="37170678" w14:textId="77777777" w:rsidR="006A0BDB" w:rsidRPr="00887D88" w:rsidRDefault="006A0BDB" w:rsidP="001D2CEB">
      <w:pPr>
        <w:pStyle w:val="HistoryAfter"/>
      </w:pPr>
      <w:r w:rsidRPr="00887D88">
        <w:t xml:space="preserve">Pursuant to G.S. 150B-21.3A, rule is necessary without substantive public interest Eff. December 23, 2017; </w:t>
      </w:r>
    </w:p>
    <w:p w14:paraId="095FF1E7" w14:textId="77777777" w:rsidR="006A0BDB" w:rsidRPr="00887D88" w:rsidRDefault="006A0BDB" w:rsidP="001D2CEB">
      <w:pPr>
        <w:pStyle w:val="HistoryAfter"/>
        <w:rPr>
          <w:highlight w:val="red"/>
        </w:rPr>
      </w:pPr>
      <w:r w:rsidRPr="00887D88">
        <w:t>Amended Eff. March 1, 2020.</w:t>
      </w:r>
    </w:p>
    <w:p w14:paraId="40CFE942" w14:textId="77777777" w:rsidR="006A0BDB" w:rsidRDefault="006A0BDB" w:rsidP="001D2CEB">
      <w:pPr>
        <w:pStyle w:val="Base"/>
      </w:pPr>
    </w:p>
    <w:p w14:paraId="0334679D" w14:textId="77777777" w:rsidR="006A0BDB" w:rsidRPr="000E49FE" w:rsidRDefault="006A0BDB" w:rsidP="001D2CEB">
      <w:pPr>
        <w:pStyle w:val="Rule"/>
      </w:pPr>
      <w:r w:rsidRPr="000E49FE">
        <w:t>10A NCAC 43D .0706</w:t>
      </w:r>
      <w:r w:rsidRPr="000E49FE">
        <w:tab/>
        <w:t>VENDOR PEER GROUPS</w:t>
      </w:r>
    </w:p>
    <w:p w14:paraId="0C77B553" w14:textId="77777777" w:rsidR="006A0BDB" w:rsidRPr="000E49FE" w:rsidRDefault="006A0BDB" w:rsidP="001D2CEB">
      <w:pPr>
        <w:pStyle w:val="Paragraph"/>
      </w:pPr>
      <w:r w:rsidRPr="000E49FE">
        <w:t>Vendor applicants and authorized vendors shall be placed into peer groups in accordance with as follows:</w:t>
      </w:r>
    </w:p>
    <w:p w14:paraId="6773E8F9" w14:textId="77777777" w:rsidR="006A0BDB" w:rsidRPr="000E49FE" w:rsidRDefault="006A0BDB" w:rsidP="001D2CEB">
      <w:pPr>
        <w:pStyle w:val="Item"/>
        <w:tabs>
          <w:tab w:val="clear" w:pos="1800"/>
        </w:tabs>
      </w:pPr>
      <w:r w:rsidRPr="000E49FE">
        <w:t>(1)</w:t>
      </w:r>
      <w:r w:rsidRPr="000E49FE">
        <w:tab/>
        <w:t xml:space="preserve">When annual WIC supplemental food sales are not yet available due to a vendor being newly authorized, vendor applicants and authorized vendors, excluding chain stores, stores under a WIC corporate agreement, military commissaries, and free-standing pharmacies, </w:t>
      </w:r>
      <w:r w:rsidRPr="000E49FE">
        <w:lastRenderedPageBreak/>
        <w:t xml:space="preserve">shall be placed into peer groups based on the number of cash registers in the store and the geographic location of the store until annual WIC supplemental food sales become available. </w:t>
      </w:r>
    </w:p>
    <w:p w14:paraId="64BD95A7" w14:textId="77777777" w:rsidR="006A0BDB" w:rsidRPr="000E49FE" w:rsidRDefault="006A0BDB" w:rsidP="001D2CEB">
      <w:pPr>
        <w:pStyle w:val="Item"/>
        <w:tabs>
          <w:tab w:val="clear" w:pos="1800"/>
        </w:tabs>
        <w:ind w:firstLine="0"/>
      </w:pPr>
      <w:r w:rsidRPr="000E49FE">
        <w:t xml:space="preserve">WIC sales figures of new authorized WIC vendors shall be reviewed six months from authorization. A vendor whose first six months of WIC sales exceed </w:t>
      </w:r>
      <w:proofErr w:type="gramStart"/>
      <w:r w:rsidRPr="000E49FE">
        <w:t>twenty five</w:t>
      </w:r>
      <w:proofErr w:type="gramEnd"/>
      <w:r w:rsidRPr="000E49FE">
        <w:t xml:space="preserve"> thousand dollars ($25,000) shall be placed in a peer group based on redemption.</w:t>
      </w:r>
    </w:p>
    <w:p w14:paraId="5823063A" w14:textId="77777777" w:rsidR="006A0BDB" w:rsidRPr="000E49FE" w:rsidRDefault="006A0BDB" w:rsidP="001D2CEB">
      <w:pPr>
        <w:pStyle w:val="Item"/>
        <w:tabs>
          <w:tab w:val="clear" w:pos="1800"/>
        </w:tabs>
      </w:pPr>
      <w:r w:rsidRPr="000E49FE">
        <w:t>(2)</w:t>
      </w:r>
      <w:r w:rsidRPr="000E49FE">
        <w:tab/>
        <w:t>Authorized vendors for which annual WIC supplemental food sales are available, including chain stores, stores under a WIC corporate agreement, military commissaries, and free-standing pharmacies, shall be placed into peer groups, as set forth in 7 CFR 246.12(g)(4) and 7 CFR 246.12(h)(3), which is adopted and incorporated by reference with subsequent changes or amendments and available free of charge at https://www.ecfr.gov/.</w:t>
      </w:r>
    </w:p>
    <w:p w14:paraId="52B2C1C0" w14:textId="77777777" w:rsidR="006A0BDB" w:rsidRPr="000E49FE" w:rsidRDefault="006A0BDB" w:rsidP="001D2CEB">
      <w:pPr>
        <w:pStyle w:val="Item"/>
        <w:tabs>
          <w:tab w:val="clear" w:pos="1800"/>
        </w:tabs>
      </w:pPr>
      <w:r w:rsidRPr="000E49FE">
        <w:t>(3)</w:t>
      </w:r>
      <w:r w:rsidRPr="000E49FE">
        <w:tab/>
        <w:t>"Annual WIC supplemental food sales" is the dollar amount an authorized vendor redeems in WIC food benefits within a 12-month period.</w:t>
      </w:r>
    </w:p>
    <w:p w14:paraId="2EBFC50F" w14:textId="77777777" w:rsidR="006A0BDB" w:rsidRPr="000E49FE" w:rsidRDefault="006A0BDB" w:rsidP="001D2CEB">
      <w:pPr>
        <w:pStyle w:val="Item"/>
        <w:tabs>
          <w:tab w:val="clear" w:pos="1800"/>
        </w:tabs>
      </w:pPr>
      <w:r w:rsidRPr="000E49FE">
        <w:t>(4)</w:t>
      </w:r>
      <w:r w:rsidRPr="000E49FE">
        <w:tab/>
        <w:t>In determining a vendor's peer group designation based on annual WIC supplemental food sales, the State agency shall look at the most recent 12-month period of redemption data.</w:t>
      </w:r>
    </w:p>
    <w:p w14:paraId="0DF78FEB" w14:textId="77777777" w:rsidR="006A0BDB" w:rsidRPr="000E49FE" w:rsidRDefault="006A0BDB" w:rsidP="001D2CEB">
      <w:pPr>
        <w:pStyle w:val="Item"/>
        <w:tabs>
          <w:tab w:val="clear" w:pos="1800"/>
        </w:tabs>
      </w:pPr>
      <w:r w:rsidRPr="000E49FE">
        <w:t>(5)</w:t>
      </w:r>
      <w:r>
        <w:tab/>
      </w:r>
      <w:r w:rsidRPr="000E49FE">
        <w:t>If the State agency determines that a vendor applicant is expected to be a predominantly WIC vendor as defined in Rule .0202 of this Subchapter, the vendor application shall be denied. The store must wait 90 days to reapply for vendor authorization. The State agency shall apply the methodology set forth in 7 CFR 246.12(g)(4)(i)(E) for determining whether a vendor applicant is expected to be a predominantly WIC vendor.</w:t>
      </w:r>
    </w:p>
    <w:p w14:paraId="6D58D813" w14:textId="77777777" w:rsidR="006A0BDB" w:rsidRPr="000E49FE" w:rsidRDefault="006A0BDB" w:rsidP="001D2CEB">
      <w:pPr>
        <w:pStyle w:val="Item"/>
        <w:tabs>
          <w:tab w:val="clear" w:pos="1800"/>
        </w:tabs>
      </w:pPr>
      <w:r w:rsidRPr="000E49FE">
        <w:t>(6)</w:t>
      </w:r>
      <w:r>
        <w:tab/>
      </w:r>
      <w:r w:rsidRPr="000E49FE">
        <w:t>If at any time during a vendor's authorization the State agency determines that the vendor has become a predominantly WIC vendor as defined in Rule .0202 of this Subchapter, the vendor's WIC Vendor Agreement shall be terminated. The store shall wait 90 days to reapply for vendor authorization. The State agency shall apply the methodology set forth in 7 CFR 246.12(g)(4)(i)(F) for determining whether an authorized vendor has become a predominantly WIC vendor.</w:t>
      </w:r>
    </w:p>
    <w:p w14:paraId="04664977" w14:textId="77777777" w:rsidR="006A0BDB" w:rsidRPr="000E49FE" w:rsidRDefault="006A0BDB" w:rsidP="001D2CEB">
      <w:pPr>
        <w:pStyle w:val="Item"/>
        <w:tabs>
          <w:tab w:val="clear" w:pos="1800"/>
        </w:tabs>
      </w:pPr>
      <w:r w:rsidRPr="000E49FE">
        <w:t>(7)</w:t>
      </w:r>
      <w:r>
        <w:tab/>
      </w:r>
      <w:r w:rsidRPr="000E49FE">
        <w:t xml:space="preserve">A vendor applicant previously authorized in a peer group based on annual WIC supplemental food sales that is being reauthorized following the nonrenewal or termination of its agreement or disqualification or withdrawal from the WIC Program shall be placed into the same peer group the vendor applicant was previously in, provided that no more than one year has passed </w:t>
      </w:r>
      <w:r w:rsidRPr="000E49FE">
        <w:t>since the nonrenewal, termination, disqualification or withdrawal. If more than one year has passed, the vendor applicant shall be placed into a peer group using criteria for new vendor applicants as set forth in Item (1) of this Rule.</w:t>
      </w:r>
    </w:p>
    <w:p w14:paraId="631D17BF" w14:textId="77777777" w:rsidR="006A0BDB" w:rsidRPr="000E49FE" w:rsidRDefault="006A0BDB" w:rsidP="001D2CEB">
      <w:pPr>
        <w:pStyle w:val="Base"/>
      </w:pPr>
    </w:p>
    <w:p w14:paraId="6E24D918" w14:textId="77777777" w:rsidR="006A0BDB" w:rsidRPr="000E49FE" w:rsidRDefault="006A0BDB" w:rsidP="001D2CEB">
      <w:pPr>
        <w:pStyle w:val="History"/>
      </w:pPr>
      <w:r w:rsidRPr="000E49FE">
        <w:t>History Note:</w:t>
      </w:r>
      <w:r w:rsidRPr="000E49FE">
        <w:tab/>
        <w:t>Authority G.S. 130A-361; 7 C.F.R. 246.12; 42 U.S.C. 1786;</w:t>
      </w:r>
    </w:p>
    <w:p w14:paraId="16A95E57" w14:textId="77777777" w:rsidR="006A0BDB" w:rsidRPr="000E49FE" w:rsidRDefault="006A0BDB" w:rsidP="001D2CEB">
      <w:pPr>
        <w:pStyle w:val="HistoryAfter"/>
      </w:pPr>
      <w:r w:rsidRPr="000E49FE">
        <w:t>Eff. July 1, 1981;</w:t>
      </w:r>
    </w:p>
    <w:p w14:paraId="7A94E361" w14:textId="77777777" w:rsidR="006A0BDB" w:rsidRPr="000E49FE" w:rsidRDefault="006A0BDB" w:rsidP="001D2CEB">
      <w:pPr>
        <w:pStyle w:val="HistoryAfter"/>
      </w:pPr>
      <w:r w:rsidRPr="000E49FE">
        <w:t>Amended Eff. August 1, 1995; October 1, 1993; May 1, 1991; December 1, 1990;</w:t>
      </w:r>
    </w:p>
    <w:p w14:paraId="3CE3EDC9" w14:textId="77777777" w:rsidR="006A0BDB" w:rsidRPr="000E49FE" w:rsidRDefault="006A0BDB" w:rsidP="001D2CEB">
      <w:pPr>
        <w:pStyle w:val="HistoryAfter"/>
      </w:pPr>
      <w:r w:rsidRPr="000E49FE">
        <w:t>Temporary Amendment Eff. June 23, 2000; May 17, 2000;</w:t>
      </w:r>
    </w:p>
    <w:p w14:paraId="0F260114" w14:textId="77777777" w:rsidR="006A0BDB" w:rsidRPr="000E49FE" w:rsidRDefault="006A0BDB" w:rsidP="001D2CEB">
      <w:pPr>
        <w:pStyle w:val="HistoryAfter"/>
      </w:pPr>
      <w:r w:rsidRPr="000E49FE">
        <w:t>Amended Eff. April 1, 2001;</w:t>
      </w:r>
    </w:p>
    <w:p w14:paraId="40041390" w14:textId="77777777" w:rsidR="006A0BDB" w:rsidRPr="000E49FE" w:rsidRDefault="006A0BDB" w:rsidP="001D2CEB">
      <w:pPr>
        <w:pStyle w:val="HistoryAfter"/>
      </w:pPr>
      <w:r w:rsidRPr="000E49FE">
        <w:t>Temporary Amendment Eff. September 1, 2002; July 1, 2002;</w:t>
      </w:r>
    </w:p>
    <w:p w14:paraId="776F5719" w14:textId="77777777" w:rsidR="006A0BDB" w:rsidRPr="000E49FE" w:rsidRDefault="006A0BDB" w:rsidP="001D2CEB">
      <w:pPr>
        <w:pStyle w:val="HistoryAfter"/>
      </w:pPr>
      <w:r w:rsidRPr="000E49FE">
        <w:t>Amended Eff. November 1, 2005; August 1, 2004;</w:t>
      </w:r>
    </w:p>
    <w:p w14:paraId="056D477B" w14:textId="77777777" w:rsidR="006A0BDB" w:rsidRPr="000E49FE" w:rsidRDefault="006A0BDB" w:rsidP="001D2CEB">
      <w:pPr>
        <w:pStyle w:val="HistoryAfter"/>
      </w:pPr>
      <w:r w:rsidRPr="000E49FE">
        <w:t>Temporary Amendment Eff. July 1, 2006;</w:t>
      </w:r>
    </w:p>
    <w:p w14:paraId="4C5BF4A7" w14:textId="77777777" w:rsidR="006A0BDB" w:rsidRPr="000E49FE" w:rsidRDefault="006A0BDB" w:rsidP="001D2CEB">
      <w:pPr>
        <w:pStyle w:val="HistoryAfter"/>
      </w:pPr>
      <w:r w:rsidRPr="000E49FE">
        <w:t>Amended Eff. February 1, 2013; October 1, 2009; February 1, 2008; April 1, 2007;</w:t>
      </w:r>
    </w:p>
    <w:p w14:paraId="7EC582A1" w14:textId="77777777" w:rsidR="006A0BDB" w:rsidRPr="000E49FE" w:rsidRDefault="006A0BDB" w:rsidP="001D2CEB">
      <w:pPr>
        <w:pStyle w:val="HistoryAfter"/>
      </w:pPr>
      <w:r w:rsidRPr="000E49FE">
        <w:t xml:space="preserve">Pursuant to G.S. 150B-21.3A, rule is necessary without substantive public interest Eff. December 23, 2017; </w:t>
      </w:r>
    </w:p>
    <w:p w14:paraId="7A316421" w14:textId="77777777" w:rsidR="006A0BDB" w:rsidRPr="000E49FE" w:rsidRDefault="006A0BDB" w:rsidP="001D2CEB">
      <w:pPr>
        <w:pStyle w:val="HistoryAfter"/>
      </w:pPr>
      <w:r w:rsidRPr="000E49FE">
        <w:t>Amended Eff. March 1, 2020.</w:t>
      </w:r>
    </w:p>
    <w:p w14:paraId="53DB39C0" w14:textId="77777777" w:rsidR="006A0BDB" w:rsidRDefault="006A0BDB" w:rsidP="001D2CEB">
      <w:pPr>
        <w:pStyle w:val="Base"/>
      </w:pPr>
    </w:p>
    <w:p w14:paraId="1C436D05" w14:textId="77777777" w:rsidR="006A0BDB" w:rsidRPr="00BF001B" w:rsidRDefault="006A0BDB" w:rsidP="001D2CEB">
      <w:pPr>
        <w:pStyle w:val="Rule"/>
      </w:pPr>
      <w:r w:rsidRPr="00BF001B">
        <w:t>10A NCAC 43D .0707</w:t>
      </w:r>
      <w:r w:rsidRPr="00BF001B">
        <w:tab/>
        <w:t>VENDOR APPLICANTS</w:t>
      </w:r>
    </w:p>
    <w:p w14:paraId="61BA0C5E" w14:textId="77777777" w:rsidR="006A0BDB" w:rsidRPr="00BF001B" w:rsidRDefault="006A0BDB" w:rsidP="001D2CEB">
      <w:pPr>
        <w:pStyle w:val="Paragraph"/>
      </w:pPr>
      <w:r w:rsidRPr="00BF001B">
        <w:t>To become authorized as a WIC vendor, a vendor applicant shall comply with the following vendor selection criteria:</w:t>
      </w:r>
    </w:p>
    <w:p w14:paraId="39794ACA" w14:textId="77777777" w:rsidR="006A0BDB" w:rsidRPr="00BF001B" w:rsidRDefault="006A0BDB" w:rsidP="001D2CEB">
      <w:pPr>
        <w:pStyle w:val="Item"/>
        <w:tabs>
          <w:tab w:val="clear" w:pos="1800"/>
        </w:tabs>
        <w:rPr>
          <w:b/>
        </w:rPr>
      </w:pPr>
      <w:r w:rsidRPr="00BF001B">
        <w:t>(1)</w:t>
      </w:r>
      <w:r w:rsidRPr="00BF001B">
        <w:tab/>
        <w:t>A vendor applicant shall complete a WIC Vendor Application, as set forth in Item (20) of this Rule, a WIC Price List, as set forth in Item (4) of this Rule</w:t>
      </w:r>
      <w:r w:rsidRPr="00BF001B">
        <w:rPr>
          <w:b/>
        </w:rPr>
        <w:t xml:space="preserve">, </w:t>
      </w:r>
      <w:r w:rsidRPr="00BF001B">
        <w:t>and a WIC Vendor Agreement, as set forth in 7 C.F.R. 246.12(h)(3). A vendor applicant shall submit its current highest shelf price for each WIC supplemental food listed on the WIC Price List, as set forth in Item (4) of this Rule</w:t>
      </w:r>
      <w:r w:rsidRPr="00BF001B">
        <w:rPr>
          <w:b/>
        </w:rPr>
        <w:t>.</w:t>
      </w:r>
    </w:p>
    <w:p w14:paraId="7D36FCA6" w14:textId="77777777" w:rsidR="006A0BDB" w:rsidRPr="00BF001B" w:rsidRDefault="006A0BDB" w:rsidP="001D2CEB">
      <w:pPr>
        <w:pStyle w:val="Item"/>
        <w:tabs>
          <w:tab w:val="clear" w:pos="1800"/>
        </w:tabs>
      </w:pPr>
      <w:r w:rsidRPr="00BF001B">
        <w:t>(2)</w:t>
      </w:r>
      <w:r w:rsidRPr="00BF001B">
        <w:tab/>
        <w:t>A vendor applicant, at the time of application and throughout the term of authorization, shall submit all completed forms to the local WIC agency, except that a corporate entity operating under a WIC corporate agreement shall submit one completed WIC corporate agreement and the WIC Price Lists to the State agency and a separate WIC Vendor Application for each store to the local WIC agency. A corporate entity operating under a WIC corporate agreement may submit a single WIC Price List for those stores that have the same prices for WIC supplemental foods in each store, rather than submitting a separate WIC Price List for each store.</w:t>
      </w:r>
    </w:p>
    <w:p w14:paraId="41876145" w14:textId="77777777" w:rsidR="006A0BDB" w:rsidRPr="00BF001B" w:rsidRDefault="006A0BDB" w:rsidP="001D2CEB">
      <w:pPr>
        <w:pStyle w:val="Item"/>
        <w:tabs>
          <w:tab w:val="clear" w:pos="1800"/>
        </w:tabs>
      </w:pPr>
      <w:r w:rsidRPr="00BF001B">
        <w:t>(3)</w:t>
      </w:r>
      <w:r w:rsidRPr="00BF001B">
        <w:tab/>
        <w:t>A vendor applicant shall purchase all infant formula, exempt infant formula, and WIC-eligible nutritionals directly from:</w:t>
      </w:r>
    </w:p>
    <w:p w14:paraId="01AB5C60" w14:textId="77777777" w:rsidR="006A0BDB" w:rsidRPr="00BF001B" w:rsidRDefault="006A0BDB" w:rsidP="001D2CEB">
      <w:pPr>
        <w:pStyle w:val="SubItemLvl1"/>
        <w:tabs>
          <w:tab w:val="clear" w:pos="2520"/>
        </w:tabs>
      </w:pPr>
      <w:r w:rsidRPr="00BF001B">
        <w:t>(a)</w:t>
      </w:r>
      <w:r w:rsidRPr="00BF001B">
        <w:tab/>
        <w:t>The sources specified in 42 U.S.C 1786(h)(8)(A)(ix), which is incorporated by reference with all subsequent amendments and editions;</w:t>
      </w:r>
    </w:p>
    <w:p w14:paraId="26038D38" w14:textId="77777777" w:rsidR="006A0BDB" w:rsidRPr="00BF001B" w:rsidRDefault="006A0BDB" w:rsidP="001D2CEB">
      <w:pPr>
        <w:pStyle w:val="SubItemLvl1"/>
        <w:tabs>
          <w:tab w:val="clear" w:pos="2520"/>
        </w:tabs>
      </w:pPr>
      <w:r w:rsidRPr="00BF001B">
        <w:lastRenderedPageBreak/>
        <w:t>(b)</w:t>
      </w:r>
      <w:r w:rsidRPr="00BF001B">
        <w:tab/>
        <w:t>Retail food stores that purchase directly from the sources referenced in Sub-item (3)(a) of this Item; or</w:t>
      </w:r>
    </w:p>
    <w:p w14:paraId="714D559D" w14:textId="77777777" w:rsidR="006A0BDB" w:rsidRPr="00BF001B" w:rsidRDefault="006A0BDB" w:rsidP="001D2CEB">
      <w:pPr>
        <w:pStyle w:val="SubItemLvl1"/>
        <w:tabs>
          <w:tab w:val="clear" w:pos="2520"/>
        </w:tabs>
      </w:pPr>
      <w:r w:rsidRPr="00BF001B">
        <w:t>(c)</w:t>
      </w:r>
      <w:r w:rsidRPr="00BF001B">
        <w:tab/>
        <w:t>A source on another state's list of approved infant formula sources as verified by that state's agency.</w:t>
      </w:r>
    </w:p>
    <w:p w14:paraId="3EDA68B0" w14:textId="77777777" w:rsidR="006A0BDB" w:rsidRPr="00BF001B" w:rsidRDefault="006A0BDB" w:rsidP="001D2CEB">
      <w:pPr>
        <w:pStyle w:val="Item"/>
        <w:ind w:firstLine="0"/>
      </w:pPr>
      <w:r w:rsidRPr="00BF001B">
        <w:t>A vendor applicant shall make available to the State or local WIC agency invoices or receipts documenting purchases of all infant formula, exempt infant formula, and WIC-eligible nutritionals. Receipts and invoices shall satisfy the requirements of Sub-items (24)(a) through (24)(c) of Rule .0708 of this Section. A vendor applicant shall not be authorized if within the last year the vendor applicant had a previous WIC Vendor Agreement terminated for failure to purchase infant formula, exempt infant formula, or WIC-eligible nutritionals from the sources specified in this Item. A vendor applicant shall not be authorized if within the last year the vendor applicant had a previous WIC Vendor Agreement terminated for providing infant formula, exempt infant formula, or WIC-eligible nutritionals to WIC customers that was not purchased from the sources specified in this Item.</w:t>
      </w:r>
    </w:p>
    <w:p w14:paraId="5BEEFD21" w14:textId="77777777" w:rsidR="006A0BDB" w:rsidRPr="00BF001B" w:rsidRDefault="006A0BDB" w:rsidP="001D2CEB">
      <w:pPr>
        <w:pStyle w:val="Item"/>
        <w:tabs>
          <w:tab w:val="clear" w:pos="1800"/>
        </w:tabs>
      </w:pPr>
      <w:r w:rsidRPr="00BF001B">
        <w:t>(4)</w:t>
      </w:r>
      <w:r w:rsidRPr="00BF001B">
        <w:tab/>
        <w:t>A vendor applicant's current highest shelf price for each WIC supplemental food listed on the WIC Price List shall not exceed the maximum price set by the State agency for each supplemental food within that vendor applicant's peer group, except as provided in Sub-item (4)(b) of this Item. The maximum price for each supplemental food shall be established as follows:</w:t>
      </w:r>
    </w:p>
    <w:p w14:paraId="7A71C8FB" w14:textId="77777777" w:rsidR="006A0BDB" w:rsidRPr="00BF001B" w:rsidRDefault="006A0BDB" w:rsidP="001D2CEB">
      <w:pPr>
        <w:pStyle w:val="SubItemLvl1"/>
        <w:tabs>
          <w:tab w:val="clear" w:pos="2520"/>
        </w:tabs>
      </w:pPr>
      <w:r w:rsidRPr="00BF001B">
        <w:t>(a)</w:t>
      </w:r>
      <w:r w:rsidRPr="00BF001B">
        <w:tab/>
        <w:t>The most recent prices submitted through the EBT system by authorized vendors within the same peer group shall be used to determine the maximum price for each supplemental food. The maximum price shall be two standard deviations above the average current highest shelf price of each supplemental food within a vendor peer group. The State agency shall reassess the maximum price set for each supplemental food at least four times a year.</w:t>
      </w:r>
    </w:p>
    <w:p w14:paraId="7A3837E5" w14:textId="77777777" w:rsidR="006A0BDB" w:rsidRPr="00BF001B" w:rsidRDefault="006A0BDB" w:rsidP="001D2CEB">
      <w:pPr>
        <w:pStyle w:val="SubItemLvl1"/>
        <w:tabs>
          <w:tab w:val="clear" w:pos="2520"/>
        </w:tabs>
      </w:pPr>
      <w:r w:rsidRPr="00BF001B">
        <w:t>(b)</w:t>
      </w:r>
      <w:r w:rsidRPr="00BF001B">
        <w:tab/>
        <w:t xml:space="preserve">If any of the vendor applicant's price(s) on its WIC Price List exceed the maximum price(s) set by the State agency for that applicant's peer group, the State agency shall send the applicant written notice. Within 30 days of the date of receipt of the written notice, the vendor applicant may resubmit price(s) that it will charge the State WIC Program for those foods that exceeded the </w:t>
      </w:r>
      <w:r w:rsidRPr="00BF001B">
        <w:t>maximum price(s). If none of the vendor applicant's resubmitted prices exceed the maximum prices set by the State agency, the vendor applicant shall be deemed to have met the requirements of Item (4) of this Rule. If any of the vendor applicant's resubmitted prices still exceed the maximum prices set by the State agency, or the vendor applicant does not resubmit prices within 30 days of the date of receipt of the written notice, the agency shall send the applicant a written notice of denial. The vendor applicant shall wait 90 days from the date of receipt of the written denial to reapply for authorization.</w:t>
      </w:r>
    </w:p>
    <w:p w14:paraId="59C54FFD" w14:textId="77777777" w:rsidR="006A0BDB" w:rsidRPr="00BF001B" w:rsidRDefault="006A0BDB" w:rsidP="001D2CEB">
      <w:pPr>
        <w:pStyle w:val="Item"/>
        <w:tabs>
          <w:tab w:val="clear" w:pos="1800"/>
        </w:tabs>
      </w:pPr>
      <w:r w:rsidRPr="00BF001B">
        <w:t>(5)</w:t>
      </w:r>
      <w:r w:rsidRPr="00BF001B">
        <w:tab/>
        <w:t>A vendor applicant shall pass an announced monitoring review by the local WIC agency to determine whether the store has minimum inventory of supplemental foods as specified in Item (17) of Rule .0708 of this Section. A vendor applicant that fails this review shall be allowed a second opportunity for an unannounced monitoring review within 14 days. If the applicant fails both reviews, the application shall be denied in writing and the applicant shall wait 90 days from the date of the second monitoring review before submitting a new application.</w:t>
      </w:r>
    </w:p>
    <w:p w14:paraId="019A8A3C" w14:textId="77777777" w:rsidR="006A0BDB" w:rsidRPr="00BF001B" w:rsidRDefault="006A0BDB" w:rsidP="001D2CEB">
      <w:pPr>
        <w:pStyle w:val="Item"/>
        <w:tabs>
          <w:tab w:val="clear" w:pos="1800"/>
        </w:tabs>
      </w:pPr>
      <w:r w:rsidRPr="00BF001B">
        <w:t>(6)</w:t>
      </w:r>
      <w:r w:rsidRPr="00BF001B">
        <w:tab/>
        <w:t xml:space="preserve">A vendor applicant shall either </w:t>
      </w:r>
      <w:proofErr w:type="gramStart"/>
      <w:r w:rsidRPr="00BF001B">
        <w:t>attend, or</w:t>
      </w:r>
      <w:proofErr w:type="gramEnd"/>
      <w:r w:rsidRPr="00BF001B">
        <w:t xml:space="preserve"> cause a manager or another authorized store representative to attend, WIC Vendor Training provided by the local WIC agency prior to vendor authorization and ensure that the vendor applicant's employees receive instruction in WIC program procedures and requirements.</w:t>
      </w:r>
    </w:p>
    <w:p w14:paraId="20B5D3CD" w14:textId="77777777" w:rsidR="006A0BDB" w:rsidRPr="00BF001B" w:rsidRDefault="006A0BDB" w:rsidP="001D2CEB">
      <w:pPr>
        <w:pStyle w:val="Item"/>
        <w:tabs>
          <w:tab w:val="clear" w:pos="1800"/>
        </w:tabs>
      </w:pPr>
      <w:r w:rsidRPr="00BF001B">
        <w:t>(7)</w:t>
      </w:r>
      <w:r w:rsidRPr="00BF001B">
        <w:tab/>
        <w:t xml:space="preserve">An applicant </w:t>
      </w:r>
      <w:proofErr w:type="gramStart"/>
      <w:r w:rsidRPr="00BF001B">
        <w:t>shall mark the current shelf prices of all WIC supplemental foods on the foods or have the prices posted on the shelf or display case at all times</w:t>
      </w:r>
      <w:proofErr w:type="gramEnd"/>
      <w:r w:rsidRPr="00BF001B">
        <w:t>.</w:t>
      </w:r>
    </w:p>
    <w:p w14:paraId="7A8B1532" w14:textId="77777777" w:rsidR="006A0BDB" w:rsidRPr="00BF001B" w:rsidRDefault="006A0BDB" w:rsidP="001D2CEB">
      <w:pPr>
        <w:pStyle w:val="Item"/>
        <w:tabs>
          <w:tab w:val="clear" w:pos="1800"/>
        </w:tabs>
      </w:pPr>
      <w:r w:rsidRPr="00BF001B">
        <w:t>(8)</w:t>
      </w:r>
      <w:r w:rsidRPr="00BF001B">
        <w:tab/>
        <w:t>The store shall be at a single, fixed location within North Carolina. The store shall be located at the address indicated on the WIC vendor application and shall be the site where WIC supplemental foods are selected by the WIC customer.</w:t>
      </w:r>
    </w:p>
    <w:p w14:paraId="44B90D92" w14:textId="77777777" w:rsidR="006A0BDB" w:rsidRPr="00BF001B" w:rsidRDefault="006A0BDB" w:rsidP="001D2CEB">
      <w:pPr>
        <w:pStyle w:val="Item"/>
        <w:tabs>
          <w:tab w:val="clear" w:pos="1800"/>
        </w:tabs>
      </w:pPr>
      <w:r w:rsidRPr="00BF001B">
        <w:t>(9)</w:t>
      </w:r>
      <w:r w:rsidRPr="00BF001B">
        <w:tab/>
        <w:t>A vendor applicant shall use point of sale (POS) terminals to support the WIC Program that are deployed in accordance with the minimum lane coverage provisions of 7 C.F.R. 246.12(z)(2)(ii).</w:t>
      </w:r>
    </w:p>
    <w:p w14:paraId="0A4A7994" w14:textId="77777777" w:rsidR="006A0BDB" w:rsidRPr="00BF001B" w:rsidRDefault="006A0BDB" w:rsidP="001D2CEB">
      <w:pPr>
        <w:pStyle w:val="Item"/>
        <w:tabs>
          <w:tab w:val="clear" w:pos="1800"/>
        </w:tabs>
      </w:pPr>
      <w:r w:rsidRPr="00BF001B">
        <w:t>(10)</w:t>
      </w:r>
      <w:r w:rsidRPr="00BF001B">
        <w:tab/>
        <w:t>The store shall be open throughout the year for business with the public at least six days a week for at least 40 hours per week between 8:00 a.m. and 11:00 p.m.</w:t>
      </w:r>
    </w:p>
    <w:p w14:paraId="6626C694" w14:textId="77777777" w:rsidR="006A0BDB" w:rsidRPr="00BF001B" w:rsidRDefault="006A0BDB" w:rsidP="001D2CEB">
      <w:pPr>
        <w:pStyle w:val="Item"/>
        <w:tabs>
          <w:tab w:val="clear" w:pos="1800"/>
        </w:tabs>
      </w:pPr>
      <w:r w:rsidRPr="00BF001B">
        <w:t>(11)</w:t>
      </w:r>
      <w:r w:rsidRPr="00BF001B">
        <w:tab/>
        <w:t xml:space="preserve">The store shall not use the acronym "WIC" or the WIC logo, including facsimiles, in total or </w:t>
      </w:r>
      <w:r w:rsidRPr="00BF001B">
        <w:lastRenderedPageBreak/>
        <w:t>in part, in the official name under which the business is registered or in the name under which it does business.</w:t>
      </w:r>
    </w:p>
    <w:p w14:paraId="789D1539" w14:textId="77777777" w:rsidR="006A0BDB" w:rsidRPr="00BF001B" w:rsidRDefault="006A0BDB" w:rsidP="001D2CEB">
      <w:pPr>
        <w:pStyle w:val="Item"/>
        <w:tabs>
          <w:tab w:val="clear" w:pos="1800"/>
        </w:tabs>
      </w:pPr>
      <w:r w:rsidRPr="00BF001B">
        <w:t>(12)</w:t>
      </w:r>
      <w:r w:rsidRPr="00BF001B">
        <w:tab/>
        <w:t>A vendor applicant shall not submit false, erroneous, or misleading information in an application to become an authorized WIC vendor or in subsequent documents submitted to the state or local WIC agency. A vendor applicant shall not be authorized if within the last year the vendor applicant had a previous WIC Vendor Agreement terminated for submitting false, erroneous, or misleading information.</w:t>
      </w:r>
    </w:p>
    <w:p w14:paraId="3D441668" w14:textId="77777777" w:rsidR="006A0BDB" w:rsidRPr="00BF001B" w:rsidRDefault="006A0BDB" w:rsidP="001D2CEB">
      <w:pPr>
        <w:pStyle w:val="Item"/>
        <w:tabs>
          <w:tab w:val="clear" w:pos="1800"/>
        </w:tabs>
      </w:pPr>
      <w:r w:rsidRPr="00BF001B">
        <w:t>(13)</w:t>
      </w:r>
      <w:r w:rsidRPr="00BF001B">
        <w:tab/>
        <w:t>The owner(s), officer(s), or manager(s) of a vendor applicant shall not be employed, or have a spouse, child, or parent who is employed by the State WIC program, or the local WIC program serving the county where the vendor applicant conducts business. A vendor applicant shall not have an employee who handles or transacts WIC food benefits who is employed, or has a spouse, child, or parent who is employed by the State WIC program or the local WIC program serving the county where the vendor applicant conducts business. Such situations present a conflict of interest.</w:t>
      </w:r>
    </w:p>
    <w:p w14:paraId="781C606E" w14:textId="77777777" w:rsidR="006A0BDB" w:rsidRPr="00BF001B" w:rsidRDefault="006A0BDB" w:rsidP="001D2CEB">
      <w:pPr>
        <w:pStyle w:val="Item"/>
        <w:tabs>
          <w:tab w:val="clear" w:pos="1800"/>
        </w:tabs>
      </w:pPr>
      <w:r w:rsidRPr="00BF001B">
        <w:t>(14)</w:t>
      </w:r>
      <w:r w:rsidRPr="00BF001B">
        <w:tab/>
        <w:t>WIC vendor authorization shall be denied if in the last six years any of the vendor applicant's current owners, officers, or managers have been convicted of or had a civil judgment entered against them for any activity indicating a lack of business integrity, including fraud, antitrust violations, embezzlement, theft, forgery, bribery, falsification or destruction of records, making false statements, receiving stolen property, making false claims, and obstruction of justice, as set out in 7 C.F.R 246.12(g)(3)(ii). For purposes of this Item, "convicted" or "conviction" includes:</w:t>
      </w:r>
    </w:p>
    <w:p w14:paraId="73AC5531" w14:textId="77777777" w:rsidR="006A0BDB" w:rsidRPr="00BF001B" w:rsidRDefault="006A0BDB" w:rsidP="001D2CEB">
      <w:pPr>
        <w:pStyle w:val="SubItemLvl1"/>
        <w:tabs>
          <w:tab w:val="clear" w:pos="2520"/>
        </w:tabs>
      </w:pPr>
      <w:r w:rsidRPr="00BF001B">
        <w:t>(a)</w:t>
      </w:r>
      <w:r w:rsidRPr="00BF001B">
        <w:tab/>
        <w:t>a plea of guilty;</w:t>
      </w:r>
    </w:p>
    <w:p w14:paraId="354D351C" w14:textId="77777777" w:rsidR="006A0BDB" w:rsidRPr="00BF001B" w:rsidRDefault="006A0BDB" w:rsidP="001D2CEB">
      <w:pPr>
        <w:pStyle w:val="SubItemLvl1"/>
        <w:tabs>
          <w:tab w:val="clear" w:pos="2520"/>
        </w:tabs>
      </w:pPr>
      <w:r w:rsidRPr="00BF001B">
        <w:t>(b)</w:t>
      </w:r>
      <w:r w:rsidRPr="00BF001B">
        <w:tab/>
        <w:t>a verdict or finding of guilt by a jury, judge, magistrate, or adjudicating body, tribunal, or official, either civilian or military;</w:t>
      </w:r>
    </w:p>
    <w:p w14:paraId="6DFB33D5" w14:textId="77777777" w:rsidR="006A0BDB" w:rsidRPr="00BF001B" w:rsidRDefault="006A0BDB" w:rsidP="001D2CEB">
      <w:pPr>
        <w:pStyle w:val="SubItemLvl1"/>
        <w:tabs>
          <w:tab w:val="clear" w:pos="2520"/>
        </w:tabs>
      </w:pPr>
      <w:r w:rsidRPr="00BF001B">
        <w:t>(c)</w:t>
      </w:r>
      <w:r w:rsidRPr="00BF001B">
        <w:tab/>
        <w:t>a plea of no contest, nolo contendere, or the equivalent; or</w:t>
      </w:r>
    </w:p>
    <w:p w14:paraId="59006937" w14:textId="77777777" w:rsidR="006A0BDB" w:rsidRPr="00BF001B" w:rsidRDefault="006A0BDB" w:rsidP="001D2CEB">
      <w:pPr>
        <w:pStyle w:val="SubItemLvl1"/>
        <w:tabs>
          <w:tab w:val="clear" w:pos="2520"/>
        </w:tabs>
      </w:pPr>
      <w:r w:rsidRPr="00BF001B">
        <w:t>(d)</w:t>
      </w:r>
      <w:r w:rsidRPr="00BF001B">
        <w:tab/>
        <w:t>entry of a prayer for judgment continued following a conviction as defined in this Item is the same as a conviction for purposes of this Item.</w:t>
      </w:r>
    </w:p>
    <w:p w14:paraId="7FD1401D" w14:textId="77777777" w:rsidR="006A0BDB" w:rsidRPr="00BF001B" w:rsidRDefault="006A0BDB" w:rsidP="001D2CEB">
      <w:pPr>
        <w:pStyle w:val="Item"/>
        <w:tabs>
          <w:tab w:val="clear" w:pos="1800"/>
        </w:tabs>
      </w:pPr>
      <w:r w:rsidRPr="00BF001B">
        <w:t>(15)</w:t>
      </w:r>
      <w:r w:rsidRPr="00BF001B">
        <w:tab/>
        <w:t>A vendor applicant shall not be authorized if it is currently disqualified from the Supplemental Nutrition Assistance Program ("SNAP") or it has been assessed a SNAP civil money penalty for hardship and the disqualification period that otherwise would have been imposed has not expired.</w:t>
      </w:r>
    </w:p>
    <w:p w14:paraId="19959046" w14:textId="77777777" w:rsidR="006A0BDB" w:rsidRPr="00BF001B" w:rsidRDefault="006A0BDB" w:rsidP="001D2CEB">
      <w:pPr>
        <w:pStyle w:val="Item"/>
        <w:tabs>
          <w:tab w:val="clear" w:pos="1800"/>
        </w:tabs>
      </w:pPr>
      <w:r w:rsidRPr="00BF001B">
        <w:t>(16)</w:t>
      </w:r>
      <w:r w:rsidRPr="00BF001B">
        <w:tab/>
        <w:t xml:space="preserve">A vendor applicant, excluding chain stores and stores under a WIC corporate agreement that </w:t>
      </w:r>
      <w:r w:rsidRPr="00BF001B">
        <w:t>have a separate manager on site for each store, shall not have an owner who holds a financial interest in any of the following:</w:t>
      </w:r>
    </w:p>
    <w:p w14:paraId="19CC8B19" w14:textId="77777777" w:rsidR="006A0BDB" w:rsidRPr="00BF001B" w:rsidRDefault="006A0BDB" w:rsidP="001D2CEB">
      <w:pPr>
        <w:pStyle w:val="SubItemLvl1"/>
        <w:tabs>
          <w:tab w:val="clear" w:pos="2520"/>
        </w:tabs>
      </w:pPr>
      <w:r w:rsidRPr="00BF001B">
        <w:t>(a)</w:t>
      </w:r>
      <w:r w:rsidRPr="00BF001B">
        <w:tab/>
        <w:t>a SNAP vendor that is disqualified from participation in SNAP or has been assessed a civil money penalty for hardship in lieu of disqualification and the time period during which the disqualification would have run, had a penalty not been paid, has not expired; or</w:t>
      </w:r>
    </w:p>
    <w:p w14:paraId="5701045D" w14:textId="77777777" w:rsidR="006A0BDB" w:rsidRPr="00BF001B" w:rsidRDefault="006A0BDB" w:rsidP="001D2CEB">
      <w:pPr>
        <w:pStyle w:val="SubItemLvl1"/>
        <w:tabs>
          <w:tab w:val="clear" w:pos="2520"/>
        </w:tabs>
      </w:pPr>
      <w:r w:rsidRPr="00BF001B">
        <w:t>(b)</w:t>
      </w:r>
      <w:r w:rsidRPr="00BF001B">
        <w:tab/>
        <w:t>another WIC vendor that is disqualified from participation in the WIC Program or has been assessed a monetary or civil money penalty pursuant to G.S. 130A-22(c1), Paragraph (e) or Paragraph (f) of Rule .0710 of this Section as the result of violation of Paragraphs (a) or (b) of Rule .0710 of this Section and if assessed a penalty, the time during which the disqualification would have run, had a penalty not been assessed, has not expired.</w:t>
      </w:r>
    </w:p>
    <w:p w14:paraId="5D114C29" w14:textId="77777777" w:rsidR="006A0BDB" w:rsidRPr="00BF001B" w:rsidRDefault="006A0BDB" w:rsidP="001D2CEB">
      <w:pPr>
        <w:pStyle w:val="Item"/>
        <w:tabs>
          <w:tab w:val="clear" w:pos="1800"/>
        </w:tabs>
        <w:ind w:firstLine="0"/>
      </w:pPr>
      <w:r w:rsidRPr="00BF001B">
        <w:t>The requirements of this Item shall not be met by the transfer or conveyance of financial interest during the period of disqualification. Additionally, the requirements of this Item shall not be met even if such transfer or conveyance of financial interest in a SNAP vendor under Sub-item (16)(a) of this Item ends the disqualification period applicable to that SNAP vendor earlier than the disqualification period otherwise would have expired. The requirements of this Item shall apply until the time the SNAP vendor disqualification otherwise would have expired.</w:t>
      </w:r>
    </w:p>
    <w:p w14:paraId="7BA39BB4" w14:textId="77777777" w:rsidR="006A0BDB" w:rsidRPr="00BF001B" w:rsidRDefault="006A0BDB" w:rsidP="001D2CEB">
      <w:pPr>
        <w:pStyle w:val="Item"/>
        <w:tabs>
          <w:tab w:val="clear" w:pos="1800"/>
        </w:tabs>
      </w:pPr>
      <w:r w:rsidRPr="00BF001B">
        <w:t>(17)</w:t>
      </w:r>
      <w:r w:rsidRPr="00BF001B">
        <w:tab/>
        <w:t>A vendor applicant, excluding free-standing pharmacies, shall have SNAP authorization for the store as a prerequisite for WIC vendor authorization and shall provide its SNAP authorization number to the State agency.</w:t>
      </w:r>
    </w:p>
    <w:p w14:paraId="4E994E49" w14:textId="77777777" w:rsidR="006A0BDB" w:rsidRPr="00BF001B" w:rsidRDefault="006A0BDB" w:rsidP="001D2CEB">
      <w:pPr>
        <w:pStyle w:val="Item"/>
        <w:tabs>
          <w:tab w:val="clear" w:pos="1800"/>
        </w:tabs>
      </w:pPr>
      <w:r w:rsidRPr="00BF001B">
        <w:t>(18)</w:t>
      </w:r>
      <w:r w:rsidRPr="00BF001B">
        <w:tab/>
        <w:t>A vendor applicant shall not become authorized as a WIC vendor if the store has been disqualified from participation in the WIC Program and the disqualification period has not expired. A vendor applicant shall not be authorized as a WIC vendor if any of the vendor applicant's owner(s), officer(s) or manager(s) currently has or previously had a financial interest in a WIC vendor that was assessed a claim by the WIC Program and the claim has not been paid in full.</w:t>
      </w:r>
    </w:p>
    <w:p w14:paraId="6A5D3722" w14:textId="77777777" w:rsidR="006A0BDB" w:rsidRPr="00BF001B" w:rsidRDefault="006A0BDB" w:rsidP="001D2CEB">
      <w:pPr>
        <w:pStyle w:val="Item"/>
        <w:tabs>
          <w:tab w:val="clear" w:pos="1800"/>
        </w:tabs>
      </w:pPr>
      <w:r w:rsidRPr="00BF001B">
        <w:t>(19)</w:t>
      </w:r>
      <w:r w:rsidRPr="00BF001B">
        <w:tab/>
        <w:t xml:space="preserve">A vendor applicant shall enter into contract with the State WIC Program's EBT processor or a certified </w:t>
      </w:r>
      <w:proofErr w:type="gramStart"/>
      <w:r w:rsidRPr="00BF001B">
        <w:t>third party</w:t>
      </w:r>
      <w:proofErr w:type="gramEnd"/>
      <w:r w:rsidRPr="00BF001B">
        <w:t xml:space="preserve"> processor prior to WIC authorization and comply with all requirements detailed in the EBT or third party processor's Vendor Agreement.</w:t>
      </w:r>
    </w:p>
    <w:p w14:paraId="151913C8" w14:textId="77777777" w:rsidR="006A0BDB" w:rsidRPr="00BF001B" w:rsidRDefault="006A0BDB" w:rsidP="001D2CEB">
      <w:pPr>
        <w:pStyle w:val="Item"/>
        <w:tabs>
          <w:tab w:val="clear" w:pos="1800"/>
        </w:tabs>
      </w:pPr>
      <w:r w:rsidRPr="00BF001B">
        <w:lastRenderedPageBreak/>
        <w:t>(20)</w:t>
      </w:r>
      <w:r w:rsidRPr="00BF001B">
        <w:tab/>
        <w:t>A WIC Vendor Application shall include the following information:</w:t>
      </w:r>
    </w:p>
    <w:p w14:paraId="7E189FDE" w14:textId="77777777" w:rsidR="006A0BDB" w:rsidRPr="00BF001B" w:rsidRDefault="006A0BDB" w:rsidP="001D2CEB">
      <w:pPr>
        <w:pStyle w:val="SubItemLvl1"/>
        <w:tabs>
          <w:tab w:val="clear" w:pos="2520"/>
        </w:tabs>
      </w:pPr>
      <w:r w:rsidRPr="00BF001B">
        <w:t>(a)</w:t>
      </w:r>
      <w:r w:rsidRPr="00BF001B">
        <w:tab/>
        <w:t>The store name, physical address, and hours of operation;</w:t>
      </w:r>
    </w:p>
    <w:p w14:paraId="11B9FB0B" w14:textId="77777777" w:rsidR="006A0BDB" w:rsidRPr="00BF001B" w:rsidRDefault="006A0BDB" w:rsidP="001D2CEB">
      <w:pPr>
        <w:pStyle w:val="SubItemLvl1"/>
        <w:tabs>
          <w:tab w:val="clear" w:pos="2520"/>
        </w:tabs>
      </w:pPr>
      <w:r w:rsidRPr="00BF001B">
        <w:t>(b)</w:t>
      </w:r>
      <w:r w:rsidRPr="00BF001B">
        <w:tab/>
        <w:t>The type of ownership under which the vendor operates;</w:t>
      </w:r>
    </w:p>
    <w:p w14:paraId="26E07DFC" w14:textId="77777777" w:rsidR="006A0BDB" w:rsidRPr="00BF001B" w:rsidRDefault="006A0BDB" w:rsidP="001D2CEB">
      <w:pPr>
        <w:pStyle w:val="SubItemLvl1"/>
        <w:tabs>
          <w:tab w:val="clear" w:pos="2520"/>
        </w:tabs>
      </w:pPr>
      <w:r w:rsidRPr="00BF001B">
        <w:t>(c)</w:t>
      </w:r>
      <w:r w:rsidRPr="00BF001B">
        <w:tab/>
        <w:t>The names and contact information of owners or officers;</w:t>
      </w:r>
    </w:p>
    <w:p w14:paraId="0D4DEDBD" w14:textId="77777777" w:rsidR="006A0BDB" w:rsidRPr="00BF001B" w:rsidRDefault="006A0BDB" w:rsidP="001D2CEB">
      <w:pPr>
        <w:pStyle w:val="SubItemLvl1"/>
        <w:tabs>
          <w:tab w:val="clear" w:pos="2520"/>
        </w:tabs>
      </w:pPr>
      <w:r w:rsidRPr="00BF001B">
        <w:t>(d)</w:t>
      </w:r>
      <w:r w:rsidRPr="00BF001B">
        <w:tab/>
        <w:t>Annual food sales data and percentages for the following tender types: cash, credit, debit,</w:t>
      </w:r>
      <w:r>
        <w:t xml:space="preserve"> </w:t>
      </w:r>
      <w:r w:rsidRPr="00BF001B">
        <w:t>SNAP, and WIC;</w:t>
      </w:r>
    </w:p>
    <w:p w14:paraId="01A62030" w14:textId="77777777" w:rsidR="006A0BDB" w:rsidRPr="00BF001B" w:rsidRDefault="006A0BDB" w:rsidP="001D2CEB">
      <w:pPr>
        <w:pStyle w:val="SubItemLvl1"/>
        <w:tabs>
          <w:tab w:val="clear" w:pos="2520"/>
        </w:tabs>
      </w:pPr>
      <w:r w:rsidRPr="00BF001B">
        <w:t>(e)</w:t>
      </w:r>
      <w:r w:rsidRPr="00BF001B">
        <w:tab/>
        <w:t>The store's SNAP authorization number and history of SNAP participation, if a retail grocery store; and</w:t>
      </w:r>
    </w:p>
    <w:p w14:paraId="5D2D9193" w14:textId="77777777" w:rsidR="006A0BDB" w:rsidRPr="00BF001B" w:rsidRDefault="006A0BDB" w:rsidP="001D2CEB">
      <w:pPr>
        <w:pStyle w:val="SubItemLvl1"/>
        <w:tabs>
          <w:tab w:val="clear" w:pos="2520"/>
        </w:tabs>
      </w:pPr>
      <w:r w:rsidRPr="00BF001B">
        <w:t>(f)</w:t>
      </w:r>
      <w:r w:rsidRPr="00BF001B">
        <w:tab/>
        <w:t>Other information that the store is required to provide to the State agency in accordance with 7 C.F.R. 246.12.</w:t>
      </w:r>
    </w:p>
    <w:p w14:paraId="3836A0D3" w14:textId="77777777" w:rsidR="006A0BDB" w:rsidRPr="00BF001B" w:rsidRDefault="006A0BDB" w:rsidP="001D2CEB">
      <w:pPr>
        <w:pStyle w:val="Paragraph"/>
      </w:pPr>
      <w:r w:rsidRPr="00BF001B">
        <w:t>For a food retailer or free-standing pharmacy to participate in the WIC Program, a current WIC Vendor Agreement shall be signed by the vendor, the local WIC agency, and the State agency. If an application for status as an authorized WIC vendor is denied, the applicant is entitled to an administrative appeal as described in Section .0800 of this Subchapter.</w:t>
      </w:r>
    </w:p>
    <w:p w14:paraId="22C49D97" w14:textId="77777777" w:rsidR="006A0BDB" w:rsidRPr="00BF001B" w:rsidRDefault="006A0BDB" w:rsidP="001D2CEB">
      <w:pPr>
        <w:pStyle w:val="Base"/>
      </w:pPr>
    </w:p>
    <w:p w14:paraId="6BDE62A6" w14:textId="77777777" w:rsidR="006A0BDB" w:rsidRPr="00BF001B" w:rsidRDefault="006A0BDB" w:rsidP="001D2CEB">
      <w:pPr>
        <w:pStyle w:val="History"/>
      </w:pPr>
      <w:r w:rsidRPr="00BF001B">
        <w:t>History Note:</w:t>
      </w:r>
      <w:r w:rsidRPr="00BF001B">
        <w:tab/>
        <w:t>Authority G.S. 130A-361; 7 C.F.R. 246; 7 C.F.R. 246.12(g)(3); 7 C.F.R. 246.12(g)(3)(ii); 7 C.F.R. 246.12(h)(3)(xix); 7 C.F.R. 246.12(t); 42 U.S.C. 1786;</w:t>
      </w:r>
    </w:p>
    <w:p w14:paraId="4D7B6E5E" w14:textId="77777777" w:rsidR="006A0BDB" w:rsidRPr="00BF001B" w:rsidRDefault="006A0BDB" w:rsidP="001D2CEB">
      <w:pPr>
        <w:pStyle w:val="HistoryAfter"/>
      </w:pPr>
      <w:r w:rsidRPr="00BF001B">
        <w:t>Eff. February 1, 2013;</w:t>
      </w:r>
    </w:p>
    <w:p w14:paraId="1345F3ED" w14:textId="77777777" w:rsidR="006A0BDB" w:rsidRPr="00BF001B" w:rsidRDefault="006A0BDB" w:rsidP="001D2CEB">
      <w:pPr>
        <w:pStyle w:val="HistoryAfter"/>
      </w:pPr>
      <w:r w:rsidRPr="00BF001B">
        <w:t>Amended Eff. October 1, 2017;</w:t>
      </w:r>
    </w:p>
    <w:p w14:paraId="7DAB9486" w14:textId="77777777" w:rsidR="006A0BDB" w:rsidRPr="00BF001B" w:rsidRDefault="006A0BDB" w:rsidP="001D2CEB">
      <w:pPr>
        <w:pStyle w:val="HistoryAfter"/>
      </w:pPr>
      <w:r w:rsidRPr="00BF001B">
        <w:t xml:space="preserve">Pursuant to G.S. 150B-21.3A, rule is necessary without substantive public interest Eff. December 23, 2017; </w:t>
      </w:r>
    </w:p>
    <w:p w14:paraId="3A6DD92F" w14:textId="77777777" w:rsidR="006A0BDB" w:rsidRPr="00BF001B" w:rsidRDefault="006A0BDB" w:rsidP="001D2CEB">
      <w:pPr>
        <w:pStyle w:val="HistoryAfter"/>
      </w:pPr>
      <w:r w:rsidRPr="00BF001B">
        <w:t>Amended Eff. March 1, 2020.</w:t>
      </w:r>
    </w:p>
    <w:p w14:paraId="2331A755" w14:textId="77777777" w:rsidR="006A0BDB" w:rsidRPr="00BF001B" w:rsidRDefault="006A0BDB" w:rsidP="001D2CEB">
      <w:pPr>
        <w:pStyle w:val="Base"/>
      </w:pPr>
    </w:p>
    <w:p w14:paraId="42ED37C1" w14:textId="77777777" w:rsidR="006A0BDB" w:rsidRPr="00241211" w:rsidRDefault="006A0BDB" w:rsidP="001D2CEB">
      <w:pPr>
        <w:pStyle w:val="Rule"/>
      </w:pPr>
      <w:r w:rsidRPr="00241211">
        <w:t>10A NCAC 43D .0708</w:t>
      </w:r>
      <w:r w:rsidRPr="00241211">
        <w:tab/>
        <w:t>AUTHORIZED VENDORS</w:t>
      </w:r>
    </w:p>
    <w:p w14:paraId="2180B2B8" w14:textId="77777777" w:rsidR="006A0BDB" w:rsidRPr="00241211" w:rsidRDefault="006A0BDB" w:rsidP="001D2CEB">
      <w:pPr>
        <w:pStyle w:val="Paragraph"/>
      </w:pPr>
      <w:r w:rsidRPr="00241211">
        <w:t>By signing the WIC Vendor Agreement, the vendor agrees to:</w:t>
      </w:r>
    </w:p>
    <w:p w14:paraId="6154FAE2" w14:textId="77777777" w:rsidR="006A0BDB" w:rsidRPr="00241211" w:rsidRDefault="006A0BDB" w:rsidP="001D2CEB">
      <w:pPr>
        <w:pStyle w:val="Item"/>
        <w:tabs>
          <w:tab w:val="clear" w:pos="1800"/>
        </w:tabs>
      </w:pPr>
      <w:r w:rsidRPr="00241211">
        <w:t>(1)</w:t>
      </w:r>
      <w:r w:rsidRPr="00241211">
        <w:tab/>
        <w:t xml:space="preserve">Process WIC Program food benefits in accordance with the terms of the WIC Vendor Agreement and 42 U.S.C. 1786, 7 C.F.R. 246.1-246.28, and the </w:t>
      </w:r>
      <w:r>
        <w:t>r</w:t>
      </w:r>
      <w:r w:rsidRPr="00241211">
        <w:t>ules of this Subchapter;</w:t>
      </w:r>
    </w:p>
    <w:p w14:paraId="1429993B" w14:textId="77777777" w:rsidR="006A0BDB" w:rsidRPr="00241211" w:rsidRDefault="006A0BDB" w:rsidP="001D2CEB">
      <w:pPr>
        <w:pStyle w:val="Item"/>
        <w:tabs>
          <w:tab w:val="clear" w:pos="1800"/>
        </w:tabs>
      </w:pPr>
      <w:r w:rsidRPr="00241211">
        <w:t>(2)</w:t>
      </w:r>
      <w:r w:rsidRPr="00241211">
        <w:tab/>
        <w:t>Accept WIC Program food benefits in exchange for WIC supplemental foods. Supplemental foods are those foods that satisfy the requirements of 10A NCAC 43D .0501;</w:t>
      </w:r>
    </w:p>
    <w:p w14:paraId="1AE819D8" w14:textId="77777777" w:rsidR="006A0BDB" w:rsidRPr="00241211" w:rsidRDefault="006A0BDB" w:rsidP="001D2CEB">
      <w:pPr>
        <w:pStyle w:val="Item"/>
        <w:tabs>
          <w:tab w:val="clear" w:pos="1800"/>
        </w:tabs>
      </w:pPr>
      <w:r w:rsidRPr="00241211">
        <w:t>(3)</w:t>
      </w:r>
      <w:r w:rsidRPr="00241211">
        <w:tab/>
        <w:t xml:space="preserve">Provide to the WIC customer only the approved supplemental foods, fruits, and vegetables contained in the authorized product list (APL) after it has been determined that the WIC customer has an available balance on the date of the transaction. The WIC customer is not required to get </w:t>
      </w:r>
      <w:proofErr w:type="gramStart"/>
      <w:r w:rsidRPr="00241211">
        <w:t>all of</w:t>
      </w:r>
      <w:proofErr w:type="gramEnd"/>
      <w:r w:rsidRPr="00241211">
        <w:t xml:space="preserve"> the supplemental foods listed on his or her food benefit balance. However, a WIC customer may obtain more fruits and vegetables than the full dollar value of his or her cash-value benefit if the WIC customer pays the difference, as set forth in 7 C.F.R. 246.12(h)(3)(xi);</w:t>
      </w:r>
    </w:p>
    <w:p w14:paraId="553429CA" w14:textId="77777777" w:rsidR="006A0BDB" w:rsidRPr="00241211" w:rsidRDefault="006A0BDB" w:rsidP="001D2CEB">
      <w:pPr>
        <w:pStyle w:val="Item"/>
        <w:tabs>
          <w:tab w:val="clear" w:pos="1800"/>
        </w:tabs>
      </w:pPr>
      <w:r w:rsidRPr="00241211">
        <w:t>(4)</w:t>
      </w:r>
      <w:r w:rsidRPr="00241211">
        <w:tab/>
        <w:t>Transmit only the current shelf price of all WIC-approved supplemental foods purchased in the correct sizes, quantities, and the total dollar amount of all WIC-approved supplemental foods purchased in the EBT system and shall not charge or collect sales taxes for the supplemental food provided;</w:t>
      </w:r>
    </w:p>
    <w:p w14:paraId="4D341EAC" w14:textId="77777777" w:rsidR="006A0BDB" w:rsidRPr="00241211" w:rsidRDefault="006A0BDB" w:rsidP="001D2CEB">
      <w:pPr>
        <w:pStyle w:val="Item"/>
        <w:tabs>
          <w:tab w:val="clear" w:pos="1800"/>
        </w:tabs>
      </w:pPr>
      <w:r w:rsidRPr="00241211">
        <w:t>(5)</w:t>
      </w:r>
      <w:r w:rsidRPr="00241211">
        <w:tab/>
        <w:t>Charge no more for supplemental food provided to a WIC customer than to a non-WIC customer or no more than the current shelf price, whichever is less;</w:t>
      </w:r>
    </w:p>
    <w:p w14:paraId="638982BA" w14:textId="77777777" w:rsidR="006A0BDB" w:rsidRPr="00241211" w:rsidRDefault="006A0BDB" w:rsidP="001D2CEB">
      <w:pPr>
        <w:pStyle w:val="Item"/>
        <w:tabs>
          <w:tab w:val="clear" w:pos="1800"/>
        </w:tabs>
      </w:pPr>
      <w:r w:rsidRPr="00241211">
        <w:t>(6)</w:t>
      </w:r>
      <w:r w:rsidRPr="00241211">
        <w:tab/>
        <w:t>Accept payment from the State WIC Program only up to the maximum price set by the State agency for each supplemental food within that vendor's peer group. The maximum price for each supplemental food shall be based on the maximum prices set by the State agency for each supplemental food, as described in Sub-item (4)(a) of Rule .0707 of this Section. A request for payment submitted over the maximum price allowed by the State agency will only be paid up to the maximum price for that supplemental food;</w:t>
      </w:r>
    </w:p>
    <w:p w14:paraId="2D68F609" w14:textId="77777777" w:rsidR="006A0BDB" w:rsidRPr="00241211" w:rsidRDefault="006A0BDB" w:rsidP="001D2CEB">
      <w:pPr>
        <w:pStyle w:val="Item"/>
        <w:tabs>
          <w:tab w:val="clear" w:pos="1800"/>
        </w:tabs>
      </w:pPr>
      <w:r w:rsidRPr="00241211">
        <w:t>(7)</w:t>
      </w:r>
      <w:r w:rsidRPr="00241211">
        <w:tab/>
        <w:t>Accept payment from the State WIC Program only up to the full dollar value of the cash-value benefit;</w:t>
      </w:r>
    </w:p>
    <w:p w14:paraId="2EB3704B" w14:textId="77777777" w:rsidR="006A0BDB" w:rsidRPr="00241211" w:rsidRDefault="006A0BDB" w:rsidP="001D2CEB">
      <w:pPr>
        <w:pStyle w:val="Item"/>
        <w:tabs>
          <w:tab w:val="clear" w:pos="1800"/>
        </w:tabs>
      </w:pPr>
      <w:r w:rsidRPr="00241211">
        <w:t>(8)</w:t>
      </w:r>
      <w:r w:rsidRPr="00241211">
        <w:tab/>
        <w:t>Not charge the State WIC Program more than the maximum price set by the State agency under Item (4)(a) of Rule .0707 of this Section for each supplemental food within the vendor's peer group;</w:t>
      </w:r>
    </w:p>
    <w:p w14:paraId="34E7A97D" w14:textId="77777777" w:rsidR="006A0BDB" w:rsidRPr="00241211" w:rsidRDefault="006A0BDB" w:rsidP="001D2CEB">
      <w:pPr>
        <w:pStyle w:val="Item"/>
        <w:tabs>
          <w:tab w:val="clear" w:pos="1800"/>
        </w:tabs>
      </w:pPr>
      <w:r w:rsidRPr="00241211">
        <w:t>(9)</w:t>
      </w:r>
      <w:r w:rsidRPr="00241211">
        <w:tab/>
        <w:t>Provide to WIC customers infant formula, exempt infant formula, and WIC eligible nutritionals purchased only from the sources specified in Item (3) of Rule .0707 of this Section. Providing infant formula, exempt infant formula, or WIC eligible nutritionals that has not been purchased from the sources specified in Item (3) of Rule .0707 of this Section shall result in termination of the WIC Vendor Agreement;</w:t>
      </w:r>
    </w:p>
    <w:p w14:paraId="365DFBC0" w14:textId="77777777" w:rsidR="006A0BDB" w:rsidRPr="00241211" w:rsidRDefault="006A0BDB" w:rsidP="001D2CEB">
      <w:pPr>
        <w:pStyle w:val="Item"/>
        <w:tabs>
          <w:tab w:val="clear" w:pos="1800"/>
        </w:tabs>
      </w:pPr>
      <w:r w:rsidRPr="00241211">
        <w:t>(10)</w:t>
      </w:r>
      <w:r w:rsidRPr="00241211">
        <w:tab/>
        <w:t>For free-standing pharmacies, provide only exempt infant formula and WIC-eligible nutritionals;</w:t>
      </w:r>
    </w:p>
    <w:p w14:paraId="4E8FB856" w14:textId="77777777" w:rsidR="006A0BDB" w:rsidRPr="00241211" w:rsidRDefault="006A0BDB" w:rsidP="001D2CEB">
      <w:pPr>
        <w:pStyle w:val="Item"/>
        <w:tabs>
          <w:tab w:val="clear" w:pos="1800"/>
        </w:tabs>
      </w:pPr>
      <w:r w:rsidRPr="00241211">
        <w:t>(11)</w:t>
      </w:r>
      <w:r w:rsidRPr="00241211">
        <w:tab/>
        <w:t>Excluding free-standing pharmacies, redeem at least two thousand dollars ($2,000) annually in WIC supplemental food sales. Failure to redeem at least two thousand dollars ($2,000) annually in WIC supplemental food sales shall result in termination of the WIC Vendor Agreement. The store shall wait 180 days to reapply for authorization;</w:t>
      </w:r>
    </w:p>
    <w:p w14:paraId="7A9F8EEF" w14:textId="77777777" w:rsidR="006A0BDB" w:rsidRPr="00241211" w:rsidRDefault="006A0BDB" w:rsidP="001D2CEB">
      <w:pPr>
        <w:pStyle w:val="Item"/>
        <w:tabs>
          <w:tab w:val="clear" w:pos="1800"/>
        </w:tabs>
      </w:pPr>
      <w:r w:rsidRPr="00241211">
        <w:t>(12)</w:t>
      </w:r>
      <w:r w:rsidRPr="00241211">
        <w:tab/>
        <w:t>Ensure that a personal identification number (PIN) is used by the WIC customer to complete the EBT transaction in lieu of a signature;</w:t>
      </w:r>
    </w:p>
    <w:p w14:paraId="563B62E8" w14:textId="77777777" w:rsidR="006A0BDB" w:rsidRPr="00241211" w:rsidRDefault="006A0BDB" w:rsidP="001D2CEB">
      <w:pPr>
        <w:pStyle w:val="Item"/>
        <w:tabs>
          <w:tab w:val="clear" w:pos="1800"/>
        </w:tabs>
      </w:pPr>
      <w:r w:rsidRPr="00241211">
        <w:t>(13)</w:t>
      </w:r>
      <w:r w:rsidRPr="00241211">
        <w:tab/>
        <w:t>Ensure that the WIC customer enters the PIN to initiate the EBT transaction. The vendor shall not enter the PIN for the WIC customer;</w:t>
      </w:r>
    </w:p>
    <w:p w14:paraId="3F4E3054" w14:textId="77777777" w:rsidR="006A0BDB" w:rsidRPr="00241211" w:rsidRDefault="006A0BDB" w:rsidP="001D2CEB">
      <w:pPr>
        <w:pStyle w:val="Item"/>
        <w:tabs>
          <w:tab w:val="clear" w:pos="1800"/>
        </w:tabs>
      </w:pPr>
      <w:r w:rsidRPr="00241211">
        <w:lastRenderedPageBreak/>
        <w:t>(14)</w:t>
      </w:r>
      <w:r w:rsidRPr="00241211">
        <w:tab/>
        <w:t>Not transact food benefits in whole or in part for cash, credit, unauthorized foods, or non-food items;</w:t>
      </w:r>
    </w:p>
    <w:p w14:paraId="35A0DC62" w14:textId="77777777" w:rsidR="006A0BDB" w:rsidRPr="00241211" w:rsidRDefault="006A0BDB" w:rsidP="001D2CEB">
      <w:pPr>
        <w:pStyle w:val="Item"/>
        <w:tabs>
          <w:tab w:val="clear" w:pos="1800"/>
        </w:tabs>
      </w:pPr>
      <w:r w:rsidRPr="00241211">
        <w:t>(15)</w:t>
      </w:r>
      <w:r w:rsidRPr="00241211">
        <w:tab/>
        <w:t>Not provide refunds or permit exchanges for authorized supplemental foods obtained with food benefits, except for exchanges of an identical authorized supplemental food when the original authorized supplemental food is defective, spoiled, or has exceeded its "sell by," "best if used by," or other date limiting the sale or use of the food. An "identical authorized supplemental food" means the exact brand, type and size as the original authorized supplemental food obtained and returned by the WIC customer;</w:t>
      </w:r>
    </w:p>
    <w:p w14:paraId="77337B95" w14:textId="77777777" w:rsidR="006A0BDB" w:rsidRPr="00241211" w:rsidRDefault="006A0BDB" w:rsidP="001D2CEB">
      <w:pPr>
        <w:pStyle w:val="Item"/>
        <w:tabs>
          <w:tab w:val="clear" w:pos="1800"/>
        </w:tabs>
      </w:pPr>
      <w:r w:rsidRPr="00241211">
        <w:t>(16)</w:t>
      </w:r>
      <w:r w:rsidRPr="00241211">
        <w:tab/>
        <w:t>Notify the local WIC agency of misuse (attempted or actual) of WIC Program food benefits;</w:t>
      </w:r>
    </w:p>
    <w:p w14:paraId="0D18F71F" w14:textId="77777777" w:rsidR="006A0BDB" w:rsidRPr="00241211" w:rsidRDefault="006A0BDB" w:rsidP="001D2CEB">
      <w:pPr>
        <w:pStyle w:val="Item"/>
        <w:tabs>
          <w:tab w:val="clear" w:pos="1800"/>
        </w:tabs>
      </w:pPr>
      <w:r w:rsidRPr="00241211">
        <w:t>(17)</w:t>
      </w:r>
      <w:r w:rsidRPr="00241211">
        <w:tab/>
        <w:t>Maintain a minimum inventory of supplemental foods in the store for purchase. Supplemental foods that are outside of the manufacturer's expiration date do not count towards meeting the minimum inventory requirement. Free-standing pharmacies are not required to maintain a minimum inventory of supplemental foods. The following items and sizes constitute the minimum inventory of supplemental foods for vendors:</w:t>
      </w:r>
    </w:p>
    <w:p w14:paraId="11CD1AA2" w14:textId="77777777" w:rsidR="006A0BDB" w:rsidRDefault="006A0BDB" w:rsidP="001D2CEB">
      <w:pPr>
        <w:pStyle w:val="Base"/>
        <w:sectPr w:rsidR="006A0BDB" w:rsidSect="001D2CEB">
          <w:type w:val="continuous"/>
          <w:pgSz w:w="12240" w:h="15840"/>
          <w:pgMar w:top="360" w:right="720" w:bottom="360" w:left="720" w:header="360" w:footer="360" w:gutter="0"/>
          <w:cols w:num="2" w:space="360"/>
          <w:docGrid w:linePitch="360"/>
        </w:sectPr>
      </w:pPr>
    </w:p>
    <w:p w14:paraId="1A8A38C1" w14:textId="77777777" w:rsidR="00A11528" w:rsidRPr="00241211" w:rsidRDefault="00A11528" w:rsidP="00A11528">
      <w:pPr>
        <w:pStyle w:val="Base"/>
      </w:pPr>
      <w:bookmarkStart w:id="4" w:name="ApplyStyle"/>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680"/>
        <w:gridCol w:w="2520"/>
      </w:tblGrid>
      <w:tr w:rsidR="00A11528" w:rsidRPr="00241211" w14:paraId="1B344E70" w14:textId="77777777" w:rsidTr="00E74FCE">
        <w:trPr>
          <w:trHeight w:val="420"/>
        </w:trPr>
        <w:tc>
          <w:tcPr>
            <w:tcW w:w="2070" w:type="dxa"/>
            <w:vAlign w:val="center"/>
          </w:tcPr>
          <w:p w14:paraId="43AFFF4F" w14:textId="77777777" w:rsidR="00A11528" w:rsidRPr="00241211" w:rsidRDefault="00A11528" w:rsidP="00E74FCE">
            <w:pPr>
              <w:pStyle w:val="Base"/>
              <w:jc w:val="center"/>
            </w:pPr>
            <w:r w:rsidRPr="00241211">
              <w:t>Food Item</w:t>
            </w:r>
          </w:p>
        </w:tc>
        <w:tc>
          <w:tcPr>
            <w:tcW w:w="4680" w:type="dxa"/>
            <w:vAlign w:val="center"/>
          </w:tcPr>
          <w:p w14:paraId="51E24035" w14:textId="77777777" w:rsidR="00A11528" w:rsidRPr="00241211" w:rsidRDefault="00A11528" w:rsidP="00E74FCE">
            <w:pPr>
              <w:pStyle w:val="Base"/>
              <w:jc w:val="center"/>
            </w:pPr>
            <w:r w:rsidRPr="00241211">
              <w:t>Type of Inventory</w:t>
            </w:r>
          </w:p>
        </w:tc>
        <w:tc>
          <w:tcPr>
            <w:tcW w:w="2520" w:type="dxa"/>
            <w:vAlign w:val="center"/>
          </w:tcPr>
          <w:p w14:paraId="6FC6082B" w14:textId="77777777" w:rsidR="00A11528" w:rsidRPr="00241211" w:rsidRDefault="00A11528" w:rsidP="00E74FCE">
            <w:pPr>
              <w:pStyle w:val="Base"/>
              <w:jc w:val="center"/>
            </w:pPr>
            <w:r w:rsidRPr="00241211">
              <w:t>Quantities Required</w:t>
            </w:r>
          </w:p>
        </w:tc>
      </w:tr>
      <w:tr w:rsidR="00A11528" w:rsidRPr="00241211" w14:paraId="4587B407" w14:textId="77777777" w:rsidTr="00E74FCE">
        <w:trPr>
          <w:trHeight w:val="818"/>
        </w:trPr>
        <w:tc>
          <w:tcPr>
            <w:tcW w:w="2070" w:type="dxa"/>
            <w:vAlign w:val="center"/>
          </w:tcPr>
          <w:p w14:paraId="40B1D90F" w14:textId="77777777" w:rsidR="00A11528" w:rsidRPr="00241211" w:rsidRDefault="00A11528" w:rsidP="00E74FCE">
            <w:pPr>
              <w:pStyle w:val="Base"/>
              <w:jc w:val="center"/>
            </w:pPr>
            <w:r w:rsidRPr="00241211">
              <w:t>Milk</w:t>
            </w:r>
          </w:p>
        </w:tc>
        <w:tc>
          <w:tcPr>
            <w:tcW w:w="4680" w:type="dxa"/>
            <w:vAlign w:val="center"/>
          </w:tcPr>
          <w:p w14:paraId="01E0DB09" w14:textId="77777777" w:rsidR="00A11528" w:rsidRPr="00241211" w:rsidRDefault="00A11528" w:rsidP="00E74FCE">
            <w:pPr>
              <w:pStyle w:val="Base"/>
              <w:jc w:val="center"/>
            </w:pPr>
            <w:r w:rsidRPr="00241211">
              <w:t>Whole fluid: gallon</w:t>
            </w:r>
          </w:p>
          <w:p w14:paraId="2A3F9FCB" w14:textId="77777777" w:rsidR="00A11528" w:rsidRPr="00241211" w:rsidRDefault="00A11528" w:rsidP="00E74FCE">
            <w:pPr>
              <w:pStyle w:val="Base"/>
              <w:jc w:val="center"/>
            </w:pPr>
            <w:r w:rsidRPr="00241211">
              <w:t>-and-</w:t>
            </w:r>
          </w:p>
          <w:p w14:paraId="65E1F913" w14:textId="77777777" w:rsidR="00A11528" w:rsidRPr="00241211" w:rsidRDefault="00A11528" w:rsidP="00E74FCE">
            <w:pPr>
              <w:pStyle w:val="Base"/>
              <w:jc w:val="center"/>
            </w:pPr>
            <w:r w:rsidRPr="00241211">
              <w:t>Skim/lowfat fluid: gallon</w:t>
            </w:r>
          </w:p>
        </w:tc>
        <w:tc>
          <w:tcPr>
            <w:tcW w:w="2520" w:type="dxa"/>
            <w:vAlign w:val="center"/>
          </w:tcPr>
          <w:p w14:paraId="291D45F0" w14:textId="77777777" w:rsidR="00A11528" w:rsidRPr="00241211" w:rsidRDefault="00A11528" w:rsidP="00E74FCE">
            <w:pPr>
              <w:pStyle w:val="Base"/>
              <w:jc w:val="center"/>
            </w:pPr>
            <w:r w:rsidRPr="00241211">
              <w:t>2 gallons</w:t>
            </w:r>
          </w:p>
          <w:p w14:paraId="6310E193" w14:textId="77777777" w:rsidR="00A11528" w:rsidRPr="00241211" w:rsidRDefault="00A11528" w:rsidP="00E74FCE">
            <w:pPr>
              <w:pStyle w:val="Base"/>
            </w:pPr>
          </w:p>
          <w:p w14:paraId="19AAB8FE" w14:textId="77777777" w:rsidR="00A11528" w:rsidRPr="00241211" w:rsidRDefault="00A11528" w:rsidP="00E74FCE">
            <w:pPr>
              <w:pStyle w:val="Base"/>
              <w:jc w:val="center"/>
            </w:pPr>
            <w:r w:rsidRPr="00241211">
              <w:t xml:space="preserve">6 gallons </w:t>
            </w:r>
          </w:p>
        </w:tc>
      </w:tr>
      <w:tr w:rsidR="00A11528" w:rsidRPr="00241211" w14:paraId="2F456102" w14:textId="77777777" w:rsidTr="00E74FCE">
        <w:trPr>
          <w:trHeight w:val="458"/>
        </w:trPr>
        <w:tc>
          <w:tcPr>
            <w:tcW w:w="2070" w:type="dxa"/>
            <w:vAlign w:val="center"/>
          </w:tcPr>
          <w:p w14:paraId="02123C86" w14:textId="77777777" w:rsidR="00A11528" w:rsidRPr="00241211" w:rsidRDefault="00A11528" w:rsidP="00E74FCE">
            <w:pPr>
              <w:pStyle w:val="Base"/>
              <w:jc w:val="center"/>
            </w:pPr>
            <w:r w:rsidRPr="00241211">
              <w:t>Cheese</w:t>
            </w:r>
          </w:p>
        </w:tc>
        <w:tc>
          <w:tcPr>
            <w:tcW w:w="4680" w:type="dxa"/>
            <w:vAlign w:val="center"/>
          </w:tcPr>
          <w:p w14:paraId="10A89B34" w14:textId="77777777" w:rsidR="00A11528" w:rsidRPr="00241211" w:rsidRDefault="00A11528" w:rsidP="00E74FCE">
            <w:pPr>
              <w:pStyle w:val="Base"/>
              <w:jc w:val="center"/>
            </w:pPr>
            <w:proofErr w:type="gramStart"/>
            <w:r w:rsidRPr="00241211">
              <w:t>1 pound</w:t>
            </w:r>
            <w:proofErr w:type="gramEnd"/>
            <w:r w:rsidRPr="00241211">
              <w:t xml:space="preserve"> package</w:t>
            </w:r>
          </w:p>
        </w:tc>
        <w:tc>
          <w:tcPr>
            <w:tcW w:w="2520" w:type="dxa"/>
            <w:vAlign w:val="center"/>
          </w:tcPr>
          <w:p w14:paraId="2F56C80D" w14:textId="77777777" w:rsidR="00A11528" w:rsidRPr="00241211" w:rsidRDefault="00A11528" w:rsidP="00E74FCE">
            <w:pPr>
              <w:pStyle w:val="Base"/>
              <w:jc w:val="center"/>
            </w:pPr>
            <w:r w:rsidRPr="00241211">
              <w:t>2 packages</w:t>
            </w:r>
          </w:p>
        </w:tc>
      </w:tr>
      <w:tr w:rsidR="00A11528" w:rsidRPr="00241211" w14:paraId="1BE067E3" w14:textId="77777777" w:rsidTr="00E74FCE">
        <w:trPr>
          <w:trHeight w:val="530"/>
        </w:trPr>
        <w:tc>
          <w:tcPr>
            <w:tcW w:w="2070" w:type="dxa"/>
            <w:vAlign w:val="center"/>
          </w:tcPr>
          <w:p w14:paraId="13A74BBE" w14:textId="77777777" w:rsidR="00A11528" w:rsidRPr="00241211" w:rsidRDefault="00A11528" w:rsidP="00E74FCE">
            <w:pPr>
              <w:pStyle w:val="Base"/>
              <w:jc w:val="center"/>
            </w:pPr>
            <w:r w:rsidRPr="00241211">
              <w:t>Cereals</w:t>
            </w:r>
          </w:p>
        </w:tc>
        <w:tc>
          <w:tcPr>
            <w:tcW w:w="4680" w:type="dxa"/>
            <w:vAlign w:val="center"/>
          </w:tcPr>
          <w:p w14:paraId="14116C7A" w14:textId="77777777" w:rsidR="00A11528" w:rsidRPr="00241211" w:rsidRDefault="00A11528" w:rsidP="00E74FCE">
            <w:pPr>
              <w:pStyle w:val="Base"/>
              <w:jc w:val="center"/>
            </w:pPr>
            <w:r w:rsidRPr="00241211">
              <w:t>2 types: whole grain</w:t>
            </w:r>
          </w:p>
          <w:p w14:paraId="7B7B3D7D" w14:textId="77777777" w:rsidR="00A11528" w:rsidRPr="00241211" w:rsidRDefault="00A11528" w:rsidP="00E74FCE">
            <w:pPr>
              <w:jc w:val="center"/>
              <w:rPr>
                <w:kern w:val="0"/>
              </w:rPr>
            </w:pPr>
            <w:r w:rsidRPr="00241211">
              <w:rPr>
                <w:kern w:val="0"/>
              </w:rPr>
              <w:t>(minimum package size 12 ounce)</w:t>
            </w:r>
          </w:p>
        </w:tc>
        <w:tc>
          <w:tcPr>
            <w:tcW w:w="2520" w:type="dxa"/>
            <w:vAlign w:val="center"/>
          </w:tcPr>
          <w:p w14:paraId="41F2D4F4" w14:textId="77777777" w:rsidR="00A11528" w:rsidRPr="00241211" w:rsidRDefault="00A11528" w:rsidP="00E74FCE">
            <w:pPr>
              <w:pStyle w:val="Base"/>
              <w:jc w:val="center"/>
            </w:pPr>
            <w:r w:rsidRPr="00241211">
              <w:t>6 packages total</w:t>
            </w:r>
          </w:p>
        </w:tc>
      </w:tr>
      <w:tr w:rsidR="00A11528" w:rsidRPr="00241211" w14:paraId="6CB7911B" w14:textId="77777777" w:rsidTr="00E74FCE">
        <w:trPr>
          <w:trHeight w:val="585"/>
        </w:trPr>
        <w:tc>
          <w:tcPr>
            <w:tcW w:w="2070" w:type="dxa"/>
            <w:vAlign w:val="center"/>
          </w:tcPr>
          <w:p w14:paraId="0AFE41BD" w14:textId="77777777" w:rsidR="00A11528" w:rsidRPr="00241211" w:rsidRDefault="00A11528" w:rsidP="00E74FCE">
            <w:pPr>
              <w:pStyle w:val="Base"/>
              <w:jc w:val="center"/>
            </w:pPr>
            <w:r w:rsidRPr="00241211">
              <w:t>Eggs</w:t>
            </w:r>
          </w:p>
        </w:tc>
        <w:tc>
          <w:tcPr>
            <w:tcW w:w="4680" w:type="dxa"/>
            <w:vAlign w:val="center"/>
          </w:tcPr>
          <w:p w14:paraId="572CB412" w14:textId="77777777" w:rsidR="00A11528" w:rsidRPr="00241211" w:rsidRDefault="00A11528" w:rsidP="00E74FCE">
            <w:pPr>
              <w:pStyle w:val="Base"/>
              <w:jc w:val="center"/>
            </w:pPr>
            <w:r w:rsidRPr="00241211">
              <w:t>Grade A, large, white:</w:t>
            </w:r>
          </w:p>
          <w:p w14:paraId="6904EA28" w14:textId="77777777" w:rsidR="00A11528" w:rsidRPr="00241211" w:rsidRDefault="00A11528" w:rsidP="00E74FCE">
            <w:pPr>
              <w:pStyle w:val="Base"/>
              <w:jc w:val="center"/>
            </w:pPr>
            <w:r w:rsidRPr="00241211">
              <w:t>1 dozen size carton</w:t>
            </w:r>
          </w:p>
        </w:tc>
        <w:tc>
          <w:tcPr>
            <w:tcW w:w="2520" w:type="dxa"/>
            <w:vAlign w:val="center"/>
          </w:tcPr>
          <w:p w14:paraId="7C97F5A4" w14:textId="77777777" w:rsidR="00A11528" w:rsidRPr="00241211" w:rsidRDefault="00A11528" w:rsidP="00E74FCE">
            <w:pPr>
              <w:pStyle w:val="Base"/>
              <w:jc w:val="center"/>
            </w:pPr>
            <w:r w:rsidRPr="00241211">
              <w:t>2 dozen</w:t>
            </w:r>
          </w:p>
        </w:tc>
      </w:tr>
      <w:tr w:rsidR="00A11528" w:rsidRPr="00241211" w14:paraId="0BFF13FD" w14:textId="77777777" w:rsidTr="00E74FCE">
        <w:trPr>
          <w:trHeight w:val="728"/>
        </w:trPr>
        <w:tc>
          <w:tcPr>
            <w:tcW w:w="2070" w:type="dxa"/>
            <w:vAlign w:val="center"/>
          </w:tcPr>
          <w:p w14:paraId="5946B4D0" w14:textId="77777777" w:rsidR="00A11528" w:rsidRPr="00241211" w:rsidRDefault="00A11528" w:rsidP="00E74FCE">
            <w:pPr>
              <w:pStyle w:val="Base"/>
              <w:jc w:val="center"/>
            </w:pPr>
            <w:r w:rsidRPr="00241211">
              <w:t>Juices</w:t>
            </w:r>
          </w:p>
        </w:tc>
        <w:tc>
          <w:tcPr>
            <w:tcW w:w="4680" w:type="dxa"/>
            <w:vAlign w:val="center"/>
          </w:tcPr>
          <w:p w14:paraId="08938115" w14:textId="77777777" w:rsidR="00A11528" w:rsidRPr="00241211" w:rsidRDefault="00A11528" w:rsidP="00E74FCE">
            <w:pPr>
              <w:pStyle w:val="Base"/>
              <w:jc w:val="center"/>
            </w:pPr>
            <w:r w:rsidRPr="00241211">
              <w:t>Single strength:</w:t>
            </w:r>
          </w:p>
          <w:p w14:paraId="1DCBBD3A" w14:textId="77777777" w:rsidR="00A11528" w:rsidRPr="00241211" w:rsidRDefault="00A11528" w:rsidP="00E74FCE">
            <w:pPr>
              <w:pStyle w:val="Base"/>
              <w:jc w:val="center"/>
            </w:pPr>
            <w:proofErr w:type="gramStart"/>
            <w:r w:rsidRPr="00241211">
              <w:t>48 ounce</w:t>
            </w:r>
            <w:proofErr w:type="gramEnd"/>
            <w:r w:rsidRPr="00241211">
              <w:t xml:space="preserve"> container</w:t>
            </w:r>
          </w:p>
          <w:p w14:paraId="2C270F32" w14:textId="77777777" w:rsidR="00A11528" w:rsidRPr="00241211" w:rsidRDefault="00A11528" w:rsidP="00E74FCE">
            <w:pPr>
              <w:pStyle w:val="Base"/>
              <w:jc w:val="center"/>
            </w:pPr>
            <w:proofErr w:type="gramStart"/>
            <w:r w:rsidRPr="00241211">
              <w:t>64 ounce</w:t>
            </w:r>
            <w:proofErr w:type="gramEnd"/>
            <w:r w:rsidRPr="00241211">
              <w:t xml:space="preserve"> container</w:t>
            </w:r>
          </w:p>
        </w:tc>
        <w:tc>
          <w:tcPr>
            <w:tcW w:w="2520" w:type="dxa"/>
            <w:vAlign w:val="center"/>
          </w:tcPr>
          <w:p w14:paraId="717EC2AF" w14:textId="77777777" w:rsidR="00A11528" w:rsidRPr="00241211" w:rsidRDefault="00A11528" w:rsidP="00E74FCE">
            <w:pPr>
              <w:pStyle w:val="Base"/>
            </w:pPr>
          </w:p>
          <w:p w14:paraId="26FFA564" w14:textId="77777777" w:rsidR="00A11528" w:rsidRPr="00241211" w:rsidRDefault="00A11528" w:rsidP="00E74FCE">
            <w:pPr>
              <w:pStyle w:val="Base"/>
              <w:jc w:val="center"/>
            </w:pPr>
            <w:r w:rsidRPr="00241211">
              <w:t>4 containers</w:t>
            </w:r>
          </w:p>
          <w:p w14:paraId="3878C3DF" w14:textId="77777777" w:rsidR="00A11528" w:rsidRPr="00241211" w:rsidRDefault="00A11528" w:rsidP="00E74FCE">
            <w:pPr>
              <w:pStyle w:val="Base"/>
              <w:jc w:val="center"/>
            </w:pPr>
            <w:r w:rsidRPr="00241211">
              <w:t>4 containers</w:t>
            </w:r>
          </w:p>
        </w:tc>
      </w:tr>
      <w:tr w:rsidR="00A11528" w:rsidRPr="00241211" w14:paraId="30166BEE" w14:textId="77777777" w:rsidTr="00E74FCE">
        <w:trPr>
          <w:trHeight w:val="440"/>
        </w:trPr>
        <w:tc>
          <w:tcPr>
            <w:tcW w:w="2070" w:type="dxa"/>
            <w:vAlign w:val="center"/>
          </w:tcPr>
          <w:p w14:paraId="53AE7972" w14:textId="77777777" w:rsidR="00A11528" w:rsidRPr="00241211" w:rsidRDefault="00A11528" w:rsidP="00E74FCE">
            <w:pPr>
              <w:pStyle w:val="Base"/>
              <w:jc w:val="center"/>
            </w:pPr>
            <w:r w:rsidRPr="00241211">
              <w:t>Dried Peas and Beans</w:t>
            </w:r>
          </w:p>
        </w:tc>
        <w:tc>
          <w:tcPr>
            <w:tcW w:w="4680" w:type="dxa"/>
            <w:vAlign w:val="center"/>
          </w:tcPr>
          <w:p w14:paraId="6775EE84" w14:textId="77777777" w:rsidR="00A11528" w:rsidRPr="00241211" w:rsidRDefault="00A11528" w:rsidP="00E74FCE">
            <w:pPr>
              <w:pStyle w:val="Base"/>
              <w:jc w:val="center"/>
            </w:pPr>
            <w:proofErr w:type="gramStart"/>
            <w:r w:rsidRPr="00241211">
              <w:t>1 pound</w:t>
            </w:r>
            <w:proofErr w:type="gramEnd"/>
            <w:r w:rsidRPr="00241211">
              <w:t xml:space="preserve"> package</w:t>
            </w:r>
          </w:p>
        </w:tc>
        <w:tc>
          <w:tcPr>
            <w:tcW w:w="2520" w:type="dxa"/>
            <w:vAlign w:val="center"/>
          </w:tcPr>
          <w:p w14:paraId="324C3192" w14:textId="77777777" w:rsidR="00A11528" w:rsidRPr="00241211" w:rsidRDefault="00A11528" w:rsidP="00E74FCE">
            <w:pPr>
              <w:pStyle w:val="Base"/>
              <w:jc w:val="center"/>
            </w:pPr>
            <w:r w:rsidRPr="00241211">
              <w:t>2 packages</w:t>
            </w:r>
          </w:p>
        </w:tc>
      </w:tr>
      <w:tr w:rsidR="00A11528" w:rsidRPr="00241211" w14:paraId="4FAAF7C1" w14:textId="77777777" w:rsidTr="00E74FCE">
        <w:trPr>
          <w:trHeight w:val="510"/>
        </w:trPr>
        <w:tc>
          <w:tcPr>
            <w:tcW w:w="2070" w:type="dxa"/>
            <w:vAlign w:val="center"/>
          </w:tcPr>
          <w:p w14:paraId="673764A6" w14:textId="77777777" w:rsidR="00A11528" w:rsidRPr="00241211" w:rsidRDefault="00A11528" w:rsidP="00E74FCE">
            <w:pPr>
              <w:pStyle w:val="Base"/>
              <w:jc w:val="center"/>
            </w:pPr>
            <w:r w:rsidRPr="00241211">
              <w:t>Peanut Butter</w:t>
            </w:r>
          </w:p>
        </w:tc>
        <w:tc>
          <w:tcPr>
            <w:tcW w:w="4680" w:type="dxa"/>
            <w:vAlign w:val="center"/>
          </w:tcPr>
          <w:p w14:paraId="531D1051" w14:textId="77777777" w:rsidR="00A11528" w:rsidRPr="00241211" w:rsidRDefault="00A11528" w:rsidP="00E74FCE">
            <w:pPr>
              <w:pStyle w:val="Base"/>
              <w:jc w:val="center"/>
            </w:pPr>
            <w:r w:rsidRPr="00241211">
              <w:t xml:space="preserve">16 to </w:t>
            </w:r>
            <w:proofErr w:type="gramStart"/>
            <w:r w:rsidRPr="00241211">
              <w:t>18 ounce</w:t>
            </w:r>
            <w:proofErr w:type="gramEnd"/>
            <w:r w:rsidRPr="00241211">
              <w:t xml:space="preserve"> container</w:t>
            </w:r>
          </w:p>
        </w:tc>
        <w:tc>
          <w:tcPr>
            <w:tcW w:w="2520" w:type="dxa"/>
            <w:vAlign w:val="center"/>
          </w:tcPr>
          <w:p w14:paraId="1D07CF5E" w14:textId="77777777" w:rsidR="00A11528" w:rsidRPr="00241211" w:rsidRDefault="00A11528" w:rsidP="00E74FCE">
            <w:pPr>
              <w:pStyle w:val="Base"/>
              <w:jc w:val="center"/>
            </w:pPr>
            <w:r w:rsidRPr="00241211">
              <w:t>2 containers</w:t>
            </w:r>
          </w:p>
        </w:tc>
      </w:tr>
      <w:tr w:rsidR="00A11528" w:rsidRPr="00241211" w14:paraId="2BBA3E57"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6CEF8033" w14:textId="77777777" w:rsidR="00A11528" w:rsidRPr="00241211" w:rsidRDefault="00A11528" w:rsidP="00E74FCE">
            <w:pPr>
              <w:pStyle w:val="Base"/>
              <w:jc w:val="center"/>
            </w:pPr>
            <w:r w:rsidRPr="00241211">
              <w:t>Tuna</w:t>
            </w:r>
          </w:p>
        </w:tc>
        <w:tc>
          <w:tcPr>
            <w:tcW w:w="4680" w:type="dxa"/>
            <w:tcBorders>
              <w:top w:val="single" w:sz="4" w:space="0" w:color="auto"/>
              <w:left w:val="single" w:sz="4" w:space="0" w:color="auto"/>
              <w:bottom w:val="single" w:sz="4" w:space="0" w:color="auto"/>
              <w:right w:val="single" w:sz="4" w:space="0" w:color="auto"/>
            </w:tcBorders>
            <w:vAlign w:val="center"/>
          </w:tcPr>
          <w:p w14:paraId="3B16239B" w14:textId="77777777" w:rsidR="00A11528" w:rsidRPr="00241211" w:rsidRDefault="00A11528" w:rsidP="00E74FCE">
            <w:pPr>
              <w:pStyle w:val="Base"/>
              <w:jc w:val="center"/>
            </w:pPr>
            <w:r w:rsidRPr="00241211">
              <w:t>5 to 6 ounce can</w:t>
            </w:r>
          </w:p>
        </w:tc>
        <w:tc>
          <w:tcPr>
            <w:tcW w:w="2520" w:type="dxa"/>
            <w:tcBorders>
              <w:top w:val="single" w:sz="4" w:space="0" w:color="auto"/>
              <w:left w:val="single" w:sz="4" w:space="0" w:color="auto"/>
              <w:bottom w:val="single" w:sz="4" w:space="0" w:color="auto"/>
              <w:right w:val="single" w:sz="4" w:space="0" w:color="auto"/>
            </w:tcBorders>
            <w:vAlign w:val="center"/>
          </w:tcPr>
          <w:p w14:paraId="5B60CD8B" w14:textId="77777777" w:rsidR="00A11528" w:rsidRPr="00241211" w:rsidRDefault="00A11528" w:rsidP="00E74FCE">
            <w:pPr>
              <w:pStyle w:val="Base"/>
              <w:jc w:val="center"/>
            </w:pPr>
            <w:r w:rsidRPr="00241211">
              <w:t>6 cans</w:t>
            </w:r>
          </w:p>
        </w:tc>
      </w:tr>
      <w:tr w:rsidR="00A11528" w:rsidRPr="00241211" w14:paraId="51C44C31"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22F65837" w14:textId="77777777" w:rsidR="00A11528" w:rsidRPr="00241211" w:rsidRDefault="00A11528" w:rsidP="00E74FCE">
            <w:pPr>
              <w:pStyle w:val="Base"/>
              <w:jc w:val="center"/>
            </w:pPr>
            <w:r w:rsidRPr="00241211">
              <w:t>Bread/Tortillas</w:t>
            </w:r>
          </w:p>
        </w:tc>
        <w:tc>
          <w:tcPr>
            <w:tcW w:w="4680" w:type="dxa"/>
            <w:tcBorders>
              <w:top w:val="single" w:sz="4" w:space="0" w:color="auto"/>
              <w:left w:val="single" w:sz="4" w:space="0" w:color="auto"/>
              <w:bottom w:val="single" w:sz="4" w:space="0" w:color="auto"/>
              <w:right w:val="single" w:sz="4" w:space="0" w:color="auto"/>
            </w:tcBorders>
            <w:vAlign w:val="center"/>
          </w:tcPr>
          <w:p w14:paraId="5FA2E9D4" w14:textId="77777777" w:rsidR="00A11528" w:rsidRPr="00241211" w:rsidRDefault="00A11528" w:rsidP="00E74FCE">
            <w:pPr>
              <w:pStyle w:val="Base"/>
              <w:jc w:val="center"/>
            </w:pPr>
            <w:proofErr w:type="gramStart"/>
            <w:r w:rsidRPr="00241211">
              <w:t>16 ounce</w:t>
            </w:r>
            <w:proofErr w:type="gramEnd"/>
            <w:r w:rsidRPr="00241211">
              <w:t xml:space="preserve"> loaf of bread or package of tortillas</w:t>
            </w:r>
          </w:p>
        </w:tc>
        <w:tc>
          <w:tcPr>
            <w:tcW w:w="2520" w:type="dxa"/>
            <w:tcBorders>
              <w:top w:val="single" w:sz="4" w:space="0" w:color="auto"/>
              <w:left w:val="single" w:sz="4" w:space="0" w:color="auto"/>
              <w:bottom w:val="single" w:sz="4" w:space="0" w:color="auto"/>
              <w:right w:val="single" w:sz="4" w:space="0" w:color="auto"/>
            </w:tcBorders>
            <w:vAlign w:val="center"/>
          </w:tcPr>
          <w:p w14:paraId="07F15E88" w14:textId="77777777" w:rsidR="00A11528" w:rsidRPr="00241211" w:rsidRDefault="00A11528" w:rsidP="00E74FCE">
            <w:pPr>
              <w:pStyle w:val="Base"/>
              <w:jc w:val="center"/>
            </w:pPr>
            <w:r w:rsidRPr="00241211">
              <w:t>2 loaves or 2 packages OR 1 loaf and 1 package</w:t>
            </w:r>
          </w:p>
        </w:tc>
      </w:tr>
      <w:tr w:rsidR="00A11528" w:rsidRPr="00241211" w14:paraId="4D9BA571"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72ABC3E5" w14:textId="77777777" w:rsidR="00A11528" w:rsidRPr="00241211" w:rsidRDefault="00A11528" w:rsidP="00E74FCE">
            <w:pPr>
              <w:pStyle w:val="Base"/>
              <w:jc w:val="center"/>
            </w:pPr>
            <w:r w:rsidRPr="00241211">
              <w:t>Rice</w:t>
            </w:r>
          </w:p>
        </w:tc>
        <w:tc>
          <w:tcPr>
            <w:tcW w:w="4680" w:type="dxa"/>
            <w:tcBorders>
              <w:top w:val="single" w:sz="4" w:space="0" w:color="auto"/>
              <w:left w:val="single" w:sz="4" w:space="0" w:color="auto"/>
              <w:bottom w:val="single" w:sz="4" w:space="0" w:color="auto"/>
              <w:right w:val="single" w:sz="4" w:space="0" w:color="auto"/>
            </w:tcBorders>
            <w:vAlign w:val="center"/>
          </w:tcPr>
          <w:p w14:paraId="42872F10" w14:textId="77777777" w:rsidR="00A11528" w:rsidRPr="00241211" w:rsidRDefault="00A11528" w:rsidP="00E74FCE">
            <w:pPr>
              <w:pStyle w:val="Base"/>
              <w:jc w:val="center"/>
            </w:pPr>
            <w:r w:rsidRPr="00241211">
              <w:t xml:space="preserve">14 to </w:t>
            </w:r>
            <w:proofErr w:type="gramStart"/>
            <w:r w:rsidRPr="00241211">
              <w:t>16 ounce</w:t>
            </w:r>
            <w:proofErr w:type="gramEnd"/>
            <w:r w:rsidRPr="00241211">
              <w:t xml:space="preserve"> package</w:t>
            </w:r>
          </w:p>
        </w:tc>
        <w:tc>
          <w:tcPr>
            <w:tcW w:w="2520" w:type="dxa"/>
            <w:tcBorders>
              <w:top w:val="single" w:sz="4" w:space="0" w:color="auto"/>
              <w:left w:val="single" w:sz="4" w:space="0" w:color="auto"/>
              <w:bottom w:val="single" w:sz="4" w:space="0" w:color="auto"/>
              <w:right w:val="single" w:sz="4" w:space="0" w:color="auto"/>
            </w:tcBorders>
            <w:vAlign w:val="center"/>
          </w:tcPr>
          <w:p w14:paraId="572550DA" w14:textId="77777777" w:rsidR="00A11528" w:rsidRPr="00241211" w:rsidRDefault="00A11528" w:rsidP="00E74FCE">
            <w:pPr>
              <w:pStyle w:val="Base"/>
              <w:jc w:val="center"/>
            </w:pPr>
            <w:r w:rsidRPr="00241211">
              <w:t>2 packages</w:t>
            </w:r>
          </w:p>
        </w:tc>
      </w:tr>
      <w:tr w:rsidR="00A11528" w:rsidRPr="00241211" w14:paraId="3E87D7DB"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6726CF9E" w14:textId="77777777" w:rsidR="00A11528" w:rsidRPr="00241211" w:rsidRDefault="00A11528" w:rsidP="00E74FCE">
            <w:pPr>
              <w:pStyle w:val="Base"/>
              <w:jc w:val="center"/>
            </w:pPr>
            <w:r w:rsidRPr="00241211">
              <w:t>Infant Cereal</w:t>
            </w:r>
          </w:p>
        </w:tc>
        <w:tc>
          <w:tcPr>
            <w:tcW w:w="4680" w:type="dxa"/>
            <w:tcBorders>
              <w:top w:val="single" w:sz="4" w:space="0" w:color="auto"/>
              <w:left w:val="single" w:sz="4" w:space="0" w:color="auto"/>
              <w:bottom w:val="single" w:sz="4" w:space="0" w:color="auto"/>
              <w:right w:val="single" w:sz="4" w:space="0" w:color="auto"/>
            </w:tcBorders>
            <w:vAlign w:val="center"/>
          </w:tcPr>
          <w:p w14:paraId="56F7CBFF" w14:textId="77777777" w:rsidR="00A11528" w:rsidRPr="00241211" w:rsidRDefault="00A11528" w:rsidP="00E74FCE">
            <w:pPr>
              <w:pStyle w:val="Base"/>
              <w:jc w:val="center"/>
            </w:pPr>
            <w:proofErr w:type="gramStart"/>
            <w:r w:rsidRPr="00241211">
              <w:t>8 ounce</w:t>
            </w:r>
            <w:proofErr w:type="gramEnd"/>
            <w:r w:rsidRPr="00241211">
              <w:t xml:space="preserve"> box</w:t>
            </w:r>
          </w:p>
        </w:tc>
        <w:tc>
          <w:tcPr>
            <w:tcW w:w="2520" w:type="dxa"/>
            <w:tcBorders>
              <w:top w:val="single" w:sz="4" w:space="0" w:color="auto"/>
              <w:left w:val="single" w:sz="4" w:space="0" w:color="auto"/>
              <w:bottom w:val="single" w:sz="4" w:space="0" w:color="auto"/>
              <w:right w:val="single" w:sz="4" w:space="0" w:color="auto"/>
            </w:tcBorders>
            <w:vAlign w:val="center"/>
          </w:tcPr>
          <w:p w14:paraId="7B59C92E" w14:textId="77777777" w:rsidR="00A11528" w:rsidRPr="00241211" w:rsidRDefault="00A11528" w:rsidP="00E74FCE">
            <w:pPr>
              <w:pStyle w:val="Base"/>
              <w:jc w:val="center"/>
            </w:pPr>
            <w:r w:rsidRPr="00241211">
              <w:t>6 boxes</w:t>
            </w:r>
          </w:p>
        </w:tc>
      </w:tr>
      <w:tr w:rsidR="00A11528" w:rsidRPr="00241211" w14:paraId="398CE0B5"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7C70C6FE" w14:textId="77777777" w:rsidR="00A11528" w:rsidRPr="00241211" w:rsidRDefault="00A11528" w:rsidP="00E74FCE">
            <w:pPr>
              <w:pStyle w:val="Base"/>
              <w:jc w:val="center"/>
            </w:pPr>
            <w:r w:rsidRPr="00241211">
              <w:t>Infant Fruits and Vegetables</w:t>
            </w:r>
          </w:p>
        </w:tc>
        <w:tc>
          <w:tcPr>
            <w:tcW w:w="4680" w:type="dxa"/>
            <w:tcBorders>
              <w:top w:val="single" w:sz="4" w:space="0" w:color="auto"/>
              <w:left w:val="single" w:sz="4" w:space="0" w:color="auto"/>
              <w:bottom w:val="single" w:sz="4" w:space="0" w:color="auto"/>
              <w:right w:val="single" w:sz="4" w:space="0" w:color="auto"/>
            </w:tcBorders>
            <w:vAlign w:val="center"/>
          </w:tcPr>
          <w:p w14:paraId="0D8F07B2" w14:textId="77777777" w:rsidR="00A11528" w:rsidRPr="00241211" w:rsidRDefault="00A11528" w:rsidP="00E74FCE">
            <w:pPr>
              <w:pStyle w:val="Base"/>
              <w:jc w:val="center"/>
            </w:pPr>
            <w:r w:rsidRPr="00241211">
              <w:t xml:space="preserve">3.5 to </w:t>
            </w:r>
            <w:proofErr w:type="gramStart"/>
            <w:r w:rsidRPr="00241211">
              <w:t>4 ounce</w:t>
            </w:r>
            <w:proofErr w:type="gramEnd"/>
            <w:r w:rsidRPr="00241211">
              <w:t xml:space="preserve"> container</w:t>
            </w:r>
          </w:p>
          <w:p w14:paraId="4326F03C" w14:textId="77777777" w:rsidR="00A11528" w:rsidRPr="00241211" w:rsidRDefault="00A11528" w:rsidP="00E74FCE">
            <w:pPr>
              <w:pStyle w:val="Base"/>
              <w:jc w:val="center"/>
            </w:pPr>
            <w:r w:rsidRPr="00241211">
              <w:t>1 type of fruit and 1 type of vegetable</w:t>
            </w:r>
          </w:p>
        </w:tc>
        <w:tc>
          <w:tcPr>
            <w:tcW w:w="2520" w:type="dxa"/>
            <w:tcBorders>
              <w:top w:val="single" w:sz="4" w:space="0" w:color="auto"/>
              <w:left w:val="single" w:sz="4" w:space="0" w:color="auto"/>
              <w:bottom w:val="single" w:sz="4" w:space="0" w:color="auto"/>
              <w:right w:val="single" w:sz="4" w:space="0" w:color="auto"/>
            </w:tcBorders>
            <w:vAlign w:val="center"/>
          </w:tcPr>
          <w:p w14:paraId="47DB0CF5" w14:textId="77777777" w:rsidR="00A11528" w:rsidRPr="00241211" w:rsidRDefault="00A11528" w:rsidP="00E74FCE">
            <w:pPr>
              <w:pStyle w:val="Base"/>
              <w:jc w:val="center"/>
            </w:pPr>
            <w:r w:rsidRPr="00241211">
              <w:t>64 ounces</w:t>
            </w:r>
          </w:p>
        </w:tc>
      </w:tr>
      <w:tr w:rsidR="00A11528" w:rsidRPr="00241211" w14:paraId="51A4BC0C"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6C954117" w14:textId="77777777" w:rsidR="00A11528" w:rsidRPr="00241211" w:rsidRDefault="00A11528" w:rsidP="00E74FCE">
            <w:pPr>
              <w:pStyle w:val="Base"/>
              <w:jc w:val="center"/>
            </w:pPr>
            <w:r w:rsidRPr="00241211">
              <w:t>Infant Formula</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4EEF82E" w14:textId="77777777" w:rsidR="00A11528" w:rsidRPr="00241211" w:rsidRDefault="00A11528" w:rsidP="00E74FCE">
            <w:pPr>
              <w:pStyle w:val="Base"/>
              <w:jc w:val="center"/>
            </w:pPr>
            <w:r w:rsidRPr="00241211">
              <w:t>milk-based powder; 11.0 to 14.0 ounce</w:t>
            </w:r>
          </w:p>
          <w:p w14:paraId="4EB3DB0C" w14:textId="77777777" w:rsidR="00A11528" w:rsidRPr="00241211" w:rsidRDefault="00A11528" w:rsidP="00E74FCE">
            <w:pPr>
              <w:pStyle w:val="Base"/>
              <w:jc w:val="center"/>
            </w:pPr>
            <w:r w:rsidRPr="00241211">
              <w:t>-and-</w:t>
            </w:r>
          </w:p>
          <w:p w14:paraId="64E72922" w14:textId="77777777" w:rsidR="00A11528" w:rsidRPr="00241211" w:rsidRDefault="00A11528" w:rsidP="00E74FCE">
            <w:pPr>
              <w:pStyle w:val="Base"/>
              <w:jc w:val="center"/>
            </w:pPr>
            <w:r w:rsidRPr="00241211">
              <w:t>soy-based powder; 11.0 to 14.0 ounce</w:t>
            </w:r>
          </w:p>
          <w:p w14:paraId="1321EC06" w14:textId="77777777" w:rsidR="00A11528" w:rsidRPr="00241211" w:rsidRDefault="00A11528" w:rsidP="00E74FCE">
            <w:pPr>
              <w:pStyle w:val="Base"/>
              <w:jc w:val="center"/>
            </w:pPr>
            <w:r w:rsidRPr="00241211">
              <w:t>Brands must be the primary contract infant formulas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686086" w14:textId="77777777" w:rsidR="00A11528" w:rsidRPr="00241211" w:rsidRDefault="00A11528" w:rsidP="00E74FCE">
            <w:pPr>
              <w:pStyle w:val="Base"/>
              <w:jc w:val="center"/>
            </w:pPr>
          </w:p>
          <w:p w14:paraId="1A4BACF4" w14:textId="77777777" w:rsidR="00A11528" w:rsidRPr="00241211" w:rsidRDefault="00A11528" w:rsidP="00E74FCE">
            <w:pPr>
              <w:pStyle w:val="Base"/>
              <w:jc w:val="center"/>
            </w:pPr>
            <w:r w:rsidRPr="00241211">
              <w:t>8 cans</w:t>
            </w:r>
          </w:p>
          <w:p w14:paraId="6436CFED" w14:textId="77777777" w:rsidR="00A11528" w:rsidRPr="00241211" w:rsidRDefault="00A11528" w:rsidP="00E74FCE">
            <w:pPr>
              <w:pStyle w:val="Base"/>
              <w:jc w:val="center"/>
            </w:pPr>
          </w:p>
          <w:p w14:paraId="25D39549" w14:textId="77777777" w:rsidR="00A11528" w:rsidRPr="00241211" w:rsidRDefault="00A11528" w:rsidP="00E74FCE">
            <w:pPr>
              <w:pStyle w:val="Base"/>
              <w:jc w:val="center"/>
            </w:pPr>
            <w:r w:rsidRPr="00241211">
              <w:t>4 cans</w:t>
            </w:r>
          </w:p>
          <w:p w14:paraId="4112D15C" w14:textId="77777777" w:rsidR="00A11528" w:rsidRPr="00241211" w:rsidRDefault="00A11528" w:rsidP="00E74FCE">
            <w:pPr>
              <w:pStyle w:val="Base"/>
            </w:pPr>
          </w:p>
          <w:p w14:paraId="09F686F9" w14:textId="77777777" w:rsidR="00A11528" w:rsidRPr="00241211" w:rsidRDefault="00A11528" w:rsidP="00E74FCE">
            <w:pPr>
              <w:pStyle w:val="Base"/>
            </w:pPr>
          </w:p>
        </w:tc>
      </w:tr>
      <w:tr w:rsidR="00A11528" w:rsidRPr="00241211" w14:paraId="27924EA3"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37CEFE0A" w14:textId="77777777" w:rsidR="00A11528" w:rsidRPr="00241211" w:rsidRDefault="00A11528" w:rsidP="00E74FCE">
            <w:pPr>
              <w:pStyle w:val="Base"/>
              <w:jc w:val="center"/>
            </w:pPr>
            <w:r w:rsidRPr="00241211">
              <w:t>Fruits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AF48BC5" w14:textId="77777777" w:rsidR="00A11528" w:rsidRPr="00241211" w:rsidRDefault="00A11528" w:rsidP="00E74FCE">
            <w:pPr>
              <w:pStyle w:val="Base"/>
              <w:jc w:val="center"/>
            </w:pPr>
            <w:r w:rsidRPr="00241211">
              <w:t>14 to 16 ounce can: 2 varieties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2A2B8A5" w14:textId="77777777" w:rsidR="00A11528" w:rsidRPr="00241211" w:rsidRDefault="00A11528" w:rsidP="00E74FCE">
            <w:pPr>
              <w:pStyle w:val="Base"/>
              <w:jc w:val="center"/>
            </w:pPr>
            <w:r w:rsidRPr="00241211">
              <w:t>10 cans total</w:t>
            </w:r>
          </w:p>
        </w:tc>
      </w:tr>
      <w:tr w:rsidR="00A11528" w:rsidRPr="00241211" w14:paraId="0D9CF28F" w14:textId="77777777" w:rsidTr="00E74FCE">
        <w:trPr>
          <w:trHeight w:val="510"/>
        </w:trPr>
        <w:tc>
          <w:tcPr>
            <w:tcW w:w="2070" w:type="dxa"/>
            <w:tcBorders>
              <w:top w:val="single" w:sz="4" w:space="0" w:color="auto"/>
              <w:left w:val="single" w:sz="4" w:space="0" w:color="auto"/>
              <w:bottom w:val="single" w:sz="4" w:space="0" w:color="auto"/>
              <w:right w:val="single" w:sz="4" w:space="0" w:color="auto"/>
            </w:tcBorders>
            <w:vAlign w:val="center"/>
          </w:tcPr>
          <w:p w14:paraId="32DF7BA3" w14:textId="77777777" w:rsidR="00A11528" w:rsidRPr="00241211" w:rsidRDefault="00A11528" w:rsidP="00E74FCE">
            <w:pPr>
              <w:pStyle w:val="Base"/>
              <w:jc w:val="center"/>
            </w:pPr>
            <w:r w:rsidRPr="00241211">
              <w:t>Vegetables</w:t>
            </w:r>
          </w:p>
          <w:p w14:paraId="4296ED70" w14:textId="77777777" w:rsidR="00A11528" w:rsidRPr="00241211" w:rsidRDefault="00A11528" w:rsidP="00E74FCE">
            <w:pPr>
              <w:jc w:val="center"/>
              <w:rPr>
                <w:kern w:val="0"/>
              </w:rPr>
            </w:pPr>
            <w:r w:rsidRPr="00241211">
              <w:rPr>
                <w:kern w:val="0"/>
              </w:rPr>
              <w:lastRenderedPageBreak/>
              <w:t>(Excludes foods in Dried Peas and Beans category)</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31FB7A2" w14:textId="77777777" w:rsidR="00A11528" w:rsidRPr="00241211" w:rsidRDefault="00A11528" w:rsidP="00E74FCE">
            <w:pPr>
              <w:pStyle w:val="Base"/>
              <w:jc w:val="center"/>
            </w:pPr>
            <w:r w:rsidRPr="00241211">
              <w:lastRenderedPageBreak/>
              <w:t>14 to 16 ounce can: 2 varieties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2D48270" w14:textId="77777777" w:rsidR="00A11528" w:rsidRPr="00241211" w:rsidRDefault="00A11528" w:rsidP="00E74FCE">
            <w:pPr>
              <w:pStyle w:val="Base"/>
              <w:jc w:val="center"/>
            </w:pPr>
            <w:r w:rsidRPr="00241211">
              <w:t>10 cans total</w:t>
            </w:r>
          </w:p>
        </w:tc>
      </w:tr>
    </w:tbl>
    <w:bookmarkEnd w:id="4"/>
    <w:p w14:paraId="591212B1" w14:textId="77777777" w:rsidR="00A11528" w:rsidRDefault="00A11528" w:rsidP="00A11528">
      <w:pPr>
        <w:pStyle w:val="Paragraph"/>
      </w:pPr>
      <w:r w:rsidRPr="00241211">
        <w:t>All vendors, except free-standing pharmacies, shall supply milk or soy-based infant formula in 32 ounce ready-to-feed or powder within 48 hours of request by the State or local WIC agency. Free-standing pharmacies shall only supply exempt infant formula or WIC-eligible nutritionals. Free-standing pharmacies shall supply exempt infant formula or WIC-eligible nutritionals within 48 hours of a request;</w:t>
      </w:r>
    </w:p>
    <w:p w14:paraId="2563F9BA" w14:textId="77777777" w:rsidR="00A11528" w:rsidRPr="00241211" w:rsidRDefault="00A11528" w:rsidP="00A11528">
      <w:pPr>
        <w:pStyle w:val="Paragraph"/>
      </w:pPr>
    </w:p>
    <w:p w14:paraId="42029158" w14:textId="672A7680" w:rsidR="00623666" w:rsidRDefault="00623666" w:rsidP="001D2CEB">
      <w:pPr>
        <w:pStyle w:val="Item"/>
        <w:tabs>
          <w:tab w:val="clear" w:pos="1800"/>
        </w:tabs>
        <w:sectPr w:rsidR="00623666" w:rsidSect="001D2CEB">
          <w:type w:val="continuous"/>
          <w:pgSz w:w="12240" w:h="15840"/>
          <w:pgMar w:top="360" w:right="720" w:bottom="360" w:left="720" w:header="360" w:footer="360" w:gutter="0"/>
          <w:cols w:space="360"/>
          <w:docGrid w:linePitch="360"/>
        </w:sectPr>
      </w:pPr>
    </w:p>
    <w:p w14:paraId="778EBE4C" w14:textId="77777777" w:rsidR="006A0BDB" w:rsidRPr="00241211" w:rsidRDefault="006A0BDB" w:rsidP="001D2CEB">
      <w:pPr>
        <w:pStyle w:val="Item"/>
        <w:tabs>
          <w:tab w:val="clear" w:pos="1800"/>
        </w:tabs>
      </w:pPr>
      <w:r w:rsidRPr="00241211">
        <w:t>(18)</w:t>
      </w:r>
      <w:r w:rsidRPr="00241211">
        <w:tab/>
        <w:t>Ensure that all supplemental foods in the store for purchase are within the manufacturer's expiration date;</w:t>
      </w:r>
    </w:p>
    <w:p w14:paraId="3A2767F0" w14:textId="77777777" w:rsidR="006A0BDB" w:rsidRPr="00241211" w:rsidRDefault="006A0BDB" w:rsidP="001D2CEB">
      <w:pPr>
        <w:pStyle w:val="Item"/>
        <w:tabs>
          <w:tab w:val="clear" w:pos="1800"/>
        </w:tabs>
      </w:pPr>
      <w:r w:rsidRPr="00241211">
        <w:t>(19)</w:t>
      </w:r>
      <w:r w:rsidRPr="00241211">
        <w:tab/>
        <w:t>Permit the purchase of supplemental food without requiring other purchases;</w:t>
      </w:r>
    </w:p>
    <w:p w14:paraId="14CB459F" w14:textId="77777777" w:rsidR="006A0BDB" w:rsidRPr="00241211" w:rsidRDefault="006A0BDB" w:rsidP="001D2CEB">
      <w:pPr>
        <w:pStyle w:val="Item"/>
        <w:tabs>
          <w:tab w:val="clear" w:pos="1800"/>
        </w:tabs>
      </w:pPr>
      <w:r w:rsidRPr="00241211">
        <w:t>(20)</w:t>
      </w:r>
      <w:r w:rsidRPr="00241211">
        <w:tab/>
        <w:t>Comply with the following EBT provisions:</w:t>
      </w:r>
    </w:p>
    <w:p w14:paraId="553A99A9" w14:textId="77777777" w:rsidR="006A0BDB" w:rsidRPr="00241211" w:rsidRDefault="006A0BDB" w:rsidP="001D2CEB">
      <w:pPr>
        <w:pStyle w:val="SubItemLvl1"/>
        <w:tabs>
          <w:tab w:val="clear" w:pos="2520"/>
        </w:tabs>
      </w:pPr>
      <w:r w:rsidRPr="00241211">
        <w:t>(a)</w:t>
      </w:r>
      <w:r w:rsidRPr="00241211">
        <w:tab/>
        <w:t>Sign the WIC Vendor Agreement of the EBT Processor selected by the State WIC Program or a third-party processor that has been certified according to criteria established by the EBT Processor selected by the State WIC Program. Failure by a vendor to sign and retain a WIC Vendor Agreement with the State WIC Program's EBT Processor or a third-party processor that has been certified by the State WIC Program's EBT Processor shall result in termination of the WIC Vendor Agreement. Vendors shall notify the WIC Program within 24 hours of any periods of time during which they do not maintain an Agreement with the State WIC Program's EBT Processor or a third-party processor that has been certified by the State WIC Program's EBT Processor;</w:t>
      </w:r>
    </w:p>
    <w:p w14:paraId="4425CB60" w14:textId="77777777" w:rsidR="006A0BDB" w:rsidRPr="00241211" w:rsidRDefault="006A0BDB" w:rsidP="001D2CEB">
      <w:pPr>
        <w:pStyle w:val="SubItemLvl1"/>
        <w:tabs>
          <w:tab w:val="clear" w:pos="2520"/>
        </w:tabs>
      </w:pPr>
      <w:r w:rsidRPr="00241211">
        <w:t>(b)</w:t>
      </w:r>
      <w:r w:rsidRPr="00241211">
        <w:tab/>
        <w:t>Process EBT transactions in accordance with the terms of the North Carolina WIC Vendor Agreement, WIC Program State Rules, federal regulations, and statutes;</w:t>
      </w:r>
    </w:p>
    <w:p w14:paraId="78F7F9B0" w14:textId="77777777" w:rsidR="006A0BDB" w:rsidRPr="00241211" w:rsidRDefault="006A0BDB" w:rsidP="001D2CEB">
      <w:pPr>
        <w:pStyle w:val="SubItemLvl1"/>
        <w:tabs>
          <w:tab w:val="clear" w:pos="2520"/>
        </w:tabs>
      </w:pPr>
      <w:r w:rsidRPr="00241211">
        <w:t>(c)</w:t>
      </w:r>
      <w:r w:rsidRPr="00241211">
        <w:tab/>
        <w:t>Maintain Point of Sale (POS) terminals used to support the WIC Program in accordance with the minimum lane provisions of 7 C.F.R. 246.12(z)(2);</w:t>
      </w:r>
    </w:p>
    <w:p w14:paraId="5C32D0A5" w14:textId="77777777" w:rsidR="006A0BDB" w:rsidRPr="00241211" w:rsidRDefault="006A0BDB" w:rsidP="001D2CEB">
      <w:pPr>
        <w:pStyle w:val="SubItemLvl1"/>
        <w:tabs>
          <w:tab w:val="clear" w:pos="2520"/>
        </w:tabs>
      </w:pPr>
      <w:r w:rsidRPr="00241211">
        <w:t>(d)</w:t>
      </w:r>
      <w:r w:rsidRPr="00241211">
        <w:tab/>
        <w:t>Maintain a North Carolina EBT Processor certified in-store EBT system that is available for WIC redemption processing during all hours the store is open;</w:t>
      </w:r>
    </w:p>
    <w:p w14:paraId="247B1F96" w14:textId="77777777" w:rsidR="006A0BDB" w:rsidRPr="00241211" w:rsidRDefault="006A0BDB" w:rsidP="001D2CEB">
      <w:pPr>
        <w:pStyle w:val="SubItemLvl1"/>
        <w:tabs>
          <w:tab w:val="clear" w:pos="2520"/>
        </w:tabs>
      </w:pPr>
      <w:r w:rsidRPr="00241211">
        <w:t>(e)</w:t>
      </w:r>
      <w:r w:rsidRPr="00241211">
        <w:tab/>
        <w:t>Request the North Carolina EBT Processor re-certify its in-store system if the vendor alters or revises the system in any manner that impacts the EBT redemption or claims processing system after initial certification is completed;</w:t>
      </w:r>
    </w:p>
    <w:p w14:paraId="22778893" w14:textId="77777777" w:rsidR="006A0BDB" w:rsidRPr="00241211" w:rsidRDefault="006A0BDB" w:rsidP="001D2CEB">
      <w:pPr>
        <w:pStyle w:val="SubItemLvl1"/>
        <w:tabs>
          <w:tab w:val="clear" w:pos="2520"/>
        </w:tabs>
      </w:pPr>
      <w:r w:rsidRPr="00241211">
        <w:t>(f)</w:t>
      </w:r>
      <w:r w:rsidRPr="00241211">
        <w:tab/>
        <w:t xml:space="preserve">For vendors with integrated systems, obtain EBT card readers to support </w:t>
      </w:r>
      <w:r w:rsidRPr="00241211">
        <w:t>EBT transactions within their store(s). The vendor shall ensure that the EBT card readers they obtain meets all EBT and North Carolina EBT Processor requirements;</w:t>
      </w:r>
    </w:p>
    <w:p w14:paraId="5EBF2307" w14:textId="77777777" w:rsidR="006A0BDB" w:rsidRPr="00241211" w:rsidRDefault="006A0BDB" w:rsidP="001D2CEB">
      <w:pPr>
        <w:pStyle w:val="SubItemLvl1"/>
        <w:tabs>
          <w:tab w:val="clear" w:pos="2520"/>
        </w:tabs>
      </w:pPr>
      <w:r w:rsidRPr="00241211">
        <w:t>(g)</w:t>
      </w:r>
      <w:r w:rsidRPr="00241211">
        <w:tab/>
        <w:t>Require an owner, manager, or other authorized store representative to complete training on WIC EBT procedures. The vendor shall ensure that all cashiers and staff are trained on WIC EBT requirements, including training in the acceptance and processing of WIC EBT transactions;</w:t>
      </w:r>
    </w:p>
    <w:p w14:paraId="65AFA326" w14:textId="77777777" w:rsidR="006A0BDB" w:rsidRPr="00241211" w:rsidRDefault="006A0BDB" w:rsidP="001D2CEB">
      <w:pPr>
        <w:pStyle w:val="SubItemLvl1"/>
        <w:tabs>
          <w:tab w:val="clear" w:pos="2520"/>
        </w:tabs>
      </w:pPr>
      <w:r w:rsidRPr="00241211">
        <w:t>(h)</w:t>
      </w:r>
      <w:r w:rsidRPr="00241211">
        <w:tab/>
        <w:t>Require the WIC customer to approve the WIC transaction. Vendors shall ensure that the vendor's staff does not approve the WIC transactions for WIC customers under any circumstances;</w:t>
      </w:r>
    </w:p>
    <w:p w14:paraId="1E12E051" w14:textId="77777777" w:rsidR="006A0BDB" w:rsidRPr="00241211" w:rsidRDefault="006A0BDB" w:rsidP="001D2CEB">
      <w:pPr>
        <w:pStyle w:val="SubItemLvl1"/>
        <w:tabs>
          <w:tab w:val="clear" w:pos="2520"/>
        </w:tabs>
      </w:pPr>
      <w:r w:rsidRPr="00241211">
        <w:t>(i)</w:t>
      </w:r>
      <w:r w:rsidRPr="00241211">
        <w:tab/>
        <w:t>Release supplemental food to WIC customers when the transaction has been completed to include receipt of transaction approval by the EBT processing system, printing of the receipt, and updated balance of the WIC customer's account;</w:t>
      </w:r>
    </w:p>
    <w:p w14:paraId="55345266" w14:textId="77777777" w:rsidR="006A0BDB" w:rsidRPr="00241211" w:rsidRDefault="006A0BDB" w:rsidP="001D2CEB">
      <w:pPr>
        <w:pStyle w:val="SubItemLvl1"/>
        <w:tabs>
          <w:tab w:val="clear" w:pos="2520"/>
        </w:tabs>
      </w:pPr>
      <w:r w:rsidRPr="00241211">
        <w:t>(j)</w:t>
      </w:r>
      <w:r w:rsidRPr="00241211">
        <w:tab/>
        <w:t>Scan or manually enter Universal Product Codes (UPC) only from approved supplemental foods being purchased by the WIC customer in the types, sizes, and quantities available on the WIC customer's EBT account. The vendor shall not scan codes from UPC codebooks or reference sheets;</w:t>
      </w:r>
    </w:p>
    <w:p w14:paraId="5349FE20" w14:textId="77777777" w:rsidR="006A0BDB" w:rsidRPr="00241211" w:rsidRDefault="006A0BDB" w:rsidP="001D2CEB">
      <w:pPr>
        <w:pStyle w:val="SubItemLvl1"/>
        <w:tabs>
          <w:tab w:val="clear" w:pos="2520"/>
        </w:tabs>
      </w:pPr>
      <w:r w:rsidRPr="00241211">
        <w:t>(k)</w:t>
      </w:r>
      <w:r w:rsidRPr="00241211">
        <w:tab/>
        <w:t>Return any EBT card found on the vendor's property and unclaimed for 24 hours to the WIC Program. The vendor shall not hold or use a WIC customer's EBT card and PIN for any purpose whatsoever;</w:t>
      </w:r>
    </w:p>
    <w:p w14:paraId="58A7011E" w14:textId="77777777" w:rsidR="006A0BDB" w:rsidRPr="00241211" w:rsidRDefault="006A0BDB" w:rsidP="001D2CEB">
      <w:pPr>
        <w:pStyle w:val="SubItemLvl1"/>
        <w:tabs>
          <w:tab w:val="clear" w:pos="2520"/>
        </w:tabs>
      </w:pPr>
      <w:r w:rsidRPr="00241211">
        <w:t>(l)</w:t>
      </w:r>
      <w:r w:rsidRPr="00241211">
        <w:tab/>
        <w:t>Connect the vendor's in-store system for each outlet covered by the WIC Vendor agreement to the State's WIC EBT system at least once each 24-hour period to download reconciliation files and the WIC Authorized Product UPC/Product Look-Up (PLU) list.</w:t>
      </w:r>
    </w:p>
    <w:p w14:paraId="19E2C088" w14:textId="77777777" w:rsidR="006A0BDB" w:rsidRPr="00241211" w:rsidRDefault="006A0BDB" w:rsidP="001D2CEB">
      <w:pPr>
        <w:pStyle w:val="Item"/>
        <w:tabs>
          <w:tab w:val="clear" w:pos="1800"/>
        </w:tabs>
      </w:pPr>
      <w:r w:rsidRPr="00241211">
        <w:t>(21)</w:t>
      </w:r>
      <w:r w:rsidRPr="00241211">
        <w:tab/>
      </w:r>
      <w:proofErr w:type="gramStart"/>
      <w:r w:rsidRPr="00241211">
        <w:t>Attend, or</w:t>
      </w:r>
      <w:proofErr w:type="gramEnd"/>
      <w:r w:rsidRPr="00241211">
        <w:t xml:space="preserve"> cause a manager or other authorized store representative to attend, annual vendor training upon notification by the local WIC agency. Failure to attend annual vendor training by September 30 of each year shall result in termination of the WIC Vendor Agreement;</w:t>
      </w:r>
    </w:p>
    <w:p w14:paraId="2B00D2B6" w14:textId="77777777" w:rsidR="006A0BDB" w:rsidRPr="00241211" w:rsidRDefault="006A0BDB" w:rsidP="001D2CEB">
      <w:pPr>
        <w:pStyle w:val="Item"/>
        <w:tabs>
          <w:tab w:val="clear" w:pos="1800"/>
        </w:tabs>
      </w:pPr>
      <w:r w:rsidRPr="00241211">
        <w:lastRenderedPageBreak/>
        <w:t>(22)</w:t>
      </w:r>
      <w:r w:rsidRPr="00241211">
        <w:tab/>
        <w:t>Inform and train vendor's cashiers and other staff on WIC Program requirements;</w:t>
      </w:r>
    </w:p>
    <w:p w14:paraId="59A05786" w14:textId="77777777" w:rsidR="006A0BDB" w:rsidRPr="00241211" w:rsidRDefault="006A0BDB" w:rsidP="001D2CEB">
      <w:pPr>
        <w:pStyle w:val="Item"/>
        <w:tabs>
          <w:tab w:val="clear" w:pos="1800"/>
        </w:tabs>
      </w:pPr>
      <w:r w:rsidRPr="00241211">
        <w:t>(23)</w:t>
      </w:r>
      <w:r w:rsidRPr="00241211">
        <w:tab/>
        <w:t>Be accountable for the actions of its owners, officers, managers, agents, and employees who commit vendor violations;</w:t>
      </w:r>
    </w:p>
    <w:p w14:paraId="774A8D7D" w14:textId="77777777" w:rsidR="006A0BDB" w:rsidRPr="00241211" w:rsidRDefault="006A0BDB" w:rsidP="001D2CEB">
      <w:pPr>
        <w:pStyle w:val="Item"/>
        <w:tabs>
          <w:tab w:val="clear" w:pos="1800"/>
        </w:tabs>
      </w:pPr>
      <w:r w:rsidRPr="00241211">
        <w:t>(24)</w:t>
      </w:r>
      <w:r w:rsidRPr="00241211">
        <w:tab/>
        <w:t>Allow monitoring and inspection by State and local WIC Program staff of the store premises and procedures to ensure compliance with the agreement and State, and federal WIC Program rules, regulations, and applicable law. This includes providing access to all program-related records, including access to all WIC food instruments and cash-value vouchers at the store; vendor records pertinent to the purchase and sale of WIC supplemental foods, including invoices, receipts, copies of purchase orders, and any other proofs of purchase; federal and state corporate and individual income tax and sales and use tax returns and all records pertinent to these returns; and books and records of all financial and business transactions. These records shall be retained by the vendor for a period of three years or until any audit pertaining to these records is resolved, whichever is later. Notwithstanding any other provision of this Rule and Rules .0707 and .0710 of this Section, failure or inability to provide these records for an inventory audit or providing false records for an inventory audit shall be deemed a violation of 7 C.F.R. 246.12(l)(1)(iii)(B) and Subparagraph (a)(1) of Rule .0710 of this Section. Invoices, receipts, purchase orders, and any other proofs of purchase for WIC supplemental foods shall include:</w:t>
      </w:r>
    </w:p>
    <w:p w14:paraId="0222DE23" w14:textId="77777777" w:rsidR="006A0BDB" w:rsidRPr="00241211" w:rsidRDefault="006A0BDB" w:rsidP="001D2CEB">
      <w:pPr>
        <w:pStyle w:val="SubItemLvl1"/>
        <w:tabs>
          <w:tab w:val="clear" w:pos="2520"/>
        </w:tabs>
      </w:pPr>
      <w:r w:rsidRPr="00241211">
        <w:t>(a)</w:t>
      </w:r>
      <w:r w:rsidRPr="00241211">
        <w:tab/>
        <w:t>the name of the seller and be prepared entirely by the seller without alteration by the vendor or on the seller's business letterhead;</w:t>
      </w:r>
    </w:p>
    <w:p w14:paraId="0EB0A395" w14:textId="77777777" w:rsidR="006A0BDB" w:rsidRPr="00241211" w:rsidRDefault="006A0BDB" w:rsidP="001D2CEB">
      <w:pPr>
        <w:pStyle w:val="SubItemLvl1"/>
        <w:tabs>
          <w:tab w:val="clear" w:pos="2520"/>
        </w:tabs>
      </w:pPr>
      <w:r w:rsidRPr="00241211">
        <w:t>(b)</w:t>
      </w:r>
      <w:r w:rsidRPr="00241211">
        <w:tab/>
        <w:t>the date of purchase and the date the authorized vendor received the WIC supplemental food at the store if different from the date of purchase; and</w:t>
      </w:r>
    </w:p>
    <w:p w14:paraId="29804DD2" w14:textId="77777777" w:rsidR="006A0BDB" w:rsidRPr="00241211" w:rsidRDefault="006A0BDB" w:rsidP="001D2CEB">
      <w:pPr>
        <w:pStyle w:val="SubItemLvl1"/>
        <w:tabs>
          <w:tab w:val="clear" w:pos="2520"/>
        </w:tabs>
      </w:pPr>
      <w:r w:rsidRPr="00241211">
        <w:t>(c)</w:t>
      </w:r>
      <w:r w:rsidRPr="00241211">
        <w:tab/>
        <w:t>a description of each WIC supplemental food item purchased, including brand name, unit size, type or form, and quantity;</w:t>
      </w:r>
    </w:p>
    <w:p w14:paraId="3A362EBB" w14:textId="77777777" w:rsidR="006A0BDB" w:rsidRPr="00241211" w:rsidRDefault="006A0BDB" w:rsidP="001D2CEB">
      <w:pPr>
        <w:pStyle w:val="Item"/>
        <w:tabs>
          <w:tab w:val="clear" w:pos="1800"/>
        </w:tabs>
      </w:pPr>
      <w:r w:rsidRPr="00241211">
        <w:t>(25)</w:t>
      </w:r>
      <w:r w:rsidRPr="00241211">
        <w:tab/>
        <w:t>Maintain a record of all SNAP-eligible food sales and provide to the State agency upon request a statement of the total amount of revenue derived from SNAP-eligible food sales and written documentation to support the amount of sales claimed by the vendor, such as sales records, financial statements, reports, tax documents, or other verifiable documentation;</w:t>
      </w:r>
    </w:p>
    <w:p w14:paraId="4BAB93AD" w14:textId="77777777" w:rsidR="006A0BDB" w:rsidRPr="00241211" w:rsidRDefault="006A0BDB" w:rsidP="001D2CEB">
      <w:pPr>
        <w:pStyle w:val="Item"/>
        <w:tabs>
          <w:tab w:val="clear" w:pos="1800"/>
        </w:tabs>
      </w:pPr>
      <w:r w:rsidRPr="00241211">
        <w:t>(26)</w:t>
      </w:r>
      <w:r w:rsidRPr="00241211">
        <w:tab/>
        <w:t xml:space="preserve">Submit a current completed WIC Price List when signing this agreement, and within two </w:t>
      </w:r>
      <w:r w:rsidRPr="00241211">
        <w:t>weeks of any written request by the State or local WIC agency;</w:t>
      </w:r>
    </w:p>
    <w:p w14:paraId="104D223A" w14:textId="77777777" w:rsidR="006A0BDB" w:rsidRPr="00241211" w:rsidRDefault="006A0BDB" w:rsidP="001D2CEB">
      <w:pPr>
        <w:pStyle w:val="Item"/>
        <w:tabs>
          <w:tab w:val="clear" w:pos="1800"/>
        </w:tabs>
      </w:pPr>
      <w:r w:rsidRPr="00241211">
        <w:t>(27)</w:t>
      </w:r>
      <w:r w:rsidRPr="00241211">
        <w:tab/>
        <w:t>Reimburse the State agency in full or agree to a repayment schedule with the State agency within 30 days of written notification of a claim assessed due to a vendor violation that affects payment to the vendor. Failure to reimburse the State agency in full or agree to a repayment schedule within 30 days of written notification of a claim shall result in termination of the WIC Vendor Agreement. Payment of a claim by the vendor for a vendor violation(s) shall not absolve the vendor of the violation(s). The vendor shall also be subject to any vendor sanctions authorized under Rule .0710 of this Section for the vendor violation(s);</w:t>
      </w:r>
    </w:p>
    <w:p w14:paraId="7A26BE65" w14:textId="77777777" w:rsidR="006A0BDB" w:rsidRPr="00241211" w:rsidRDefault="006A0BDB" w:rsidP="001D2CEB">
      <w:pPr>
        <w:pStyle w:val="Item"/>
        <w:tabs>
          <w:tab w:val="clear" w:pos="1800"/>
        </w:tabs>
      </w:pPr>
      <w:r w:rsidRPr="00241211">
        <w:t>(28)</w:t>
      </w:r>
      <w:r w:rsidRPr="00241211">
        <w:tab/>
        <w:t>Not seek restitution from the WIC customer for reimbursement paid by the vendor to the State agency or for WIC food benefits not paid or partially paid by the State agency. Additionally, the vendor shall not charge the WIC customer for authorized supplemental foods obtained with food benefits;</w:t>
      </w:r>
    </w:p>
    <w:p w14:paraId="3B6312CA" w14:textId="77777777" w:rsidR="006A0BDB" w:rsidRPr="00241211" w:rsidRDefault="006A0BDB" w:rsidP="001D2CEB">
      <w:pPr>
        <w:pStyle w:val="Item"/>
        <w:tabs>
          <w:tab w:val="clear" w:pos="1800"/>
        </w:tabs>
      </w:pPr>
      <w:r w:rsidRPr="00241211">
        <w:t>(29)</w:t>
      </w:r>
      <w:r w:rsidRPr="00241211">
        <w:tab/>
        <w:t>Not contact a WIC customer outside the store regarding the transaction or redemption of WIC food benefits;</w:t>
      </w:r>
    </w:p>
    <w:p w14:paraId="62D4B103" w14:textId="77777777" w:rsidR="006A0BDB" w:rsidRPr="00241211" w:rsidRDefault="006A0BDB" w:rsidP="001D2CEB">
      <w:pPr>
        <w:pStyle w:val="Item"/>
        <w:tabs>
          <w:tab w:val="clear" w:pos="1800"/>
        </w:tabs>
      </w:pPr>
      <w:r w:rsidRPr="00241211">
        <w:t>(30)</w:t>
      </w:r>
      <w:r w:rsidRPr="00241211">
        <w:tab/>
        <w:t>Notify the local WIC agency in writing at least 30 days prior to a change of ownership, change in store location, cessation of operations, or withdrawal from the WIC Program. Change of ownership, change in store location of more than three miles from the store's previous location, cessation of operations, withdrawal from the WIC Program, or disqualification from the WIC Program shall result in termination of the WIC Vendor Agreement by the State agency. Change of ownership, change in store location, ceasing operations, withdrawal from the WIC Program, or nonrenewal of the WIC Vendor Agreement shall not stop a disqualification period applicable to the store;</w:t>
      </w:r>
    </w:p>
    <w:p w14:paraId="1497B3EF" w14:textId="77777777" w:rsidR="006A0BDB" w:rsidRPr="00241211" w:rsidRDefault="006A0BDB" w:rsidP="001D2CEB">
      <w:pPr>
        <w:pStyle w:val="Item"/>
        <w:tabs>
          <w:tab w:val="clear" w:pos="1800"/>
        </w:tabs>
      </w:pPr>
      <w:r w:rsidRPr="00241211">
        <w:t>(31)</w:t>
      </w:r>
      <w:r w:rsidRPr="00241211">
        <w:tab/>
        <w:t xml:space="preserve">Not discriminate </w:t>
      </w:r>
      <w:proofErr w:type="gramStart"/>
      <w:r w:rsidRPr="00241211">
        <w:t>on the basis of</w:t>
      </w:r>
      <w:proofErr w:type="gramEnd"/>
      <w:r w:rsidRPr="00241211">
        <w:t xml:space="preserve"> WIC participation, such as failing to offer WIC customers the same courtesies, as set forth in 7 C.F.R. 246.12(h)(3)(iii), offered to other customers or requiring separate WIC lines;</w:t>
      </w:r>
    </w:p>
    <w:p w14:paraId="1ADE8442" w14:textId="77777777" w:rsidR="006A0BDB" w:rsidRPr="00241211" w:rsidRDefault="006A0BDB" w:rsidP="001D2CEB">
      <w:pPr>
        <w:pStyle w:val="Item"/>
        <w:tabs>
          <w:tab w:val="clear" w:pos="1800"/>
        </w:tabs>
      </w:pPr>
      <w:r w:rsidRPr="00241211">
        <w:t>(32)</w:t>
      </w:r>
      <w:r w:rsidRPr="00241211">
        <w:tab/>
        <w:t>Reapply to continue to be authorized beyond the period of its current WIC Vendor Agreement. Additionally, a store shall reapply to become authorized following the expiration of a disqualification period or termination of the Agreement. In all cases, the vendor applicant is subject to the vendor peer group criteria set forth in 7 CFR 246.12(g)(4), 7 CFR 246.12(h)(3), and the vendor selection criteria of Rule .0707 of this Section; and</w:t>
      </w:r>
    </w:p>
    <w:p w14:paraId="6584A6CD" w14:textId="77777777" w:rsidR="006A0BDB" w:rsidRPr="00241211" w:rsidRDefault="006A0BDB" w:rsidP="001D2CEB">
      <w:pPr>
        <w:pStyle w:val="Item"/>
        <w:tabs>
          <w:tab w:val="clear" w:pos="1800"/>
        </w:tabs>
      </w:pPr>
      <w:r w:rsidRPr="00241211">
        <w:t>(33)</w:t>
      </w:r>
      <w:r w:rsidRPr="00241211">
        <w:tab/>
        <w:t xml:space="preserve">Comply with all the requirements for vendor applicants of Items (3), (4), and (7) through </w:t>
      </w:r>
      <w:r w:rsidRPr="00241211">
        <w:lastRenderedPageBreak/>
        <w:t>(17), and (19) of Rule .0707 of this Section throughout the term of authorization. The State agency may reassess a vendor at any time during the vendor's period of authorization to determine compliance with these requirements. The State agency shall terminate the WIC Vendor Agreement of any vendor that fails to comply with Items (3), (4), (8), (9), (10), (11), (12), (13), (14), (16), (17), or (19) of Rule .0707 of this Section during the vendor's period of authorization, and terminate the agreement of or sanction or both any vendor that fails to comply with Items (7), (15), (17),or (19) of Rule .0707 of this Section during the vendor's period of authorization.</w:t>
      </w:r>
    </w:p>
    <w:p w14:paraId="2CFFE39C" w14:textId="77777777" w:rsidR="006A0BDB" w:rsidRPr="00241211" w:rsidRDefault="006A0BDB" w:rsidP="001D2CEB">
      <w:pPr>
        <w:pStyle w:val="Item"/>
        <w:tabs>
          <w:tab w:val="clear" w:pos="1800"/>
        </w:tabs>
      </w:pPr>
      <w:bookmarkStart w:id="5" w:name="_Hlk27134911"/>
      <w:r w:rsidRPr="00241211">
        <w:t>(34)</w:t>
      </w:r>
      <w:r w:rsidRPr="00241211">
        <w:tab/>
        <w:t>Permit the State agency to reassess the peer group designation at any time during the vendor's agreement period and place the vendor in a different peer group if upon reassessment the State agency determines that the vendor is no longer in the appropriate peer group.</w:t>
      </w:r>
    </w:p>
    <w:bookmarkEnd w:id="5"/>
    <w:p w14:paraId="6FCBA90B" w14:textId="77777777" w:rsidR="006A0BDB" w:rsidRPr="00241211" w:rsidRDefault="006A0BDB" w:rsidP="001D2CEB">
      <w:pPr>
        <w:pStyle w:val="Base"/>
      </w:pPr>
    </w:p>
    <w:p w14:paraId="7320EEDF" w14:textId="77777777" w:rsidR="006A0BDB" w:rsidRPr="00241211" w:rsidRDefault="006A0BDB" w:rsidP="001D2CEB">
      <w:pPr>
        <w:pStyle w:val="History"/>
      </w:pPr>
      <w:r w:rsidRPr="00241211">
        <w:t>History Note:</w:t>
      </w:r>
      <w:r w:rsidRPr="00241211">
        <w:tab/>
        <w:t>Authority G.S. 130A-361; 7 C.F.R. 246.12; 42 U.S.C. 1786;</w:t>
      </w:r>
    </w:p>
    <w:p w14:paraId="5178E629" w14:textId="77777777" w:rsidR="006A0BDB" w:rsidRPr="00241211" w:rsidRDefault="006A0BDB" w:rsidP="001D2CEB">
      <w:pPr>
        <w:pStyle w:val="HistoryAfter"/>
      </w:pPr>
      <w:r w:rsidRPr="00241211">
        <w:t>Eff. March 1, 2013;</w:t>
      </w:r>
    </w:p>
    <w:p w14:paraId="26228432" w14:textId="77777777" w:rsidR="006A0BDB" w:rsidRPr="00241211" w:rsidRDefault="006A0BDB" w:rsidP="001D2CEB">
      <w:pPr>
        <w:pStyle w:val="HistoryAfter"/>
      </w:pPr>
      <w:r w:rsidRPr="00241211">
        <w:t>Amended Eff. October 1, 2017;</w:t>
      </w:r>
    </w:p>
    <w:p w14:paraId="153628B7" w14:textId="77777777" w:rsidR="006A0BDB" w:rsidRPr="00241211" w:rsidRDefault="006A0BDB" w:rsidP="001D2CEB">
      <w:pPr>
        <w:pStyle w:val="HistoryAfter"/>
      </w:pPr>
      <w:r w:rsidRPr="00241211">
        <w:t>Pursuant to G.S. 150B-21.3A, rule is necessary without substantive public interest Eff. December 23, 2017;</w:t>
      </w:r>
    </w:p>
    <w:p w14:paraId="59C4B0F2" w14:textId="77777777" w:rsidR="006A0BDB" w:rsidRPr="00241211" w:rsidRDefault="006A0BDB" w:rsidP="001D2CEB">
      <w:pPr>
        <w:pStyle w:val="HistoryAfter"/>
      </w:pPr>
      <w:r w:rsidRPr="00241211">
        <w:t>Amended Eff. March 1, 2020; July 1, 2018.</w:t>
      </w:r>
    </w:p>
    <w:p w14:paraId="69C52428" w14:textId="77777777" w:rsidR="006A0BDB" w:rsidRDefault="006A0BDB" w:rsidP="001D2CEB">
      <w:pPr>
        <w:pStyle w:val="Base"/>
      </w:pPr>
    </w:p>
    <w:p w14:paraId="4B08F01E" w14:textId="77777777" w:rsidR="006A0BDB" w:rsidRPr="00024417" w:rsidRDefault="006A0BDB" w:rsidP="001D2CEB">
      <w:pPr>
        <w:pStyle w:val="Rule"/>
      </w:pPr>
      <w:r w:rsidRPr="00024417">
        <w:t xml:space="preserve">10A NCAC 43D </w:t>
      </w:r>
      <w:r w:rsidRPr="006C24CF">
        <w:t>.0710</w:t>
      </w:r>
      <w:r w:rsidRPr="00024417">
        <w:tab/>
        <w:t>VENDOR VIOLATIONS AND SANCTIONS</w:t>
      </w:r>
    </w:p>
    <w:p w14:paraId="30F083B8" w14:textId="77777777" w:rsidR="006A0BDB" w:rsidRPr="00024417" w:rsidRDefault="006A0BDB" w:rsidP="001D2CEB">
      <w:pPr>
        <w:pStyle w:val="Paragraph"/>
      </w:pPr>
      <w:r w:rsidRPr="00024417">
        <w:t>(a)  Title 7 C.F.R. 246.12(l)(1)(i) through (vi) and (xii) are incorporated by reference with all subsequent amendments and editions. In accordance with 7 C.F.R. 246.12(l)(1)(i), the State agency shall not allow imposition of a civil money penalty in lieu of disqualification for a vendor permanently disqualified. A pattern, as referenced in 7 CFR 246.12 (l)(1)(iii)(B) through (F) and 246.12(l)(1)(iv)(A), shall be established as follows:</w:t>
      </w:r>
    </w:p>
    <w:p w14:paraId="15F9F500" w14:textId="77777777" w:rsidR="006A0BDB" w:rsidRPr="00024417" w:rsidRDefault="006A0BDB" w:rsidP="001D2CEB">
      <w:pPr>
        <w:pStyle w:val="SubParagraph"/>
        <w:tabs>
          <w:tab w:val="clear" w:pos="1800"/>
        </w:tabs>
      </w:pPr>
      <w:r w:rsidRPr="00024417">
        <w:t>(1)</w:t>
      </w:r>
      <w:r w:rsidRPr="00024417">
        <w:tab/>
        <w:t>claiming reimbursement for the sale of an amount of a specific supplemental food item that exceeds the store's documented inventory of that supplemental food item for six or more days within a 60-day period. The six or more days do not have to be consecutive days within the 60-day period. Failure or inability to provide records or providing false records required under Item (24) of Rule .0708 of this Section for an inventory audit shall be deemed a violation of 7 C.F.R. 246.12(l)(1)(iii)(B) and this Subparagraph;</w:t>
      </w:r>
    </w:p>
    <w:p w14:paraId="3138BB98" w14:textId="77777777" w:rsidR="006A0BDB" w:rsidRPr="00024417" w:rsidRDefault="006A0BDB" w:rsidP="001D2CEB">
      <w:pPr>
        <w:pStyle w:val="SubParagraph"/>
        <w:tabs>
          <w:tab w:val="clear" w:pos="1800"/>
        </w:tabs>
      </w:pPr>
      <w:r w:rsidRPr="00024417">
        <w:t>(2)</w:t>
      </w:r>
      <w:r w:rsidRPr="00024417">
        <w:tab/>
        <w:t>two occurrences of vendor overcharging within a 12-month period;</w:t>
      </w:r>
    </w:p>
    <w:p w14:paraId="688191B4" w14:textId="77777777" w:rsidR="006A0BDB" w:rsidRPr="00024417" w:rsidRDefault="006A0BDB" w:rsidP="001D2CEB">
      <w:pPr>
        <w:pStyle w:val="SubParagraph"/>
        <w:tabs>
          <w:tab w:val="clear" w:pos="1800"/>
        </w:tabs>
      </w:pPr>
      <w:r w:rsidRPr="00024417">
        <w:t>(3)</w:t>
      </w:r>
      <w:r w:rsidRPr="00024417">
        <w:tab/>
        <w:t>two occurrences of receiving, transacting, or redeeming food benefits outside of authorized channels, including the use of an unauthorized vendor or an unauthorized person within a 12-month period;</w:t>
      </w:r>
    </w:p>
    <w:p w14:paraId="4DBF9E46" w14:textId="77777777" w:rsidR="006A0BDB" w:rsidRPr="00024417" w:rsidRDefault="006A0BDB" w:rsidP="001D2CEB">
      <w:pPr>
        <w:pStyle w:val="SubParagraph"/>
        <w:tabs>
          <w:tab w:val="clear" w:pos="1800"/>
        </w:tabs>
      </w:pPr>
      <w:r w:rsidRPr="00024417">
        <w:t>(4)</w:t>
      </w:r>
      <w:r w:rsidRPr="00024417">
        <w:tab/>
        <w:t>two occurrences of charging for supplemental food not received by the WIC customer within a 12-month period;</w:t>
      </w:r>
    </w:p>
    <w:p w14:paraId="4B27D53F" w14:textId="77777777" w:rsidR="006A0BDB" w:rsidRPr="00024417" w:rsidRDefault="006A0BDB" w:rsidP="001D2CEB">
      <w:pPr>
        <w:pStyle w:val="SubParagraph"/>
        <w:tabs>
          <w:tab w:val="clear" w:pos="1800"/>
        </w:tabs>
      </w:pPr>
      <w:r w:rsidRPr="00024417">
        <w:t>(5)</w:t>
      </w:r>
      <w:r w:rsidRPr="00024417">
        <w:tab/>
        <w:t>two occurrences of providing credit or non-food items, other than alcohol, alcoholic beverages, tobacco products, cash, firearms, ammunition, explosives, or controlled substances as defined in 21 U.S.C. 802, in exchange for food benefits within a 12-month period; or</w:t>
      </w:r>
    </w:p>
    <w:p w14:paraId="522CA85A" w14:textId="77777777" w:rsidR="006A0BDB" w:rsidRPr="00024417" w:rsidRDefault="006A0BDB" w:rsidP="001D2CEB">
      <w:pPr>
        <w:pStyle w:val="SubParagraph"/>
        <w:tabs>
          <w:tab w:val="clear" w:pos="1800"/>
        </w:tabs>
      </w:pPr>
      <w:r w:rsidRPr="00024417">
        <w:t>(6)</w:t>
      </w:r>
      <w:r w:rsidRPr="00024417">
        <w:tab/>
        <w:t>three occurrences of providing unauthorized food items in exchange for food benefits, including charging for supplemental food provided in excess of those listed on the food benefit balance within a 12-month period.</w:t>
      </w:r>
    </w:p>
    <w:p w14:paraId="16437611" w14:textId="77777777" w:rsidR="006A0BDB" w:rsidRPr="00024417" w:rsidRDefault="006A0BDB" w:rsidP="001D2CEB">
      <w:pPr>
        <w:pStyle w:val="Paragraph"/>
      </w:pPr>
      <w:r w:rsidRPr="00024417">
        <w:t>(b)  Title 7 C.F.R. 246.12(l)(2)(i) is incorporated by reference with all subsequent amendments and editions. Except as provided in 7 C.F.R. 246.12 (l)(1)(xii), a vendor shall be disqualified from the WIC Program for the following State-established violations in accordance with the number of occurrences and sanctions set forth below:</w:t>
      </w:r>
    </w:p>
    <w:p w14:paraId="351516D6" w14:textId="77777777" w:rsidR="006A0BDB" w:rsidRPr="00024417" w:rsidRDefault="006A0BDB" w:rsidP="001D2CEB">
      <w:pPr>
        <w:pStyle w:val="SubParagraph"/>
        <w:tabs>
          <w:tab w:val="clear" w:pos="1800"/>
        </w:tabs>
      </w:pPr>
      <w:r w:rsidRPr="00024417">
        <w:t>(1)</w:t>
      </w:r>
      <w:r w:rsidRPr="00024417">
        <w:tab/>
        <w:t xml:space="preserve">One year for two occurrences within a 12-month period of discrimination </w:t>
      </w:r>
      <w:proofErr w:type="gramStart"/>
      <w:r w:rsidRPr="00024417">
        <w:t>on the basis of</w:t>
      </w:r>
      <w:proofErr w:type="gramEnd"/>
      <w:r w:rsidRPr="00024417">
        <w:t xml:space="preserve"> WIC participation as referenced in Item (31) of Rule .0708. Each date this violation is detected is a separate occurrence;</w:t>
      </w:r>
    </w:p>
    <w:p w14:paraId="0519CD1D" w14:textId="77777777" w:rsidR="006A0BDB" w:rsidRPr="00024417" w:rsidRDefault="006A0BDB" w:rsidP="001D2CEB">
      <w:pPr>
        <w:pStyle w:val="SubParagraph"/>
        <w:tabs>
          <w:tab w:val="clear" w:pos="1800"/>
        </w:tabs>
      </w:pPr>
      <w:r w:rsidRPr="00024417">
        <w:t>(2)</w:t>
      </w:r>
      <w:r w:rsidRPr="00024417">
        <w:tab/>
        <w:t xml:space="preserve">One year for three occurrences within a 12-month period of failure to properly transact WIC food benefits </w:t>
      </w:r>
      <w:r w:rsidRPr="00024417">
        <w:rPr>
          <w:rFonts w:eastAsia="Arial"/>
        </w:rPr>
        <w:t xml:space="preserve">by manually entering the EBT card number or entering the PIN into the POS instead of the WIC participant, scanning the UPC or PLU codes from UPC codebooks or reference sheets when completing a WIC participant's EBT transaction, not entering the correct quantity and item price, or not providing the WIC participant with a receipt that shows the items purchased and the participant's remaining food benefit balance. </w:t>
      </w:r>
      <w:r w:rsidRPr="00024417">
        <w:t>Except as provided in 7 C.F.R. 246.12(l)(3)(iv), each improper transaction is a separate occurrence;</w:t>
      </w:r>
    </w:p>
    <w:p w14:paraId="49DE7BF2" w14:textId="77777777" w:rsidR="006A0BDB" w:rsidRPr="00024417" w:rsidRDefault="006A0BDB" w:rsidP="001D2CEB">
      <w:pPr>
        <w:pStyle w:val="SubParagraph"/>
        <w:tabs>
          <w:tab w:val="clear" w:pos="1800"/>
        </w:tabs>
      </w:pPr>
      <w:r w:rsidRPr="00024417">
        <w:t>(3)</w:t>
      </w:r>
      <w:r w:rsidRPr="00024417">
        <w:tab/>
        <w:t>One year for three occurrences within a 12-month period of requiring a cash purchase to transact WIC food benefits. Except as provided in 7 C.F.R. 246.12(l)(3)(iv), each transaction requiring a cash purchase is a separate occurrence;</w:t>
      </w:r>
    </w:p>
    <w:p w14:paraId="7745C568" w14:textId="77777777" w:rsidR="006A0BDB" w:rsidRPr="00024417" w:rsidRDefault="006A0BDB" w:rsidP="001D2CEB">
      <w:pPr>
        <w:pStyle w:val="SubParagraph"/>
        <w:tabs>
          <w:tab w:val="clear" w:pos="1800"/>
        </w:tabs>
      </w:pPr>
      <w:r w:rsidRPr="00024417">
        <w:t>(4)</w:t>
      </w:r>
      <w:r w:rsidRPr="00024417">
        <w:tab/>
        <w:t xml:space="preserve">270 days for three occurrences within a 12-month period of contacting a WIC customer </w:t>
      </w:r>
      <w:proofErr w:type="gramStart"/>
      <w:r w:rsidRPr="00024417">
        <w:t>in an attempt to</w:t>
      </w:r>
      <w:proofErr w:type="gramEnd"/>
      <w:r w:rsidRPr="00024417">
        <w:t xml:space="preserve"> recoup funds for food benefits or contacting a WIC customer outside the store regarding the transaction or redemption of WIC food benefits. Each contact with any WIC customer is a separate occurrence, whether each contact is with the same or different WIC customers;</w:t>
      </w:r>
    </w:p>
    <w:p w14:paraId="4AB32675" w14:textId="77777777" w:rsidR="006A0BDB" w:rsidRPr="00024417" w:rsidRDefault="006A0BDB" w:rsidP="001D2CEB">
      <w:pPr>
        <w:pStyle w:val="SubParagraph"/>
        <w:tabs>
          <w:tab w:val="clear" w:pos="1800"/>
        </w:tabs>
      </w:pPr>
      <w:r w:rsidRPr="00024417">
        <w:t>(5)</w:t>
      </w:r>
      <w:r w:rsidRPr="00024417">
        <w:tab/>
        <w:t xml:space="preserve">180 days for three occurrences within a 12-month period of failure to provide program-related records referenced in Item (24) of Rule .0708 when requested by WIC staff, except as provided in Item (24) of Rule .0708 and </w:t>
      </w:r>
      <w:r w:rsidRPr="00024417">
        <w:lastRenderedPageBreak/>
        <w:t>Subparagraph (a)(1) of this Rule for failure or inability to provide records for an inventory audit. Each request for records is a separate occurrence, whether each request is for the same or different records;</w:t>
      </w:r>
    </w:p>
    <w:p w14:paraId="55D7441F" w14:textId="77777777" w:rsidR="006A0BDB" w:rsidRPr="00024417" w:rsidRDefault="006A0BDB" w:rsidP="001D2CEB">
      <w:pPr>
        <w:pStyle w:val="SubParagraph"/>
        <w:tabs>
          <w:tab w:val="clear" w:pos="1800"/>
        </w:tabs>
      </w:pPr>
      <w:r w:rsidRPr="00024417">
        <w:t>(6)</w:t>
      </w:r>
      <w:r w:rsidRPr="00024417">
        <w:tab/>
        <w:t>180 days for three occurrences within a 12-month period of failure to provide the information referenced in Item (25) of Rule .0708 when requested by WIC staff. Each request for information is a separate occurrence, whether each request is for the same or different information;</w:t>
      </w:r>
    </w:p>
    <w:p w14:paraId="3E5D4F80" w14:textId="77777777" w:rsidR="006A0BDB" w:rsidRPr="00024417" w:rsidRDefault="006A0BDB" w:rsidP="001D2CEB">
      <w:pPr>
        <w:pStyle w:val="SubParagraph"/>
        <w:tabs>
          <w:tab w:val="clear" w:pos="1800"/>
        </w:tabs>
      </w:pPr>
      <w:r w:rsidRPr="00024417">
        <w:t>(7)</w:t>
      </w:r>
      <w:r w:rsidRPr="00024417">
        <w:tab/>
        <w:t>180 days for three occurrences within a 12-month period of failure to stock the minimum inventory specified in Item (17) of Rule .0708. Each date this violation is detected is a separate occurrence;</w:t>
      </w:r>
    </w:p>
    <w:p w14:paraId="1CBFAD1B" w14:textId="77777777" w:rsidR="006A0BDB" w:rsidRPr="00024417" w:rsidRDefault="006A0BDB" w:rsidP="001D2CEB">
      <w:pPr>
        <w:pStyle w:val="SubParagraph"/>
        <w:tabs>
          <w:tab w:val="clear" w:pos="1800"/>
        </w:tabs>
      </w:pPr>
      <w:r w:rsidRPr="00024417">
        <w:t>(8)</w:t>
      </w:r>
      <w:r w:rsidRPr="00024417">
        <w:tab/>
        <w:t>90 days for three occurrences within a 12-month period of stocking WIC supplemental foods outside of the manufacturer's expiration date. Each date this violation is detected is a separate occurrence;</w:t>
      </w:r>
    </w:p>
    <w:p w14:paraId="0060A2DA" w14:textId="77777777" w:rsidR="006A0BDB" w:rsidRPr="00024417" w:rsidRDefault="006A0BDB" w:rsidP="001D2CEB">
      <w:pPr>
        <w:pStyle w:val="SubParagraph"/>
        <w:tabs>
          <w:tab w:val="clear" w:pos="1800"/>
        </w:tabs>
      </w:pPr>
      <w:r w:rsidRPr="00024417">
        <w:t>(9)</w:t>
      </w:r>
      <w:r w:rsidRPr="00024417">
        <w:tab/>
        <w:t>90 days for three occurrences within a 12-month period of failure to allow monitoring of a store by WIC staff. Each attempt to monitor the store is a separate occurrence;</w:t>
      </w:r>
    </w:p>
    <w:p w14:paraId="165447F6" w14:textId="77777777" w:rsidR="006A0BDB" w:rsidRPr="00024417" w:rsidRDefault="006A0BDB" w:rsidP="001D2CEB">
      <w:pPr>
        <w:pStyle w:val="SubParagraph"/>
        <w:tabs>
          <w:tab w:val="clear" w:pos="1800"/>
        </w:tabs>
      </w:pPr>
      <w:r w:rsidRPr="00024417">
        <w:t>(10)</w:t>
      </w:r>
      <w:r w:rsidRPr="00024417">
        <w:tab/>
        <w:t>90 days for five occurrences within a 12-month period of failure to submit a WIC Price List as required by Item (26) of Rule .0708. Each written request by the State or local WIC agency for submission of a WIC Price List is a separate occurrence, whether each request is for the same or different WIC Price Lists;</w:t>
      </w:r>
    </w:p>
    <w:p w14:paraId="3A5955C7" w14:textId="77777777" w:rsidR="006A0BDB" w:rsidRPr="00024417" w:rsidRDefault="006A0BDB" w:rsidP="001D2CEB">
      <w:pPr>
        <w:pStyle w:val="SubParagraph"/>
        <w:tabs>
          <w:tab w:val="clear" w:pos="1800"/>
        </w:tabs>
      </w:pPr>
      <w:r w:rsidRPr="00024417">
        <w:t>(11)</w:t>
      </w:r>
      <w:r w:rsidRPr="00024417">
        <w:tab/>
        <w:t xml:space="preserve">60 days for three occurrences within a 12-month period of failure to mark the current shelf prices of all WIC supplemental foods on the foods or have the prices posted on the shelf or display case. Each date this violation is detected is a separate occurrence; </w:t>
      </w:r>
    </w:p>
    <w:p w14:paraId="103C77FD" w14:textId="77777777" w:rsidR="006A0BDB" w:rsidRPr="00024417" w:rsidRDefault="006A0BDB" w:rsidP="001D2CEB">
      <w:pPr>
        <w:pStyle w:val="SubParagraph"/>
        <w:tabs>
          <w:tab w:val="clear" w:pos="1800"/>
        </w:tabs>
      </w:pPr>
      <w:r w:rsidRPr="00024417">
        <w:t>(12)</w:t>
      </w:r>
      <w:r w:rsidRPr="00024417">
        <w:tab/>
        <w:t>60 days for five occurrences within a 12-month period of requiring the purchase of a specific brand when more than one WIC supplemental food brand is available. Except as provided in 7 C.F.R. 246.12(l)(3)(iv), each transaction requiring the purchase of a specific brand when more than one WIC supplemental food brand is available is a separate occurrence;</w:t>
      </w:r>
    </w:p>
    <w:p w14:paraId="7AD3CF8B" w14:textId="77777777" w:rsidR="006A0BDB" w:rsidRPr="00024417" w:rsidRDefault="006A0BDB" w:rsidP="001D2CEB">
      <w:pPr>
        <w:pStyle w:val="SubParagraph"/>
        <w:tabs>
          <w:tab w:val="clear" w:pos="1800"/>
        </w:tabs>
      </w:pPr>
      <w:r w:rsidRPr="00024417">
        <w:t>(13)</w:t>
      </w:r>
      <w:r w:rsidRPr="00024417">
        <w:tab/>
        <w:t>180 days for three occurrences within a 12-month period of failure to make EBT point of sale equipment accessible to WIC customers to ensure that EBT transactions are completed in accordance with Rule .0708; and</w:t>
      </w:r>
    </w:p>
    <w:p w14:paraId="2ACDEEE6" w14:textId="77777777" w:rsidR="006A0BDB" w:rsidRPr="00024417" w:rsidRDefault="006A0BDB" w:rsidP="001D2CEB">
      <w:pPr>
        <w:pStyle w:val="SubParagraph"/>
        <w:tabs>
          <w:tab w:val="clear" w:pos="1800"/>
        </w:tabs>
      </w:pPr>
      <w:r w:rsidRPr="00024417">
        <w:t>(14)</w:t>
      </w:r>
      <w:r w:rsidRPr="00024417">
        <w:tab/>
        <w:t>90 days for three occurrences within a 12-month period of failure to comply with minimum lane coverage criteria required by 7 CFR 246.12(z)(2) and Rule .0708(20)(c) of this Section;</w:t>
      </w:r>
    </w:p>
    <w:p w14:paraId="3952BA82" w14:textId="77777777" w:rsidR="006A0BDB" w:rsidRPr="00024417" w:rsidRDefault="006A0BDB" w:rsidP="001D2CEB">
      <w:pPr>
        <w:pStyle w:val="Paragraph"/>
      </w:pPr>
      <w:r w:rsidRPr="00024417">
        <w:t>If during the course of a single investigation the State agency determines that a vendor has committed multiple State-</w:t>
      </w:r>
      <w:r w:rsidRPr="00024417">
        <w:t>established violations, the disqualification periods shall be cumulative, provided that the total period of disqualification shall not exceed one year for State-established violations investigated as part of a single investigation, as defined in Paragraph (c) of this Rule.</w:t>
      </w:r>
    </w:p>
    <w:p w14:paraId="35C9D59C" w14:textId="77777777" w:rsidR="006A0BDB" w:rsidRPr="00024417" w:rsidRDefault="006A0BDB" w:rsidP="001D2CEB">
      <w:pPr>
        <w:pStyle w:val="Paragraph"/>
      </w:pPr>
      <w:r w:rsidRPr="00024417">
        <w:t>(c)  For investigations pursuant to this Section, a single investigation is:</w:t>
      </w:r>
    </w:p>
    <w:p w14:paraId="1B1486FC" w14:textId="77777777" w:rsidR="006A0BDB" w:rsidRPr="00024417" w:rsidRDefault="006A0BDB" w:rsidP="001D2CEB">
      <w:pPr>
        <w:pStyle w:val="SubParagraph"/>
        <w:tabs>
          <w:tab w:val="clear" w:pos="1800"/>
        </w:tabs>
      </w:pPr>
      <w:r w:rsidRPr="00024417">
        <w:t>(1)</w:t>
      </w:r>
      <w:r w:rsidRPr="00024417">
        <w:tab/>
        <w:t>Compliance buy(s) conducted by undercover investigators within a 12-month period to detect the following violations:</w:t>
      </w:r>
    </w:p>
    <w:p w14:paraId="7D8B25B2" w14:textId="77777777" w:rsidR="006A0BDB" w:rsidRPr="00024417" w:rsidRDefault="006A0BDB" w:rsidP="001D2CEB">
      <w:pPr>
        <w:pStyle w:val="Part"/>
        <w:tabs>
          <w:tab w:val="clear" w:pos="2520"/>
        </w:tabs>
      </w:pPr>
      <w:r w:rsidRPr="00024417">
        <w:t>(A)</w:t>
      </w:r>
      <w:r w:rsidRPr="00024417">
        <w:tab/>
        <w:t>buying or selling food benefits for cash (trafficking);</w:t>
      </w:r>
    </w:p>
    <w:p w14:paraId="5E3207B0" w14:textId="77777777" w:rsidR="006A0BDB" w:rsidRPr="00024417" w:rsidRDefault="006A0BDB" w:rsidP="001D2CEB">
      <w:pPr>
        <w:pStyle w:val="Part"/>
        <w:tabs>
          <w:tab w:val="clear" w:pos="2520"/>
        </w:tabs>
      </w:pPr>
      <w:r w:rsidRPr="00024417">
        <w:t>(B)</w:t>
      </w:r>
      <w:r w:rsidRPr="00024417">
        <w:tab/>
        <w:t>selling firearms, ammunition, explosives, or controlled substances as defined in 21 U.S.C. 802, in exchange for food benefits;</w:t>
      </w:r>
    </w:p>
    <w:p w14:paraId="405DC5AD" w14:textId="77777777" w:rsidR="006A0BDB" w:rsidRPr="00024417" w:rsidRDefault="006A0BDB" w:rsidP="001D2CEB">
      <w:pPr>
        <w:pStyle w:val="Part"/>
        <w:tabs>
          <w:tab w:val="clear" w:pos="2520"/>
        </w:tabs>
      </w:pPr>
      <w:r w:rsidRPr="00024417">
        <w:t>(C)</w:t>
      </w:r>
      <w:r w:rsidRPr="00024417">
        <w:tab/>
        <w:t>selling alcohol or alcoholic beverages or tobacco products in exchange for food benefits;</w:t>
      </w:r>
    </w:p>
    <w:p w14:paraId="68755669" w14:textId="77777777" w:rsidR="006A0BDB" w:rsidRPr="00024417" w:rsidRDefault="006A0BDB" w:rsidP="001D2CEB">
      <w:pPr>
        <w:pStyle w:val="Part"/>
        <w:tabs>
          <w:tab w:val="clear" w:pos="2520"/>
        </w:tabs>
      </w:pPr>
      <w:r w:rsidRPr="00024417">
        <w:t>(D)</w:t>
      </w:r>
      <w:r w:rsidRPr="00024417">
        <w:tab/>
        <w:t>vendor overcharging;</w:t>
      </w:r>
    </w:p>
    <w:p w14:paraId="7880EECE" w14:textId="77777777" w:rsidR="006A0BDB" w:rsidRPr="00024417" w:rsidRDefault="006A0BDB" w:rsidP="001D2CEB">
      <w:pPr>
        <w:pStyle w:val="Part"/>
        <w:tabs>
          <w:tab w:val="clear" w:pos="2520"/>
        </w:tabs>
      </w:pPr>
      <w:r w:rsidRPr="00024417">
        <w:t>(E)</w:t>
      </w:r>
      <w:r w:rsidRPr="00024417">
        <w:tab/>
        <w:t>receiving, transacting, or redeeming food benefits outside of authorized channels, including the use of an unauthorized vendor or an unauthorized person;</w:t>
      </w:r>
    </w:p>
    <w:p w14:paraId="05564DED" w14:textId="77777777" w:rsidR="006A0BDB" w:rsidRPr="00024417" w:rsidRDefault="006A0BDB" w:rsidP="001D2CEB">
      <w:pPr>
        <w:pStyle w:val="Part"/>
        <w:tabs>
          <w:tab w:val="clear" w:pos="2520"/>
        </w:tabs>
      </w:pPr>
      <w:r w:rsidRPr="00024417">
        <w:t>(F)</w:t>
      </w:r>
      <w:r w:rsidRPr="00024417">
        <w:tab/>
        <w:t>charging for supplemental food not received by the WIC customer;</w:t>
      </w:r>
    </w:p>
    <w:p w14:paraId="5AF81E97" w14:textId="77777777" w:rsidR="006A0BDB" w:rsidRPr="00024417" w:rsidRDefault="006A0BDB" w:rsidP="001D2CEB">
      <w:pPr>
        <w:pStyle w:val="Part"/>
        <w:tabs>
          <w:tab w:val="clear" w:pos="2520"/>
        </w:tabs>
      </w:pPr>
      <w:r w:rsidRPr="00024417">
        <w:t>(G)</w:t>
      </w:r>
      <w:r w:rsidRPr="00024417">
        <w:tab/>
        <w:t>providing credit or non-food items, other than alcohol, alcoholic beverages, tobacco products, cash, firearms, ammunition, explosives, or controlled substances as defined in 21 U.S.C. 802, in exchange for food benefits;</w:t>
      </w:r>
    </w:p>
    <w:p w14:paraId="7BBA681C" w14:textId="77777777" w:rsidR="006A0BDB" w:rsidRPr="00024417" w:rsidRDefault="006A0BDB" w:rsidP="001D2CEB">
      <w:pPr>
        <w:pStyle w:val="Part"/>
        <w:tabs>
          <w:tab w:val="clear" w:pos="2520"/>
        </w:tabs>
      </w:pPr>
      <w:r w:rsidRPr="00024417">
        <w:t>(H)</w:t>
      </w:r>
      <w:r w:rsidRPr="00024417">
        <w:tab/>
        <w:t>providing unauthorized food items in exchange for food benefits, including charging for supplemental food provided in excess of those listed on the food benefit balance;</w:t>
      </w:r>
    </w:p>
    <w:p w14:paraId="3938F189" w14:textId="77777777" w:rsidR="006A0BDB" w:rsidRPr="00024417" w:rsidRDefault="006A0BDB" w:rsidP="001D2CEB">
      <w:pPr>
        <w:pStyle w:val="Part"/>
        <w:tabs>
          <w:tab w:val="clear" w:pos="2520"/>
        </w:tabs>
      </w:pPr>
      <w:r w:rsidRPr="00024417">
        <w:t>(I)</w:t>
      </w:r>
      <w:r w:rsidRPr="00024417">
        <w:tab/>
        <w:t>failure to properly transact WIC food</w:t>
      </w:r>
      <w:r>
        <w:t xml:space="preserve"> </w:t>
      </w:r>
      <w:r w:rsidRPr="00024417">
        <w:t xml:space="preserve">benefits </w:t>
      </w:r>
      <w:r w:rsidRPr="00024417">
        <w:rPr>
          <w:rFonts w:eastAsia="Arial"/>
        </w:rPr>
        <w:t>by manually entering the EBT card number or entering the PIN into the POS instead of the WIC participant, scanning the UPC or PLU codes from UPC codebooks or reference sheets when completing a WIC participant's EBT transaction, not entering the correct quantity and item price, or not providing the WIC participant with a receipt that shows the items purchased and the participant's remaining food benefit balance;</w:t>
      </w:r>
    </w:p>
    <w:p w14:paraId="5896D5E2" w14:textId="77777777" w:rsidR="006A0BDB" w:rsidRPr="00024417" w:rsidRDefault="006A0BDB" w:rsidP="001D2CEB">
      <w:pPr>
        <w:pStyle w:val="Part"/>
        <w:tabs>
          <w:tab w:val="clear" w:pos="2520"/>
        </w:tabs>
      </w:pPr>
      <w:r w:rsidRPr="00024417">
        <w:t>(J)</w:t>
      </w:r>
      <w:r w:rsidRPr="00024417">
        <w:tab/>
        <w:t>requiring a cash purchase to transact WIC food benefits; or</w:t>
      </w:r>
    </w:p>
    <w:p w14:paraId="2D981306" w14:textId="77777777" w:rsidR="006A0BDB" w:rsidRPr="00024417" w:rsidRDefault="006A0BDB" w:rsidP="001D2CEB">
      <w:pPr>
        <w:pStyle w:val="Part"/>
        <w:tabs>
          <w:tab w:val="clear" w:pos="2520"/>
        </w:tabs>
      </w:pPr>
      <w:r w:rsidRPr="00024417">
        <w:t>(K)</w:t>
      </w:r>
      <w:r w:rsidRPr="00024417">
        <w:tab/>
        <w:t>requiring the purchase of a specific brand when more than one WIC supplemental food brand is available.</w:t>
      </w:r>
    </w:p>
    <w:p w14:paraId="3E1E9171" w14:textId="77777777" w:rsidR="006A0BDB" w:rsidRPr="00024417" w:rsidRDefault="006A0BDB" w:rsidP="001D2CEB">
      <w:pPr>
        <w:pStyle w:val="SubParagraph"/>
        <w:tabs>
          <w:tab w:val="clear" w:pos="1800"/>
        </w:tabs>
      </w:pPr>
      <w:r w:rsidRPr="00024417">
        <w:lastRenderedPageBreak/>
        <w:t>(2)</w:t>
      </w:r>
      <w:r w:rsidRPr="00024417">
        <w:tab/>
        <w:t>Monitoring reviews of a vendor conducted by WIC staff within a 12-month period which detect the following violations:</w:t>
      </w:r>
    </w:p>
    <w:p w14:paraId="35BE61BC" w14:textId="77777777" w:rsidR="006A0BDB" w:rsidRPr="00024417" w:rsidRDefault="006A0BDB" w:rsidP="001D2CEB">
      <w:pPr>
        <w:pStyle w:val="Part"/>
        <w:tabs>
          <w:tab w:val="clear" w:pos="2520"/>
        </w:tabs>
      </w:pPr>
      <w:r w:rsidRPr="00024417">
        <w:t>(A)</w:t>
      </w:r>
      <w:r w:rsidRPr="00024417">
        <w:tab/>
        <w:t xml:space="preserve">failure to stock the minimum inventory specified in Item </w:t>
      </w:r>
      <w:r>
        <w:t>(</w:t>
      </w:r>
      <w:r w:rsidRPr="00024417">
        <w:t>17) of Rule .0708;</w:t>
      </w:r>
    </w:p>
    <w:p w14:paraId="63B84049" w14:textId="77777777" w:rsidR="006A0BDB" w:rsidRPr="00024417" w:rsidRDefault="006A0BDB" w:rsidP="001D2CEB">
      <w:pPr>
        <w:pStyle w:val="Part"/>
        <w:tabs>
          <w:tab w:val="clear" w:pos="2520"/>
        </w:tabs>
      </w:pPr>
      <w:r w:rsidRPr="00024417">
        <w:t>(B)</w:t>
      </w:r>
      <w:r w:rsidRPr="00024417">
        <w:tab/>
        <w:t>stocking WIC supplemental food outside of the manufacturer's expiration date;</w:t>
      </w:r>
    </w:p>
    <w:p w14:paraId="2E872C4D" w14:textId="77777777" w:rsidR="006A0BDB" w:rsidRPr="00024417" w:rsidRDefault="006A0BDB" w:rsidP="001D2CEB">
      <w:pPr>
        <w:pStyle w:val="Part"/>
        <w:tabs>
          <w:tab w:val="clear" w:pos="2520"/>
        </w:tabs>
      </w:pPr>
      <w:r w:rsidRPr="00024417">
        <w:t>(C)</w:t>
      </w:r>
      <w:r w:rsidRPr="00024417">
        <w:tab/>
        <w:t>failure to allow monitoring of a store by WIC staff;</w:t>
      </w:r>
    </w:p>
    <w:p w14:paraId="12BB6283" w14:textId="77777777" w:rsidR="006A0BDB" w:rsidRPr="00024417" w:rsidRDefault="006A0BDB" w:rsidP="001D2CEB">
      <w:pPr>
        <w:pStyle w:val="Part"/>
        <w:tabs>
          <w:tab w:val="clear" w:pos="2520"/>
        </w:tabs>
      </w:pPr>
      <w:r w:rsidRPr="00024417">
        <w:t>(D)</w:t>
      </w:r>
      <w:r w:rsidRPr="00024417">
        <w:tab/>
        <w:t>failure to provide program-related records referenced in Item (24) of Rule .0708 when requested by WIC staff;</w:t>
      </w:r>
    </w:p>
    <w:p w14:paraId="39BEFB94" w14:textId="77777777" w:rsidR="006A0BDB" w:rsidRPr="00024417" w:rsidRDefault="006A0BDB" w:rsidP="001D2CEB">
      <w:pPr>
        <w:pStyle w:val="Part"/>
        <w:tabs>
          <w:tab w:val="clear" w:pos="2520"/>
        </w:tabs>
      </w:pPr>
      <w:r w:rsidRPr="00024417">
        <w:t>(E)</w:t>
      </w:r>
      <w:r w:rsidRPr="00024417">
        <w:tab/>
        <w:t xml:space="preserve">failure to mark the current shelf prices of all WIC supplemental foods on the foods or have the prices posted on the shelf or display case; </w:t>
      </w:r>
    </w:p>
    <w:p w14:paraId="6EC63B3F" w14:textId="77777777" w:rsidR="006A0BDB" w:rsidRPr="00024417" w:rsidRDefault="006A0BDB" w:rsidP="001D2CEB">
      <w:pPr>
        <w:pStyle w:val="Part"/>
        <w:tabs>
          <w:tab w:val="clear" w:pos="2520"/>
        </w:tabs>
      </w:pPr>
      <w:r w:rsidRPr="00024417">
        <w:t>(F)</w:t>
      </w:r>
      <w:r w:rsidRPr="00024417">
        <w:tab/>
        <w:t>unauthorized use of the "WIC" acronym or the</w:t>
      </w:r>
      <w:r>
        <w:t xml:space="preserve"> </w:t>
      </w:r>
      <w:r w:rsidRPr="00024417">
        <w:t>logo, as defined in WIC Policy Memo #2009-1, which is hereby incorporated by reference, including subsequent amendments and editions, and available free of charge at https://www.fns.usda.gov/wic/clarification-use-wic-acronym-and-logo;</w:t>
      </w:r>
    </w:p>
    <w:p w14:paraId="45DBE1F6" w14:textId="77777777" w:rsidR="006A0BDB" w:rsidRPr="00024417" w:rsidRDefault="006A0BDB" w:rsidP="001D2CEB">
      <w:pPr>
        <w:pStyle w:val="Part"/>
        <w:tabs>
          <w:tab w:val="clear" w:pos="2520"/>
        </w:tabs>
      </w:pPr>
      <w:r w:rsidRPr="00024417">
        <w:t>(G)</w:t>
      </w:r>
      <w:r w:rsidRPr="00024417">
        <w:tab/>
        <w:t>failure to ensure that EBT point of sale equipment is accessible to the WIC customer; or</w:t>
      </w:r>
    </w:p>
    <w:p w14:paraId="1F7880CC" w14:textId="77777777" w:rsidR="006A0BDB" w:rsidRPr="00024417" w:rsidRDefault="006A0BDB" w:rsidP="001D2CEB">
      <w:pPr>
        <w:pStyle w:val="Part"/>
        <w:tabs>
          <w:tab w:val="clear" w:pos="2520"/>
        </w:tabs>
      </w:pPr>
      <w:r w:rsidRPr="00024417">
        <w:t>(H)</w:t>
      </w:r>
      <w:r w:rsidRPr="00024417">
        <w:tab/>
        <w:t>failure to comply with minimum lane coverage criteria required by 7 CFR 246.12(z)(2) and Rule .0708(20)(c) of this Section.</w:t>
      </w:r>
    </w:p>
    <w:p w14:paraId="6CF1D132" w14:textId="77777777" w:rsidR="006A0BDB" w:rsidRPr="00024417" w:rsidRDefault="006A0BDB" w:rsidP="001D2CEB">
      <w:pPr>
        <w:pStyle w:val="SubParagraph"/>
        <w:tabs>
          <w:tab w:val="clear" w:pos="1800"/>
        </w:tabs>
      </w:pPr>
      <w:r w:rsidRPr="00024417">
        <w:t>(3)</w:t>
      </w:r>
      <w:r w:rsidRPr="00024417">
        <w:tab/>
        <w:t>Any other method used by the State or local agency to detect the following violations by a vendor within a 12-month period:</w:t>
      </w:r>
    </w:p>
    <w:p w14:paraId="13F3691F" w14:textId="77777777" w:rsidR="006A0BDB" w:rsidRPr="00024417" w:rsidRDefault="006A0BDB" w:rsidP="001D2CEB">
      <w:pPr>
        <w:pStyle w:val="Part"/>
        <w:tabs>
          <w:tab w:val="clear" w:pos="2520"/>
        </w:tabs>
      </w:pPr>
      <w:r w:rsidRPr="00024417">
        <w:t>(A)</w:t>
      </w:r>
      <w:r w:rsidRPr="00024417">
        <w:tab/>
        <w:t>failure to attend annual vendor training;</w:t>
      </w:r>
    </w:p>
    <w:p w14:paraId="7C148AC6" w14:textId="77777777" w:rsidR="006A0BDB" w:rsidRPr="00024417" w:rsidRDefault="006A0BDB" w:rsidP="001D2CEB">
      <w:pPr>
        <w:pStyle w:val="Part"/>
        <w:tabs>
          <w:tab w:val="clear" w:pos="2520"/>
        </w:tabs>
      </w:pPr>
      <w:r w:rsidRPr="00024417">
        <w:t>(B)</w:t>
      </w:r>
      <w:r w:rsidRPr="00024417">
        <w:tab/>
        <w:t>failure to submit a WIC Price List as required by Item (26) of Rule .0708;</w:t>
      </w:r>
    </w:p>
    <w:p w14:paraId="3B1CB6D4" w14:textId="77777777" w:rsidR="006A0BDB" w:rsidRPr="00024417" w:rsidRDefault="006A0BDB" w:rsidP="001D2CEB">
      <w:pPr>
        <w:pStyle w:val="Part"/>
        <w:tabs>
          <w:tab w:val="clear" w:pos="2520"/>
        </w:tabs>
      </w:pPr>
      <w:r w:rsidRPr="00024417">
        <w:t>(C)</w:t>
      </w:r>
      <w:r w:rsidRPr="00024417">
        <w:tab/>
        <w:t xml:space="preserve">discrimination </w:t>
      </w:r>
      <w:proofErr w:type="gramStart"/>
      <w:r w:rsidRPr="00024417">
        <w:t>on the basis of</w:t>
      </w:r>
      <w:proofErr w:type="gramEnd"/>
      <w:r w:rsidRPr="00024417">
        <w:t xml:space="preserve"> WIC participation as referenced in Item (31) of Rule .0708.</w:t>
      </w:r>
    </w:p>
    <w:p w14:paraId="579EC83E" w14:textId="77777777" w:rsidR="006A0BDB" w:rsidRPr="00024417" w:rsidRDefault="006A0BDB" w:rsidP="001D2CEB">
      <w:pPr>
        <w:pStyle w:val="Part"/>
        <w:tabs>
          <w:tab w:val="clear" w:pos="2520"/>
        </w:tabs>
      </w:pPr>
      <w:r w:rsidRPr="00024417">
        <w:t>(D)</w:t>
      </w:r>
      <w:r w:rsidRPr="00024417">
        <w:tab/>
        <w:t xml:space="preserve">contacting a WIC customer </w:t>
      </w:r>
      <w:proofErr w:type="gramStart"/>
      <w:r w:rsidRPr="00024417">
        <w:t>in an attempt to</w:t>
      </w:r>
      <w:proofErr w:type="gramEnd"/>
      <w:r w:rsidRPr="00024417">
        <w:t xml:space="preserve"> recoup funds for food benefits or contacting a WIC customer outside the store regarding the transaction or redemption of WIC food benefits;</w:t>
      </w:r>
    </w:p>
    <w:p w14:paraId="0174DB94" w14:textId="77777777" w:rsidR="006A0BDB" w:rsidRPr="00024417" w:rsidRDefault="006A0BDB" w:rsidP="001D2CEB">
      <w:pPr>
        <w:pStyle w:val="Part"/>
        <w:tabs>
          <w:tab w:val="clear" w:pos="2520"/>
        </w:tabs>
      </w:pPr>
      <w:r w:rsidRPr="00024417">
        <w:t>(E)</w:t>
      </w:r>
      <w:r w:rsidRPr="00024417">
        <w:tab/>
        <w:t>nonpayment of a claim assessed by the State agency;</w:t>
      </w:r>
    </w:p>
    <w:p w14:paraId="7B186333" w14:textId="77777777" w:rsidR="006A0BDB" w:rsidRPr="00024417" w:rsidRDefault="006A0BDB" w:rsidP="001D2CEB">
      <w:pPr>
        <w:pStyle w:val="Part"/>
        <w:tabs>
          <w:tab w:val="clear" w:pos="2520"/>
        </w:tabs>
      </w:pPr>
      <w:r w:rsidRPr="00024417">
        <w:t>(F)</w:t>
      </w:r>
      <w:r w:rsidRPr="00024417">
        <w:tab/>
        <w:t>providing false, erroneous, or misleading information to the State or local WIC agency;</w:t>
      </w:r>
    </w:p>
    <w:p w14:paraId="71A2A2B2" w14:textId="77777777" w:rsidR="006A0BDB" w:rsidRPr="00024417" w:rsidRDefault="006A0BDB" w:rsidP="001D2CEB">
      <w:pPr>
        <w:pStyle w:val="Part"/>
        <w:tabs>
          <w:tab w:val="clear" w:pos="2520"/>
        </w:tabs>
      </w:pPr>
      <w:r w:rsidRPr="00024417">
        <w:t>(G)</w:t>
      </w:r>
      <w:r w:rsidRPr="00024417">
        <w:tab/>
        <w:t xml:space="preserve">claiming reimbursement for the sale of an amount of a specific supplemental food item which exceeds the store's documented inventory of that </w:t>
      </w:r>
      <w:r w:rsidRPr="00024417">
        <w:t>supplemental food item for a specific period of time, or failure or inability to provide records or providing false records required under Item (24) of Rule .0708 for an inventory audit;</w:t>
      </w:r>
    </w:p>
    <w:p w14:paraId="0748861F" w14:textId="77777777" w:rsidR="006A0BDB" w:rsidRPr="00024417" w:rsidRDefault="006A0BDB" w:rsidP="001D2CEB">
      <w:pPr>
        <w:pStyle w:val="Part"/>
        <w:tabs>
          <w:tab w:val="clear" w:pos="2520"/>
        </w:tabs>
      </w:pPr>
      <w:r w:rsidRPr="00024417">
        <w:t>(H)</w:t>
      </w:r>
      <w:r w:rsidRPr="00024417">
        <w:tab/>
        <w:t>failure to purchase infant formula, exempt infant formula or WIC-eligible medical foods from the sources specified in Item (3) of Rule .0707; or</w:t>
      </w:r>
    </w:p>
    <w:p w14:paraId="044E05B1" w14:textId="77777777" w:rsidR="006A0BDB" w:rsidRPr="00024417" w:rsidRDefault="006A0BDB" w:rsidP="001D2CEB">
      <w:pPr>
        <w:pStyle w:val="Part"/>
        <w:tabs>
          <w:tab w:val="clear" w:pos="2520"/>
        </w:tabs>
      </w:pPr>
      <w:r w:rsidRPr="00024417">
        <w:t>(I)</w:t>
      </w:r>
      <w:r w:rsidRPr="00024417">
        <w:tab/>
        <w:t>providing WIC customers infant formula, exempt infant formula, or WIC eligible medical food that was not purchased from the sources specified in Item (3) of Rule .0707.</w:t>
      </w:r>
    </w:p>
    <w:p w14:paraId="403D1425" w14:textId="77777777" w:rsidR="006A0BDB" w:rsidRPr="00024417" w:rsidRDefault="006A0BDB" w:rsidP="001D2CEB">
      <w:pPr>
        <w:pStyle w:val="Paragraph"/>
      </w:pPr>
      <w:r w:rsidRPr="00024417">
        <w:t>(d)  The SNAP disqualification provisions in 7 C.F.R. 246.12(l)(1)(vii) are incorporated by reference with all subsequent amendments and editions.</w:t>
      </w:r>
    </w:p>
    <w:p w14:paraId="023A95CE" w14:textId="77777777" w:rsidR="006A0BDB" w:rsidRPr="00024417" w:rsidRDefault="006A0BDB" w:rsidP="001D2CEB">
      <w:pPr>
        <w:pStyle w:val="Paragraph"/>
      </w:pPr>
      <w:r w:rsidRPr="00024417">
        <w:t>(e)  The participant access provisions of 7 C.F.R. 246.12(l)(1)(ix) and 246.12(l)(8) are incorporated by reference with all subsequent amendments and editions. The existence of any of the factors listed in Parts (f)(3)(A), (f)(3)(B) or (f)(3)(C) of this Rule shall show adequate participant access provided there is no geographic barrier, such as an impassable mountain or river, to using the other authorized WIC vendors referenced in these Parts. The agency shall not consider other indicators of inadequate participant access when any of these factors exist.</w:t>
      </w:r>
    </w:p>
    <w:p w14:paraId="1C91A275" w14:textId="77777777" w:rsidR="006A0BDB" w:rsidRPr="00024417" w:rsidRDefault="006A0BDB" w:rsidP="001D2CEB">
      <w:pPr>
        <w:pStyle w:val="Paragraph"/>
      </w:pPr>
      <w:r w:rsidRPr="00024417">
        <w:t>(f)  The following provisions apply to monetary and civil money penalties assessed in lieu of disqualification of a vendor:</w:t>
      </w:r>
    </w:p>
    <w:p w14:paraId="1A1212D6" w14:textId="77777777" w:rsidR="006A0BDB" w:rsidRPr="00024417" w:rsidRDefault="006A0BDB" w:rsidP="001D2CEB">
      <w:pPr>
        <w:pStyle w:val="SubParagraph"/>
        <w:tabs>
          <w:tab w:val="clear" w:pos="1800"/>
        </w:tabs>
      </w:pPr>
      <w:r w:rsidRPr="00024417">
        <w:t>(1)</w:t>
      </w:r>
      <w:r w:rsidRPr="00024417">
        <w:tab/>
        <w:t>The civil money penalty formula in 7 C.F.R. 246.12(l)(l)(x) is incorporated by reference with all subsequent amendments and editions, provided that the vendor's average monthly redemptions shall be calculated by using the six-month period ending with the month immediately preceding the month during which the notice of administrative action is dated.</w:t>
      </w:r>
    </w:p>
    <w:p w14:paraId="42696C4A" w14:textId="77777777" w:rsidR="006A0BDB" w:rsidRPr="00024417" w:rsidRDefault="006A0BDB" w:rsidP="001D2CEB">
      <w:pPr>
        <w:pStyle w:val="SubParagraph"/>
        <w:tabs>
          <w:tab w:val="clear" w:pos="1800"/>
        </w:tabs>
      </w:pPr>
      <w:r w:rsidRPr="00024417">
        <w:t>(2)</w:t>
      </w:r>
      <w:r w:rsidRPr="00024417">
        <w:tab/>
        <w:t>The State agency may also impose monetary penalties in accordance with G.S. 130A-22(c1) in lieu of disqualification of a vendor for the State-established violations listed in Paragraph (b) of this Rule when the State agency determines that disqualification of a vendor would result in participant hardship in accordance with Subparagraph (f)(3) of this Paragraph.</w:t>
      </w:r>
    </w:p>
    <w:p w14:paraId="616C36D6" w14:textId="77777777" w:rsidR="006A0BDB" w:rsidRPr="00024417" w:rsidRDefault="006A0BDB" w:rsidP="001D2CEB">
      <w:pPr>
        <w:pStyle w:val="SubParagraph"/>
        <w:tabs>
          <w:tab w:val="clear" w:pos="1800"/>
        </w:tabs>
      </w:pPr>
      <w:r w:rsidRPr="00024417">
        <w:t>(3)</w:t>
      </w:r>
      <w:r w:rsidRPr="00024417">
        <w:tab/>
        <w:t>In determining whether to disqualify a WIC vendor for the State-established violations listed in Paragraph (b) of this Rule, the agency shall not consider other indicators of hardship if any of the following factors, which show lack of hardship, are found to exist:</w:t>
      </w:r>
    </w:p>
    <w:p w14:paraId="0F80956C" w14:textId="77777777" w:rsidR="006A0BDB" w:rsidRPr="00024417" w:rsidRDefault="006A0BDB" w:rsidP="001D2CEB">
      <w:pPr>
        <w:pStyle w:val="Part"/>
        <w:tabs>
          <w:tab w:val="clear" w:pos="2520"/>
        </w:tabs>
      </w:pPr>
      <w:r w:rsidRPr="00024417">
        <w:t>(A)</w:t>
      </w:r>
      <w:r w:rsidRPr="00024417">
        <w:tab/>
        <w:t>the noncomplying vendor is located outside of the limits of a city, as defined in G.S. 160A-1(2), and another WIC vendor is located within seven miles of the noncomplying vendor;</w:t>
      </w:r>
    </w:p>
    <w:p w14:paraId="52F1165E" w14:textId="77777777" w:rsidR="006A0BDB" w:rsidRPr="00024417" w:rsidRDefault="006A0BDB" w:rsidP="001D2CEB">
      <w:pPr>
        <w:pStyle w:val="Part"/>
        <w:tabs>
          <w:tab w:val="clear" w:pos="2520"/>
        </w:tabs>
      </w:pPr>
      <w:r w:rsidRPr="00024417">
        <w:lastRenderedPageBreak/>
        <w:t>(B)</w:t>
      </w:r>
      <w:r w:rsidRPr="00024417">
        <w:tab/>
        <w:t>the noncomplying vendor is located within the limits of a city, as defined in G.S. 160A-1(2), and another WIC vendor is located within three miles of the noncomplying vendor; or</w:t>
      </w:r>
    </w:p>
    <w:p w14:paraId="05F3EE97" w14:textId="77777777" w:rsidR="006A0BDB" w:rsidRPr="00024417" w:rsidRDefault="006A0BDB" w:rsidP="001D2CEB">
      <w:pPr>
        <w:pStyle w:val="Part"/>
        <w:tabs>
          <w:tab w:val="clear" w:pos="2520"/>
        </w:tabs>
      </w:pPr>
      <w:r w:rsidRPr="00024417">
        <w:t>(C)</w:t>
      </w:r>
      <w:r w:rsidRPr="00024417">
        <w:tab/>
        <w:t>a WIC vendor, other than the noncomplying vendor, is located within one mile of the local agency at which WIC participants are certified to receive WIC food benefits.</w:t>
      </w:r>
    </w:p>
    <w:p w14:paraId="7A14D38B" w14:textId="77777777" w:rsidR="006A0BDB" w:rsidRPr="00024417" w:rsidRDefault="006A0BDB" w:rsidP="001D2CEB">
      <w:pPr>
        <w:pStyle w:val="SubParagraph"/>
        <w:tabs>
          <w:tab w:val="clear" w:pos="1800"/>
        </w:tabs>
      </w:pPr>
      <w:r w:rsidRPr="00024417">
        <w:t>(4)</w:t>
      </w:r>
      <w:r w:rsidRPr="00024417">
        <w:tab/>
        <w:t>The provisions for failure to pay a civil money penalty in 7 C.F.R. 246.12(l)(6) are incorporated by reference with all subsequent amendments and editions. These provisions also apply to a vendor that fails to pay a monetary penalty imposed under G.S. 130A-22(c1).</w:t>
      </w:r>
    </w:p>
    <w:p w14:paraId="0C0480A6" w14:textId="77777777" w:rsidR="006A0BDB" w:rsidRPr="00024417" w:rsidRDefault="006A0BDB" w:rsidP="001D2CEB">
      <w:pPr>
        <w:pStyle w:val="Paragraph"/>
      </w:pPr>
      <w:r w:rsidRPr="00024417">
        <w:t>(g)  The provisions of 7 C.F.R. 246.12(l)(1)(viii) prohibiting voluntary withdrawal from the WIC Program or nonrenewal of the WIC Vendor Agreement as an alternative to disqualification are incorporated by reference with all subsequent amendments and editions.</w:t>
      </w:r>
    </w:p>
    <w:p w14:paraId="23C80B3E" w14:textId="77777777" w:rsidR="006A0BDB" w:rsidRPr="00024417" w:rsidRDefault="006A0BDB" w:rsidP="001D2CEB">
      <w:pPr>
        <w:pStyle w:val="Paragraph"/>
      </w:pPr>
      <w:r w:rsidRPr="00024417">
        <w:t>(h)  The provisions of 42 USC 1786 (f)(26) and 7 CFR 246.12(l)(3) regarding vendor notification of violations are incorporated by reference with all subsequent amendments and editions.</w:t>
      </w:r>
    </w:p>
    <w:p w14:paraId="4C640012" w14:textId="77777777" w:rsidR="006A0BDB" w:rsidRPr="00024417" w:rsidRDefault="006A0BDB" w:rsidP="001D2CEB">
      <w:pPr>
        <w:pStyle w:val="Paragraph"/>
      </w:pPr>
      <w:bookmarkStart w:id="6" w:name="_Hlk497744554"/>
      <w:r w:rsidRPr="00024417">
        <w:t>(i)  The State agency may offset payments to an authorized vendor if the vendor fails to reimburse the State agency in accordance with Item (27) of Rule .0708.</w:t>
      </w:r>
    </w:p>
    <w:bookmarkEnd w:id="6"/>
    <w:p w14:paraId="3363955F" w14:textId="77777777" w:rsidR="006A0BDB" w:rsidRPr="00024417" w:rsidRDefault="006A0BDB" w:rsidP="001D2CEB">
      <w:pPr>
        <w:pStyle w:val="Paragraph"/>
      </w:pPr>
      <w:r w:rsidRPr="00024417">
        <w:t xml:space="preserve">(j)  In accordance with 7 C.F.R. 246.12(l)(7) or 246.12(u)(5) or both, North Carolina's procedures for dealing with abuse of the WIC program by authorized WIC vendors under the </w:t>
      </w:r>
      <w:r>
        <w:t>r</w:t>
      </w:r>
      <w:r w:rsidRPr="00024417">
        <w:t>ules of this Section do not exclude or replace any criminal or civil sanctions or other remedies that may be applicable under any federal or State law.</w:t>
      </w:r>
    </w:p>
    <w:p w14:paraId="0E662765" w14:textId="77777777" w:rsidR="006A0BDB" w:rsidRPr="00024417" w:rsidRDefault="006A0BDB" w:rsidP="001D2CEB">
      <w:pPr>
        <w:pStyle w:val="Paragraph"/>
      </w:pPr>
      <w:r w:rsidRPr="00024417">
        <w:t>(k)  Except as provided in 7 C.F.R. 246.18(a)(2), an authorized WIC vendor shall be given at least 15 days advance written notice of any adverse action which affects the vendor's participation in the WIC Program. The vendor appeal procedures shall be in accordance with 10A NCAC 43D .0800.</w:t>
      </w:r>
    </w:p>
    <w:p w14:paraId="000204EB" w14:textId="77777777" w:rsidR="006A0BDB" w:rsidRPr="00024417" w:rsidRDefault="006A0BDB" w:rsidP="001D2CEB">
      <w:pPr>
        <w:pStyle w:val="Base"/>
      </w:pPr>
    </w:p>
    <w:p w14:paraId="688359D3" w14:textId="77777777" w:rsidR="006A0BDB" w:rsidRPr="00024417" w:rsidRDefault="006A0BDB" w:rsidP="001D2CEB">
      <w:pPr>
        <w:pStyle w:val="History"/>
      </w:pPr>
      <w:r w:rsidRPr="00024417">
        <w:t>History Note:</w:t>
      </w:r>
      <w:r w:rsidRPr="00024417">
        <w:tab/>
        <w:t>Authority G.S. 130A-361; 7 C.F.R. 246.12; 7 C.F.R. 246.18; 42 U.S.C. 1786;</w:t>
      </w:r>
    </w:p>
    <w:p w14:paraId="1219E52C" w14:textId="77777777" w:rsidR="006A0BDB" w:rsidRPr="00024417" w:rsidRDefault="006A0BDB" w:rsidP="001D2CEB">
      <w:pPr>
        <w:pStyle w:val="HistoryAfter"/>
      </w:pPr>
      <w:r w:rsidRPr="00024417">
        <w:t>Eff. February 1, 2013;</w:t>
      </w:r>
    </w:p>
    <w:p w14:paraId="06799172" w14:textId="77777777" w:rsidR="006A0BDB" w:rsidRPr="00024417" w:rsidRDefault="006A0BDB" w:rsidP="001D2CEB">
      <w:pPr>
        <w:pStyle w:val="HistoryAfter"/>
      </w:pPr>
      <w:r w:rsidRPr="00024417">
        <w:t>Pursuant to G.S. 150B-21.3A, rule is necessary without substantive public interest Eff. December 23, 2017;</w:t>
      </w:r>
    </w:p>
    <w:p w14:paraId="00CD6855" w14:textId="77777777" w:rsidR="006A0BDB" w:rsidRPr="00024417" w:rsidRDefault="006A0BDB" w:rsidP="001D2CEB">
      <w:pPr>
        <w:pStyle w:val="HistoryAfter"/>
      </w:pPr>
      <w:r w:rsidRPr="00024417">
        <w:t>Amended Eff. March 1, 2020; January 1, 2018.</w:t>
      </w:r>
    </w:p>
    <w:p w14:paraId="632834E8" w14:textId="77777777" w:rsidR="006A0BDB" w:rsidRDefault="006A0BDB" w:rsidP="001D2CEB">
      <w:pPr>
        <w:pStyle w:val="Base"/>
      </w:pPr>
    </w:p>
    <w:p w14:paraId="188292AF" w14:textId="77777777" w:rsidR="006A0BDB" w:rsidRPr="00DA42CD" w:rsidRDefault="006A0BDB" w:rsidP="001D2CEB">
      <w:pPr>
        <w:pStyle w:val="Rule"/>
      </w:pPr>
      <w:r w:rsidRPr="00DA42CD">
        <w:t>10A NCAC 43D .0908</w:t>
      </w:r>
      <w:r w:rsidRPr="00DA42CD">
        <w:tab/>
        <w:t>NOTICE OF HEARING</w:t>
      </w:r>
    </w:p>
    <w:p w14:paraId="6441FFD1" w14:textId="77777777" w:rsidR="006A0BDB" w:rsidRPr="00DA42CD" w:rsidRDefault="006A0BDB" w:rsidP="001D2CEB">
      <w:pPr>
        <w:pStyle w:val="Paragraph"/>
      </w:pPr>
      <w:r w:rsidRPr="00DA42CD">
        <w:t xml:space="preserve">(a)  The local or State agency official shall notify the appellant, or his or her representative, the local WIC agency, and the Nutrition Services Branch in writing that a request for a hearing has been received. </w:t>
      </w:r>
    </w:p>
    <w:p w14:paraId="52FFD043" w14:textId="77777777" w:rsidR="006A0BDB" w:rsidRPr="00DA42CD" w:rsidRDefault="006A0BDB" w:rsidP="001D2CEB">
      <w:pPr>
        <w:pStyle w:val="Paragraph"/>
      </w:pPr>
      <w:r w:rsidRPr="00DA42CD">
        <w:t>(b)  Notice of the date, time, and place of the hearing shall be given to all parties at least 10 days in advance of the hearing.</w:t>
      </w:r>
    </w:p>
    <w:p w14:paraId="3AE5844A" w14:textId="77777777" w:rsidR="006A0BDB" w:rsidRPr="00DA42CD" w:rsidRDefault="006A0BDB" w:rsidP="001D2CEB">
      <w:pPr>
        <w:pStyle w:val="Paragraph"/>
      </w:pPr>
      <w:r w:rsidRPr="00DA42CD">
        <w:t xml:space="preserve">(c)  The notice to the appellant, or his or her representative, shall include a stamped envelope with the return address of the agency official with a request that it be returned indicating whether the date, time, and place for the hearing is satisfactory. If a response </w:t>
      </w:r>
      <w:r w:rsidRPr="00DA42CD">
        <w:t>is not received at least 72 hours prior to the time proposed for the hearing, it shall be assumed that the date, time, and place are satisfactory.</w:t>
      </w:r>
    </w:p>
    <w:p w14:paraId="1210DE95" w14:textId="77777777" w:rsidR="006A0BDB" w:rsidRPr="00DA42CD" w:rsidRDefault="006A0BDB" w:rsidP="001D2CEB">
      <w:pPr>
        <w:pStyle w:val="Paragraph"/>
      </w:pPr>
      <w:r w:rsidRPr="00DA42CD">
        <w:t>(d)  The notice shall contain:</w:t>
      </w:r>
    </w:p>
    <w:p w14:paraId="2C37A97C" w14:textId="77777777" w:rsidR="006A0BDB" w:rsidRPr="00DA42CD" w:rsidRDefault="006A0BDB" w:rsidP="001D2CEB">
      <w:pPr>
        <w:pStyle w:val="SubParagraph"/>
        <w:tabs>
          <w:tab w:val="clear" w:pos="1800"/>
        </w:tabs>
      </w:pPr>
      <w:r w:rsidRPr="00DA42CD">
        <w:t>(1)</w:t>
      </w:r>
      <w:r w:rsidRPr="00DA42CD">
        <w:tab/>
        <w:t>an explanation of the procedure for the hearing;</w:t>
      </w:r>
    </w:p>
    <w:p w14:paraId="6E6DCC17" w14:textId="77777777" w:rsidR="006A0BDB" w:rsidRPr="00DA42CD" w:rsidRDefault="006A0BDB" w:rsidP="001D2CEB">
      <w:pPr>
        <w:pStyle w:val="SubParagraph"/>
        <w:tabs>
          <w:tab w:val="clear" w:pos="1800"/>
        </w:tabs>
      </w:pPr>
      <w:r w:rsidRPr="00DA42CD">
        <w:t>(2)</w:t>
      </w:r>
      <w:r w:rsidRPr="00DA42CD">
        <w:tab/>
        <w:t>a statement of the date, hour, place and nature of the hearing;</w:t>
      </w:r>
    </w:p>
    <w:p w14:paraId="053B8A97" w14:textId="77777777" w:rsidR="006A0BDB" w:rsidRPr="00DA42CD" w:rsidRDefault="006A0BDB" w:rsidP="001D2CEB">
      <w:pPr>
        <w:pStyle w:val="SubParagraph"/>
        <w:tabs>
          <w:tab w:val="clear" w:pos="1800"/>
        </w:tabs>
      </w:pPr>
      <w:r w:rsidRPr="00DA42CD">
        <w:t>(3)</w:t>
      </w:r>
      <w:r w:rsidRPr="00DA42CD">
        <w:tab/>
        <w:t xml:space="preserve">a reference to the </w:t>
      </w:r>
      <w:proofErr w:type="gramStart"/>
      <w:r w:rsidRPr="00DA42CD">
        <w:t>particular sections</w:t>
      </w:r>
      <w:proofErr w:type="gramEnd"/>
      <w:r w:rsidRPr="00DA42CD">
        <w:t xml:space="preserve"> of the statutes and rules involved; and</w:t>
      </w:r>
    </w:p>
    <w:p w14:paraId="58407CA0" w14:textId="77777777" w:rsidR="006A0BDB" w:rsidRPr="00DA42CD" w:rsidRDefault="006A0BDB" w:rsidP="001D2CEB">
      <w:pPr>
        <w:pStyle w:val="SubParagraph"/>
        <w:tabs>
          <w:tab w:val="clear" w:pos="1800"/>
        </w:tabs>
      </w:pPr>
      <w:r w:rsidRPr="00DA42CD">
        <w:t>(4)</w:t>
      </w:r>
      <w:r w:rsidRPr="00DA42CD">
        <w:tab/>
        <w:t>a statement of the factual allegations.</w:t>
      </w:r>
    </w:p>
    <w:p w14:paraId="3CF9E1B0" w14:textId="77777777" w:rsidR="006A0BDB" w:rsidRPr="00DA42CD" w:rsidRDefault="006A0BDB" w:rsidP="001D2CEB">
      <w:pPr>
        <w:pStyle w:val="Paragraph"/>
      </w:pPr>
      <w:r w:rsidRPr="00DA42CD">
        <w:t>(e)  If the appellant, or his or her representative, indicates that he or she desires another time and date, the agency official shall set a new time and date for the hearing. The hearing shall be accessible to the appellant, or his or her representative.</w:t>
      </w:r>
    </w:p>
    <w:p w14:paraId="5953F56D" w14:textId="77777777" w:rsidR="006A0BDB" w:rsidRPr="00DA42CD" w:rsidRDefault="006A0BDB" w:rsidP="001D2CEB">
      <w:pPr>
        <w:pStyle w:val="Paragraph"/>
      </w:pPr>
      <w:r w:rsidRPr="00DA42CD">
        <w:t>(f)  The hearing shall be held within 21 days from the date the agency official receives the request.</w:t>
      </w:r>
    </w:p>
    <w:p w14:paraId="04FB444C" w14:textId="77777777" w:rsidR="006A0BDB" w:rsidRPr="00DA42CD" w:rsidRDefault="006A0BDB" w:rsidP="001D2CEB">
      <w:pPr>
        <w:pStyle w:val="Base"/>
      </w:pPr>
    </w:p>
    <w:p w14:paraId="3677C817" w14:textId="77777777" w:rsidR="006A0BDB" w:rsidRPr="00DA42CD" w:rsidRDefault="006A0BDB" w:rsidP="001D2CEB">
      <w:pPr>
        <w:pStyle w:val="History"/>
      </w:pPr>
      <w:r w:rsidRPr="00DA42CD">
        <w:t>History Note:</w:t>
      </w:r>
      <w:r w:rsidRPr="00DA42CD">
        <w:tab/>
        <w:t>Authority G.S. 130A</w:t>
      </w:r>
      <w:r w:rsidRPr="00DA42CD">
        <w:noBreakHyphen/>
        <w:t>361; 150B</w:t>
      </w:r>
      <w:r w:rsidRPr="00DA42CD">
        <w:noBreakHyphen/>
        <w:t>22; 7 C.F.R. 246.9; 42 U.S.C. 1786;</w:t>
      </w:r>
    </w:p>
    <w:p w14:paraId="2C43E1D7" w14:textId="77777777" w:rsidR="006A0BDB" w:rsidRPr="00DA42CD" w:rsidRDefault="006A0BDB" w:rsidP="001D2CEB">
      <w:pPr>
        <w:pStyle w:val="HistoryAfter"/>
      </w:pPr>
      <w:r w:rsidRPr="00DA42CD">
        <w:t>Eff. July 1, 1981;</w:t>
      </w:r>
    </w:p>
    <w:p w14:paraId="433BB385" w14:textId="77777777" w:rsidR="006A0BDB" w:rsidRPr="00DA42CD" w:rsidRDefault="006A0BDB" w:rsidP="001D2CEB">
      <w:pPr>
        <w:pStyle w:val="HistoryAfter"/>
      </w:pPr>
      <w:r w:rsidRPr="00DA42CD">
        <w:t>Amended Eff. November 1, 1990;</w:t>
      </w:r>
    </w:p>
    <w:p w14:paraId="6462DAEB" w14:textId="77777777" w:rsidR="006A0BDB" w:rsidRPr="00DA42CD" w:rsidRDefault="006A0BDB" w:rsidP="001D2CEB">
      <w:pPr>
        <w:pStyle w:val="HistoryAfter"/>
      </w:pPr>
      <w:r w:rsidRPr="00DA42CD">
        <w:t>Temporary Amendment Eff. July 1, 2002;</w:t>
      </w:r>
    </w:p>
    <w:p w14:paraId="3F754EE6" w14:textId="77777777" w:rsidR="006A0BDB" w:rsidRPr="00DA42CD" w:rsidRDefault="006A0BDB" w:rsidP="001D2CEB">
      <w:pPr>
        <w:pStyle w:val="HistoryAfter"/>
      </w:pPr>
      <w:r w:rsidRPr="00DA42CD">
        <w:t>Amended Eff. July 1, 2004;</w:t>
      </w:r>
    </w:p>
    <w:p w14:paraId="1260AC1E" w14:textId="77777777" w:rsidR="006A0BDB" w:rsidRPr="00DA42CD" w:rsidRDefault="006A0BDB" w:rsidP="001D2CEB">
      <w:pPr>
        <w:pStyle w:val="HistoryAfter"/>
      </w:pPr>
      <w:r w:rsidRPr="00DA42CD">
        <w:t xml:space="preserve">Pursuant to G.S. 150B-21.3A, rule is necessary without substantive public interest Eff. December 23, 2017; </w:t>
      </w:r>
    </w:p>
    <w:p w14:paraId="21B7B738" w14:textId="77777777" w:rsidR="006A0BDB" w:rsidRPr="00DA42CD" w:rsidRDefault="006A0BDB" w:rsidP="001D2CEB">
      <w:pPr>
        <w:pStyle w:val="HistoryAfter"/>
      </w:pPr>
      <w:r w:rsidRPr="00DA42CD">
        <w:t>Amended Eff. March 1, 2020.</w:t>
      </w:r>
    </w:p>
    <w:p w14:paraId="1FFC9B4A" w14:textId="77777777" w:rsidR="006A0BDB" w:rsidRPr="00DA42CD" w:rsidRDefault="006A0BDB" w:rsidP="001D2CEB">
      <w:pPr>
        <w:pStyle w:val="Base"/>
      </w:pPr>
    </w:p>
    <w:p w14:paraId="38DE2559" w14:textId="77777777" w:rsidR="006A0BDB" w:rsidRDefault="006A0BDB" w:rsidP="001D2CEB">
      <w:pPr>
        <w:pBdr>
          <w:top w:val="single" w:sz="18" w:space="1" w:color="auto"/>
        </w:pBdr>
      </w:pPr>
    </w:p>
    <w:p w14:paraId="3D4B9B67" w14:textId="77777777" w:rsidR="006A0BDB" w:rsidRDefault="006A0BDB" w:rsidP="001D2CEB">
      <w:pPr>
        <w:pStyle w:val="DepartmentTitle"/>
      </w:pPr>
      <w:r>
        <w:t>TITLE 14B - Department of Public Safety</w:t>
      </w:r>
    </w:p>
    <w:p w14:paraId="1895909E" w14:textId="77777777" w:rsidR="006A0BDB" w:rsidRDefault="006A0BDB" w:rsidP="001D2CEB"/>
    <w:p w14:paraId="3CD9BAD7" w14:textId="77777777" w:rsidR="006A0BDB" w:rsidRPr="00E6011D" w:rsidRDefault="006A0BDB" w:rsidP="001D2CEB">
      <w:pPr>
        <w:pStyle w:val="Rule"/>
      </w:pPr>
      <w:r w:rsidRPr="00E6011D">
        <w:t>14B NCAC 15A .1406</w:t>
      </w:r>
      <w:r w:rsidRPr="00E6011D">
        <w:tab/>
        <w:t>PAYMENT</w:t>
      </w:r>
    </w:p>
    <w:p w14:paraId="07E1A1DA" w14:textId="77777777" w:rsidR="006A0BDB" w:rsidRPr="00E6011D" w:rsidRDefault="006A0BDB" w:rsidP="001D2CEB">
      <w:pPr>
        <w:pStyle w:val="Paragraph"/>
      </w:pPr>
      <w:r w:rsidRPr="00E6011D">
        <w:t xml:space="preserve">(a)  Local boards shall remit full payment of the Contractor's statement of account pertaining to the bailment </w:t>
      </w:r>
      <w:r>
        <w:t>charge</w:t>
      </w:r>
      <w:r w:rsidRPr="00E6011D">
        <w:t xml:space="preserve"> within 30 days of receipt of the statement.</w:t>
      </w:r>
    </w:p>
    <w:p w14:paraId="760AD034" w14:textId="77777777" w:rsidR="006A0BDB" w:rsidRPr="00E6011D" w:rsidRDefault="006A0BDB" w:rsidP="001D2CEB">
      <w:pPr>
        <w:pStyle w:val="Paragraph"/>
      </w:pPr>
      <w:r w:rsidRPr="00E6011D">
        <w:t>(b)  Local boards shall remit full payment of the Contractor's statement of account pertaining to the bailment surcharge within 30 days of receipt of the statement.</w:t>
      </w:r>
    </w:p>
    <w:p w14:paraId="17E25AF2" w14:textId="77777777" w:rsidR="006A0BDB" w:rsidRPr="00E6011D" w:rsidRDefault="006A0BDB" w:rsidP="001D2CEB">
      <w:pPr>
        <w:pStyle w:val="Paragraph"/>
      </w:pPr>
      <w:r w:rsidRPr="00E6011D">
        <w:t>(c)  Local boards shall remit full payment of the distiller's invoice within 30 days of delivery of the liquor.</w:t>
      </w:r>
    </w:p>
    <w:p w14:paraId="61C7B9B9" w14:textId="77777777" w:rsidR="006A0BDB" w:rsidRPr="00E6011D" w:rsidRDefault="006A0BDB" w:rsidP="001D2CEB">
      <w:pPr>
        <w:pStyle w:val="Paragraph"/>
      </w:pPr>
      <w:r w:rsidRPr="00E6011D">
        <w:t>(d)  Local boards that obtain spirituous liquor from another local board pursuant to 14B NCAC 15A .1301(e) shall remit full payment within 15 days of the transaction.</w:t>
      </w:r>
    </w:p>
    <w:p w14:paraId="462CD6CF" w14:textId="77777777" w:rsidR="006A0BDB" w:rsidRPr="00E6011D" w:rsidRDefault="006A0BDB" w:rsidP="001D2CEB">
      <w:pPr>
        <w:pStyle w:val="Base"/>
      </w:pPr>
    </w:p>
    <w:p w14:paraId="41398C8E" w14:textId="77777777" w:rsidR="006A0BDB" w:rsidRPr="00E6011D" w:rsidRDefault="006A0BDB" w:rsidP="001D2CEB">
      <w:pPr>
        <w:pStyle w:val="History"/>
      </w:pPr>
      <w:r w:rsidRPr="00E6011D">
        <w:t>History Note:</w:t>
      </w:r>
      <w:r w:rsidRPr="00E6011D">
        <w:tab/>
        <w:t>Authority G.S. 18B-100;</w:t>
      </w:r>
      <w:r>
        <w:t xml:space="preserve"> 18B-203(a)(14) and (15);</w:t>
      </w:r>
      <w:r w:rsidRPr="00E6011D">
        <w:t xml:space="preserve"> 18B-207; 18B-702(u);</w:t>
      </w:r>
    </w:p>
    <w:p w14:paraId="57D1F6C1" w14:textId="77777777" w:rsidR="006A0BDB" w:rsidRPr="00E6011D" w:rsidRDefault="006A0BDB" w:rsidP="001D2CEB">
      <w:pPr>
        <w:pStyle w:val="HistoryAfter"/>
      </w:pPr>
      <w:r w:rsidRPr="00E6011D">
        <w:t>Eff. May 1, 1984;</w:t>
      </w:r>
    </w:p>
    <w:p w14:paraId="2CF43BC8" w14:textId="77777777" w:rsidR="006A0BDB" w:rsidRPr="00E6011D" w:rsidRDefault="006A0BDB" w:rsidP="001D2CEB">
      <w:pPr>
        <w:pStyle w:val="HistoryAfter"/>
      </w:pPr>
      <w:r w:rsidRPr="00E6011D">
        <w:t>Amended Eff. November 1, 2010; July 1, 1992;</w:t>
      </w:r>
    </w:p>
    <w:p w14:paraId="30A63030" w14:textId="77777777" w:rsidR="006A0BDB" w:rsidRPr="00E6011D" w:rsidRDefault="006A0BDB" w:rsidP="001D2CEB">
      <w:pPr>
        <w:pStyle w:val="HistoryAfter"/>
      </w:pPr>
      <w:r w:rsidRPr="00E6011D">
        <w:t>Transferred and Recodified from 04 NCAC 02R .1407 Eff. August 1, 2015;</w:t>
      </w:r>
    </w:p>
    <w:p w14:paraId="729374AE" w14:textId="77777777" w:rsidR="006A0BDB" w:rsidRDefault="006A0BDB" w:rsidP="001D2CEB">
      <w:pPr>
        <w:pStyle w:val="HistoryAfter"/>
      </w:pPr>
      <w:r w:rsidRPr="00E6011D">
        <w:t>Pursuant to G.S. 150B-21.3A, rule is necessary without substantive public interest Eff. August 22, 2015</w:t>
      </w:r>
      <w:r>
        <w:t>;</w:t>
      </w:r>
    </w:p>
    <w:p w14:paraId="1DF02FD9" w14:textId="77777777" w:rsidR="006A0BDB" w:rsidRPr="00E6011D" w:rsidRDefault="006A0BDB" w:rsidP="001D2CEB">
      <w:pPr>
        <w:pStyle w:val="HistoryAfter"/>
      </w:pPr>
      <w:r>
        <w:t>Amended Eff. January 1, 2020.</w:t>
      </w:r>
    </w:p>
    <w:p w14:paraId="22685C65" w14:textId="77777777" w:rsidR="006A0BDB" w:rsidRDefault="006A0BDB" w:rsidP="001D2CEB">
      <w:pPr>
        <w:pStyle w:val="Base"/>
      </w:pPr>
    </w:p>
    <w:p w14:paraId="18AD49E3" w14:textId="77777777" w:rsidR="006A0BDB" w:rsidRDefault="006A0BDB" w:rsidP="001D2CEB">
      <w:pPr>
        <w:pBdr>
          <w:top w:val="single" w:sz="18" w:space="1" w:color="auto"/>
        </w:pBdr>
      </w:pPr>
    </w:p>
    <w:p w14:paraId="4AF84FF9" w14:textId="77777777" w:rsidR="006A0BDB" w:rsidRDefault="006A0BDB" w:rsidP="001D2CEB">
      <w:pPr>
        <w:pStyle w:val="DepartmentTitle"/>
      </w:pPr>
      <w:r>
        <w:t>TITLE 15A - Department of Environmental Quality</w:t>
      </w:r>
    </w:p>
    <w:p w14:paraId="3320DA60" w14:textId="77777777" w:rsidR="006A0BDB" w:rsidRDefault="006A0BDB" w:rsidP="001D2CEB"/>
    <w:p w14:paraId="0E666354" w14:textId="77777777" w:rsidR="006A0BDB" w:rsidRPr="00A9210D" w:rsidRDefault="006A0BDB" w:rsidP="001D2CEB">
      <w:pPr>
        <w:pStyle w:val="Rule"/>
      </w:pPr>
      <w:r w:rsidRPr="00A9210D">
        <w:lastRenderedPageBreak/>
        <w:t>15A NCAC 02B .0236</w:t>
      </w:r>
      <w:r w:rsidRPr="00A9210D">
        <w:tab/>
        <w:t>NEUSE RIVER BASIN-NUTRIENT SENSITIVE WATERS MANAGEMENT STRATEGY: AGRICULTURAL NITROGEN LOADING REDUCTION</w:t>
      </w:r>
    </w:p>
    <w:p w14:paraId="08FD47D0" w14:textId="77777777" w:rsidR="006A0BDB" w:rsidRPr="00A9210D" w:rsidRDefault="006A0BDB" w:rsidP="001D2CEB">
      <w:pPr>
        <w:pStyle w:val="Base"/>
      </w:pPr>
    </w:p>
    <w:p w14:paraId="77B8B62C" w14:textId="77777777" w:rsidR="006A0BDB" w:rsidRPr="00A9210D" w:rsidRDefault="006A0BDB" w:rsidP="001D2CEB">
      <w:pPr>
        <w:pStyle w:val="History"/>
      </w:pPr>
      <w:r w:rsidRPr="00A9210D">
        <w:t>History Note:</w:t>
      </w:r>
      <w:r w:rsidRPr="00A9210D">
        <w:tab/>
        <w:t>Authority G.S. 143.214.1; 143.214.7; 143.215.3(a)(1)</w:t>
      </w:r>
      <w:r>
        <w:t>;</w:t>
      </w:r>
    </w:p>
    <w:p w14:paraId="0431BE5C" w14:textId="77777777" w:rsidR="006A0BDB" w:rsidRPr="00A9210D" w:rsidRDefault="006A0BDB" w:rsidP="001D2CEB">
      <w:pPr>
        <w:pStyle w:val="HistoryAfter"/>
      </w:pPr>
      <w:r w:rsidRPr="00A9210D">
        <w:t>Eff. August 1, 1998;</w:t>
      </w:r>
    </w:p>
    <w:p w14:paraId="03607304" w14:textId="77777777" w:rsidR="006A0BDB" w:rsidRPr="00A9210D" w:rsidRDefault="006A0BDB" w:rsidP="001D2CEB">
      <w:pPr>
        <w:pStyle w:val="HistoryAfter"/>
      </w:pPr>
      <w:r w:rsidRPr="00A9210D">
        <w:t xml:space="preserve">Repealed </w:t>
      </w:r>
      <w:r>
        <w:t>Pending Delayed Eff. Date</w:t>
      </w:r>
      <w:r w:rsidRPr="00A9210D">
        <w:t>.</w:t>
      </w:r>
    </w:p>
    <w:p w14:paraId="26291EA5" w14:textId="77777777" w:rsidR="006A0BDB" w:rsidRPr="00A9210D" w:rsidRDefault="006A0BDB" w:rsidP="001D2CEB">
      <w:pPr>
        <w:pStyle w:val="Base"/>
      </w:pPr>
    </w:p>
    <w:p w14:paraId="128970A4" w14:textId="77777777" w:rsidR="006A0BDB" w:rsidRPr="00B22D84" w:rsidRDefault="006A0BDB" w:rsidP="001D2CEB">
      <w:pPr>
        <w:pStyle w:val="Rule"/>
      </w:pPr>
      <w:r w:rsidRPr="00B22D84">
        <w:t>15A NCAC 02B .0237</w:t>
      </w:r>
      <w:r w:rsidRPr="00B22D84">
        <w:tab/>
        <w:t>BEST MANAGEMENT PRACTICE COST-EFFECTIVENESS RATE</w:t>
      </w:r>
    </w:p>
    <w:p w14:paraId="3DB30F1B" w14:textId="77777777" w:rsidR="006A0BDB" w:rsidRPr="00B22D84" w:rsidRDefault="006A0BDB" w:rsidP="001D2CEB">
      <w:pPr>
        <w:pStyle w:val="Base"/>
      </w:pPr>
    </w:p>
    <w:p w14:paraId="19575C3F" w14:textId="77777777" w:rsidR="006A0BDB" w:rsidRPr="00B22D84" w:rsidRDefault="006A0BDB" w:rsidP="001D2CEB">
      <w:pPr>
        <w:pStyle w:val="History"/>
      </w:pPr>
      <w:r w:rsidRPr="00B22D84">
        <w:t>History Note:</w:t>
      </w:r>
      <w:r w:rsidRPr="00B22D84">
        <w:tab/>
        <w:t>Authority G.S. 143</w:t>
      </w:r>
      <w:r w:rsidRPr="00B22D84">
        <w:noBreakHyphen/>
        <w:t>214.1;</w:t>
      </w:r>
    </w:p>
    <w:p w14:paraId="477AA3C5" w14:textId="77777777" w:rsidR="006A0BDB" w:rsidRPr="00B22D84" w:rsidRDefault="006A0BDB" w:rsidP="001D2CEB">
      <w:pPr>
        <w:pStyle w:val="HistoryAfter"/>
      </w:pPr>
      <w:r w:rsidRPr="00B22D84">
        <w:t>Eff. April 1, 1997;</w:t>
      </w:r>
    </w:p>
    <w:p w14:paraId="46E98FF6" w14:textId="77777777" w:rsidR="006A0BDB" w:rsidRPr="00B22D84" w:rsidRDefault="006A0BDB" w:rsidP="001D2CEB">
      <w:pPr>
        <w:pStyle w:val="HistoryAfter"/>
      </w:pPr>
      <w:r w:rsidRPr="00B22D84">
        <w:t xml:space="preserve">Repealed </w:t>
      </w:r>
      <w:r>
        <w:t>Pending Delayed Eff. Date</w:t>
      </w:r>
      <w:r w:rsidRPr="00B22D84">
        <w:t>.</w:t>
      </w:r>
    </w:p>
    <w:p w14:paraId="0944B094" w14:textId="77777777" w:rsidR="006A0BDB" w:rsidRPr="00B22D84" w:rsidRDefault="006A0BDB" w:rsidP="001D2CEB">
      <w:pPr>
        <w:pStyle w:val="Base"/>
      </w:pPr>
    </w:p>
    <w:p w14:paraId="2B36D9EF" w14:textId="77777777" w:rsidR="006A0BDB" w:rsidRPr="007335B6" w:rsidRDefault="006A0BDB" w:rsidP="001D2CEB">
      <w:pPr>
        <w:pStyle w:val="Rule"/>
      </w:pPr>
      <w:r w:rsidRPr="007335B6">
        <w:t>15A NCAC 02B .0239</w:t>
      </w:r>
      <w:r w:rsidRPr="007335B6">
        <w:tab/>
        <w:t>NEUSE RIVER BASIN: NUTRIENT SENSITIVE WATERS MANAGEMENT STRATEGY: NUTRIENT MANAGEMENT</w:t>
      </w:r>
    </w:p>
    <w:p w14:paraId="72537A31" w14:textId="77777777" w:rsidR="006A0BDB" w:rsidRPr="007335B6" w:rsidRDefault="006A0BDB" w:rsidP="001D2CEB">
      <w:pPr>
        <w:pStyle w:val="Base"/>
      </w:pPr>
    </w:p>
    <w:p w14:paraId="078397E0" w14:textId="77777777" w:rsidR="006A0BDB" w:rsidRPr="007335B6" w:rsidRDefault="006A0BDB" w:rsidP="001D2CEB">
      <w:pPr>
        <w:pStyle w:val="History"/>
      </w:pPr>
      <w:r w:rsidRPr="007335B6">
        <w:t>History Note:</w:t>
      </w:r>
      <w:r w:rsidRPr="007335B6">
        <w:tab/>
        <w:t>Authority G.S. 143-214.1; 143-214.7; 143-215.3(a)(1);</w:t>
      </w:r>
    </w:p>
    <w:p w14:paraId="5E661968" w14:textId="77777777" w:rsidR="006A0BDB" w:rsidRPr="007335B6" w:rsidRDefault="006A0BDB" w:rsidP="001D2CEB">
      <w:pPr>
        <w:pStyle w:val="HistoryAfter"/>
      </w:pPr>
      <w:r w:rsidRPr="007335B6">
        <w:t>Eff. August 1, 1998;</w:t>
      </w:r>
    </w:p>
    <w:p w14:paraId="0DE98AFE" w14:textId="77777777" w:rsidR="006A0BDB" w:rsidRPr="007335B6" w:rsidRDefault="006A0BDB" w:rsidP="001D2CEB">
      <w:pPr>
        <w:pStyle w:val="HistoryAfter"/>
      </w:pPr>
      <w:r w:rsidRPr="007335B6">
        <w:t xml:space="preserve">Repealed </w:t>
      </w:r>
      <w:r>
        <w:t>Pending Delayed Eff. Date</w:t>
      </w:r>
      <w:r w:rsidRPr="007335B6">
        <w:t>.</w:t>
      </w:r>
    </w:p>
    <w:p w14:paraId="5385EE71" w14:textId="77777777" w:rsidR="006A0BDB" w:rsidRPr="007335B6" w:rsidRDefault="006A0BDB" w:rsidP="001D2CEB">
      <w:pPr>
        <w:pStyle w:val="Base"/>
      </w:pPr>
    </w:p>
    <w:p w14:paraId="5419396B" w14:textId="77777777" w:rsidR="006A0BDB" w:rsidRPr="00D63B26" w:rsidRDefault="006A0BDB" w:rsidP="001D2CEB">
      <w:pPr>
        <w:pStyle w:val="Rule"/>
      </w:pPr>
      <w:r w:rsidRPr="00D63B26">
        <w:t>15A NCAC 02B .0255</w:t>
      </w:r>
      <w:r w:rsidRPr="00D63B26">
        <w:tab/>
        <w:t>TAR-PAMLICO RIVER BASIN - NUTRIENT SENSITIVE WATERS MANAGEMENT STRATEGY: AGRICULTURAL NUTRIENT LOADING GOALS</w:t>
      </w:r>
    </w:p>
    <w:p w14:paraId="66BCABF0" w14:textId="77777777" w:rsidR="006A0BDB" w:rsidRPr="00D63B26" w:rsidRDefault="006A0BDB" w:rsidP="001D2CEB">
      <w:pPr>
        <w:pStyle w:val="Base"/>
      </w:pPr>
    </w:p>
    <w:p w14:paraId="6F1D0FDE" w14:textId="77777777" w:rsidR="006A0BDB" w:rsidRPr="00D63B26" w:rsidRDefault="006A0BDB" w:rsidP="001D2CEB">
      <w:pPr>
        <w:pStyle w:val="History"/>
      </w:pPr>
      <w:r w:rsidRPr="00D63B26">
        <w:t>History Note:</w:t>
      </w:r>
      <w:r w:rsidRPr="00D63B26">
        <w:tab/>
        <w:t>Authority G.S. 143-214.1; 143-214.7; 143-215.3(a)(1); 143-215.6A; 143-215.6B; 143-215.6C;</w:t>
      </w:r>
    </w:p>
    <w:p w14:paraId="48F6B740" w14:textId="77777777" w:rsidR="006A0BDB" w:rsidRPr="00D63B26" w:rsidRDefault="006A0BDB" w:rsidP="001D2CEB">
      <w:pPr>
        <w:pStyle w:val="HistoryAfter"/>
      </w:pPr>
      <w:r w:rsidRPr="00D63B26">
        <w:t>Eff. April 1, 2001;</w:t>
      </w:r>
    </w:p>
    <w:p w14:paraId="3BE0F8FA" w14:textId="77777777" w:rsidR="006A0BDB" w:rsidRPr="00D63B26" w:rsidRDefault="006A0BDB" w:rsidP="001D2CEB">
      <w:pPr>
        <w:pStyle w:val="HistoryAfter"/>
      </w:pPr>
      <w:r w:rsidRPr="00D63B26">
        <w:t xml:space="preserve">Repealed </w:t>
      </w:r>
      <w:r>
        <w:t>Pending Delayed Eff. Date</w:t>
      </w:r>
      <w:r w:rsidRPr="00D63B26">
        <w:t>.</w:t>
      </w:r>
    </w:p>
    <w:p w14:paraId="40BC69C9" w14:textId="77777777" w:rsidR="006A0BDB" w:rsidRPr="00D63B26" w:rsidRDefault="006A0BDB" w:rsidP="001D2CEB">
      <w:pPr>
        <w:pStyle w:val="Base"/>
      </w:pPr>
    </w:p>
    <w:p w14:paraId="17330B21" w14:textId="77777777" w:rsidR="006A0BDB" w:rsidRPr="0092483A" w:rsidRDefault="006A0BDB" w:rsidP="001D2CEB">
      <w:pPr>
        <w:pStyle w:val="Rule"/>
      </w:pPr>
      <w:r w:rsidRPr="0092483A">
        <w:t>15A NCAC 02B .0257</w:t>
      </w:r>
      <w:r w:rsidRPr="0092483A">
        <w:tab/>
        <w:t>TAR-PAMLICO RIVER BASIN - NUTRIENT SENSITIVE WATERS MANAGEMENT STRATEGY: NUTRIENT MANAGEMENT</w:t>
      </w:r>
    </w:p>
    <w:p w14:paraId="1C3EB2ED" w14:textId="77777777" w:rsidR="006A0BDB" w:rsidRPr="0092483A" w:rsidRDefault="006A0BDB" w:rsidP="001D2CEB">
      <w:pPr>
        <w:pStyle w:val="Base"/>
      </w:pPr>
    </w:p>
    <w:p w14:paraId="2C6301F2" w14:textId="77777777" w:rsidR="006A0BDB" w:rsidRPr="0092483A" w:rsidRDefault="006A0BDB" w:rsidP="001D2CEB">
      <w:pPr>
        <w:pStyle w:val="History"/>
      </w:pPr>
      <w:r w:rsidRPr="0092483A">
        <w:t>History Note:</w:t>
      </w:r>
      <w:r w:rsidRPr="0092483A">
        <w:tab/>
        <w:t>Authority G.S. 143-214.1; 143-214.7; 143-215.3(a)(1); 143-215.6A; 143-215.6B; 143-215.6C; 143B-282(d);</w:t>
      </w:r>
    </w:p>
    <w:p w14:paraId="6D4E5E34" w14:textId="77777777" w:rsidR="006A0BDB" w:rsidRPr="0092483A" w:rsidRDefault="006A0BDB" w:rsidP="001D2CEB">
      <w:pPr>
        <w:pStyle w:val="HistoryAfter"/>
      </w:pPr>
      <w:r w:rsidRPr="0092483A">
        <w:t>Eff. April 1, 2001;</w:t>
      </w:r>
    </w:p>
    <w:p w14:paraId="7280E10E" w14:textId="77777777" w:rsidR="006A0BDB" w:rsidRPr="0092483A" w:rsidRDefault="006A0BDB" w:rsidP="001D2CEB">
      <w:pPr>
        <w:pStyle w:val="HistoryAfter"/>
      </w:pPr>
      <w:r w:rsidRPr="0092483A">
        <w:t xml:space="preserve">Repealed </w:t>
      </w:r>
      <w:r>
        <w:t>Pending Delayed Eff. Date</w:t>
      </w:r>
      <w:r w:rsidRPr="0092483A">
        <w:t>.</w:t>
      </w:r>
    </w:p>
    <w:p w14:paraId="5546D324" w14:textId="77777777" w:rsidR="006A0BDB" w:rsidRPr="0092483A" w:rsidRDefault="006A0BDB" w:rsidP="001D2CEB">
      <w:pPr>
        <w:pStyle w:val="Base"/>
      </w:pPr>
    </w:p>
    <w:p w14:paraId="191EEC10" w14:textId="77777777" w:rsidR="006A0BDB" w:rsidRPr="000F1283" w:rsidRDefault="006A0BDB" w:rsidP="001D2CEB">
      <w:pPr>
        <w:pStyle w:val="Rule"/>
      </w:pPr>
      <w:r w:rsidRPr="000F1283">
        <w:t>15A ncac 02b .0701</w:t>
      </w:r>
      <w:r w:rsidRPr="000F1283">
        <w:tab/>
        <w:t>NUTRIENT STRATEGIES DEFINITIONS</w:t>
      </w:r>
    </w:p>
    <w:p w14:paraId="5252EF70" w14:textId="77777777" w:rsidR="006A0BDB" w:rsidRPr="000F1283" w:rsidRDefault="006A0BDB" w:rsidP="001D2CEB">
      <w:pPr>
        <w:pStyle w:val="Paragraph"/>
      </w:pPr>
      <w:r w:rsidRPr="000F1283">
        <w:t>In this Section, the following terms shall mean:</w:t>
      </w:r>
    </w:p>
    <w:p w14:paraId="52B87C6B" w14:textId="77777777" w:rsidR="006A0BDB" w:rsidRPr="000F1283" w:rsidRDefault="006A0BDB" w:rsidP="001D2CEB">
      <w:pPr>
        <w:pStyle w:val="Item"/>
        <w:tabs>
          <w:tab w:val="clear" w:pos="1800"/>
        </w:tabs>
      </w:pPr>
      <w:r w:rsidRPr="000F1283">
        <w:t>(1)</w:t>
      </w:r>
      <w:r w:rsidRPr="000F1283">
        <w:tab/>
        <w:t>"Agricultural uses" include the use of waters for stock watering, irrigation, and other farm purposes.</w:t>
      </w:r>
    </w:p>
    <w:p w14:paraId="0A8A01D2" w14:textId="77777777" w:rsidR="006A0BDB" w:rsidRPr="000F1283" w:rsidRDefault="006A0BDB" w:rsidP="001D2CEB">
      <w:pPr>
        <w:pStyle w:val="Item"/>
        <w:tabs>
          <w:tab w:val="clear" w:pos="1800"/>
        </w:tabs>
      </w:pPr>
      <w:r w:rsidRPr="000F1283">
        <w:t>(2)</w:t>
      </w:r>
      <w:r w:rsidRPr="000F1283">
        <w:tab/>
        <w:t xml:space="preserve">"Allocation" means the mass quantity, as of nitrogen or phosphorus that a discharger, group of dischargers, or other source is potentially allowed to release into surface waters. Allocations may be expressed as delivered or discharge quantities. Possession of allocation does not authorize the discharge of nutrients but </w:t>
      </w:r>
      <w:r w:rsidRPr="000F1283">
        <w:t>is prerequisite to such authorization in an NPDES permit.</w:t>
      </w:r>
    </w:p>
    <w:p w14:paraId="6B748CCF" w14:textId="77777777" w:rsidR="006A0BDB" w:rsidRPr="000F1283" w:rsidRDefault="006A0BDB" w:rsidP="001D2CEB">
      <w:pPr>
        <w:pStyle w:val="Item"/>
        <w:tabs>
          <w:tab w:val="clear" w:pos="1800"/>
        </w:tabs>
      </w:pPr>
      <w:r w:rsidRPr="000F1283">
        <w:t>(3)</w:t>
      </w:r>
      <w:r w:rsidRPr="000F1283">
        <w:tab/>
        <w:t>"Best Management Practice" or "BMP" means the same as defined in Rule .0202 of this Subchapter.</w:t>
      </w:r>
    </w:p>
    <w:p w14:paraId="714AD1E4" w14:textId="77777777" w:rsidR="006A0BDB" w:rsidRPr="000F1283" w:rsidRDefault="006A0BDB" w:rsidP="001D2CEB">
      <w:pPr>
        <w:pStyle w:val="Item"/>
        <w:tabs>
          <w:tab w:val="clear" w:pos="1800"/>
        </w:tabs>
      </w:pPr>
      <w:r w:rsidRPr="000F1283">
        <w:t>(4)</w:t>
      </w:r>
      <w:r w:rsidRPr="000F1283">
        <w:tab/>
        <w:t>"Buffer" means the same as defined in Rule .0202 of this Subchapter.</w:t>
      </w:r>
    </w:p>
    <w:p w14:paraId="5E62F8DC" w14:textId="77777777" w:rsidR="006A0BDB" w:rsidRPr="000F1283" w:rsidRDefault="006A0BDB" w:rsidP="001D2CEB">
      <w:pPr>
        <w:pStyle w:val="Item"/>
        <w:tabs>
          <w:tab w:val="clear" w:pos="1800"/>
        </w:tabs>
      </w:pPr>
      <w:r w:rsidRPr="000F1283">
        <w:t>(5)</w:t>
      </w:r>
      <w:r w:rsidRPr="000F1283">
        <w:tab/>
        <w:t>"Built-upon area" means the same as defined in G.S. 143-214.7(b2).</w:t>
      </w:r>
    </w:p>
    <w:p w14:paraId="15F1F275" w14:textId="77777777" w:rsidR="006A0BDB" w:rsidRPr="000F1283" w:rsidRDefault="006A0BDB" w:rsidP="001D2CEB">
      <w:pPr>
        <w:pStyle w:val="Item"/>
        <w:tabs>
          <w:tab w:val="clear" w:pos="1800"/>
        </w:tabs>
      </w:pPr>
      <w:r w:rsidRPr="000F1283">
        <w:t>(6)</w:t>
      </w:r>
      <w:r w:rsidRPr="000F1283">
        <w:tab/>
        <w:t>"Concentration(s)" means the same as defined in Rule .0202 of this Subchapter.</w:t>
      </w:r>
    </w:p>
    <w:p w14:paraId="7DEF2082" w14:textId="77777777" w:rsidR="006A0BDB" w:rsidRPr="000F1283" w:rsidRDefault="006A0BDB" w:rsidP="001D2CEB">
      <w:pPr>
        <w:pStyle w:val="Item"/>
        <w:tabs>
          <w:tab w:val="clear" w:pos="1800"/>
        </w:tabs>
      </w:pPr>
      <w:r w:rsidRPr="000F1283">
        <w:t>(7)</w:t>
      </w:r>
      <w:r w:rsidRPr="000F1283">
        <w:tab/>
        <w:t>"Contiguous" means the same as defined in Rule .0202 of this Subchapter.</w:t>
      </w:r>
    </w:p>
    <w:p w14:paraId="59BF094C" w14:textId="77777777" w:rsidR="006A0BDB" w:rsidRPr="000F1283" w:rsidRDefault="006A0BDB" w:rsidP="001D2CEB">
      <w:pPr>
        <w:pStyle w:val="Item"/>
        <w:tabs>
          <w:tab w:val="clear" w:pos="1800"/>
        </w:tabs>
      </w:pPr>
      <w:r w:rsidRPr="000F1283">
        <w:t>(8)</w:t>
      </w:r>
      <w:r w:rsidRPr="000F1283">
        <w:tab/>
        <w:t>"Critical area" means the same as defined in Rule .0202 of this Subchapter.</w:t>
      </w:r>
    </w:p>
    <w:p w14:paraId="10D47C02" w14:textId="77777777" w:rsidR="006A0BDB" w:rsidRPr="000F1283" w:rsidRDefault="006A0BDB" w:rsidP="001D2CEB">
      <w:pPr>
        <w:pStyle w:val="Item"/>
        <w:tabs>
          <w:tab w:val="clear" w:pos="1800"/>
        </w:tabs>
      </w:pPr>
      <w:r w:rsidRPr="000F1283">
        <w:t>(9)</w:t>
      </w:r>
      <w:r w:rsidRPr="000F1283">
        <w:tab/>
        <w:t>"Cropland" means agricultural land that is used for growing corn, grains, oilseed crops, cotton, forages, tobacco, beans, or other vegetables or fruits.</w:t>
      </w:r>
    </w:p>
    <w:p w14:paraId="42A61292" w14:textId="77777777" w:rsidR="006A0BDB" w:rsidRPr="000F1283" w:rsidRDefault="006A0BDB" w:rsidP="001D2CEB">
      <w:pPr>
        <w:pStyle w:val="Item"/>
        <w:tabs>
          <w:tab w:val="clear" w:pos="1800"/>
        </w:tabs>
      </w:pPr>
      <w:r w:rsidRPr="000F1283">
        <w:t>(10)</w:t>
      </w:r>
      <w:r w:rsidRPr="000F1283">
        <w:tab/>
        <w:t>"Delivered" as in delivered allocation, load, or limit, means that portion of the allocation, load, or limit that is estimated to be transported from a nutrient source or discharge to a waterbody. A delivered value equals the corresponding discharge value multiplied by its assigned transport or delivery factor.</w:t>
      </w:r>
    </w:p>
    <w:p w14:paraId="78234D91" w14:textId="77777777" w:rsidR="006A0BDB" w:rsidRPr="000F1283" w:rsidRDefault="006A0BDB" w:rsidP="001D2CEB">
      <w:pPr>
        <w:pStyle w:val="Item"/>
        <w:tabs>
          <w:tab w:val="clear" w:pos="1800"/>
        </w:tabs>
      </w:pPr>
      <w:r w:rsidRPr="000F1283">
        <w:t>(11)</w:t>
      </w:r>
      <w:r w:rsidRPr="000F1283">
        <w:tab/>
        <w:t>"Development" means the same as defined in G.S. 143-214.7.</w:t>
      </w:r>
    </w:p>
    <w:p w14:paraId="7D63AE68" w14:textId="77777777" w:rsidR="006A0BDB" w:rsidRPr="000F1283" w:rsidRDefault="006A0BDB" w:rsidP="001D2CEB">
      <w:pPr>
        <w:pStyle w:val="Item"/>
        <w:tabs>
          <w:tab w:val="clear" w:pos="1800"/>
        </w:tabs>
      </w:pPr>
      <w:r w:rsidRPr="000F1283">
        <w:t>(12)</w:t>
      </w:r>
      <w:r w:rsidRPr="000F1283">
        <w:tab/>
        <w:t>"Director" means the Director of the Division.</w:t>
      </w:r>
    </w:p>
    <w:p w14:paraId="7426B9FF" w14:textId="77777777" w:rsidR="006A0BDB" w:rsidRPr="000F1283" w:rsidRDefault="006A0BDB" w:rsidP="001D2CEB">
      <w:pPr>
        <w:pStyle w:val="Item"/>
        <w:tabs>
          <w:tab w:val="clear" w:pos="1800"/>
        </w:tabs>
      </w:pPr>
      <w:r w:rsidRPr="000F1283">
        <w:t>(13)</w:t>
      </w:r>
      <w:r w:rsidRPr="000F1283">
        <w:tab/>
        <w:t>"Discharge" as in discharge allocation, load, or limit means the allocation, load, or limit that is measured at the point of discharge into surface waters. A discharge value is equivalent to a delivered value divided by the transport factor for that discharge location.</w:t>
      </w:r>
    </w:p>
    <w:p w14:paraId="0CBA7356" w14:textId="77777777" w:rsidR="006A0BDB" w:rsidRPr="000F1283" w:rsidRDefault="006A0BDB" w:rsidP="001D2CEB">
      <w:pPr>
        <w:pStyle w:val="Item"/>
        <w:tabs>
          <w:tab w:val="clear" w:pos="1800"/>
        </w:tabs>
      </w:pPr>
      <w:r w:rsidRPr="000F1283">
        <w:t>(14)</w:t>
      </w:r>
      <w:r w:rsidRPr="000F1283">
        <w:tab/>
        <w:t xml:space="preserve">"Division" means the Division of Water Resources of the North Carolina Department of Environmental Quality. </w:t>
      </w:r>
    </w:p>
    <w:p w14:paraId="67E75BEB" w14:textId="77777777" w:rsidR="006A0BDB" w:rsidRPr="000F1283" w:rsidRDefault="006A0BDB" w:rsidP="001D2CEB">
      <w:pPr>
        <w:pStyle w:val="Item"/>
        <w:tabs>
          <w:tab w:val="clear" w:pos="1800"/>
        </w:tabs>
      </w:pPr>
      <w:r w:rsidRPr="000F1283">
        <w:t>(15)</w:t>
      </w:r>
      <w:r w:rsidRPr="000F1283">
        <w:tab/>
        <w:t>"DMS" means the N.C. Division of Mitigation Services. DMS, as administrator of the Riparian Buffer Restoration Fund, is the only in-lieu fee program to which rules of this Section apply.</w:t>
      </w:r>
    </w:p>
    <w:p w14:paraId="31BE309F" w14:textId="77777777" w:rsidR="006A0BDB" w:rsidRPr="000F1283" w:rsidRDefault="006A0BDB" w:rsidP="001D2CEB">
      <w:pPr>
        <w:pStyle w:val="Item"/>
        <w:tabs>
          <w:tab w:val="clear" w:pos="1800"/>
        </w:tabs>
      </w:pPr>
      <w:r w:rsidRPr="000F1283">
        <w:t>(16)</w:t>
      </w:r>
      <w:r w:rsidRPr="000F1283">
        <w:tab/>
        <w:t>"Estuarine Nutrient Strategy" means the Neuse Nutrient Strategy as enumerated in Rule .0710 of this Section and the Tar-Pamlico Nutrient Strategy as set forth in Rule .0730 of this Section.</w:t>
      </w:r>
    </w:p>
    <w:p w14:paraId="685C0CF7" w14:textId="77777777" w:rsidR="006A0BDB" w:rsidRPr="000F1283" w:rsidRDefault="006A0BDB" w:rsidP="001D2CEB">
      <w:pPr>
        <w:pStyle w:val="Item"/>
        <w:tabs>
          <w:tab w:val="clear" w:pos="1800"/>
        </w:tabs>
      </w:pPr>
      <w:r w:rsidRPr="000F1283">
        <w:t>(17)</w:t>
      </w:r>
      <w:r>
        <w:tab/>
      </w:r>
      <w:r w:rsidRPr="000F1283">
        <w:t>"Estuary allocation" means the mass loading of total nitrogen or total phosphorus at the estuary that is reserved for a discharger or group of dischargers. A discharger's or group's estuary allocation is equivalent to its discharge allocation multiplied by its assigned transport factor.</w:t>
      </w:r>
    </w:p>
    <w:p w14:paraId="2E6A4B54" w14:textId="77777777" w:rsidR="006A0BDB" w:rsidRPr="000F1283" w:rsidRDefault="006A0BDB" w:rsidP="001D2CEB">
      <w:pPr>
        <w:pStyle w:val="Item"/>
        <w:tabs>
          <w:tab w:val="clear" w:pos="1800"/>
        </w:tabs>
      </w:pPr>
      <w:r w:rsidRPr="000F1283">
        <w:t>(18)</w:t>
      </w:r>
      <w:r>
        <w:tab/>
      </w:r>
      <w:r w:rsidRPr="000F1283">
        <w:t xml:space="preserve">"Existing development" means structures and other land modifications resulting from development activities, other than those associated with agricultural or forest </w:t>
      </w:r>
      <w:r w:rsidRPr="000F1283">
        <w:lastRenderedPageBreak/>
        <w:t>management activities, that meet the following criteria:</w:t>
      </w:r>
    </w:p>
    <w:p w14:paraId="3ED8A910" w14:textId="77777777" w:rsidR="006A0BDB" w:rsidRPr="000F1283" w:rsidRDefault="006A0BDB" w:rsidP="001D2CEB">
      <w:pPr>
        <w:pStyle w:val="SubItemLvl1"/>
        <w:tabs>
          <w:tab w:val="clear" w:pos="2520"/>
        </w:tabs>
      </w:pPr>
      <w:r w:rsidRPr="000F1283">
        <w:t>(a)</w:t>
      </w:r>
      <w:r w:rsidRPr="000F1283">
        <w:tab/>
        <w:t>For projects that do not require a State permit, they are in place or have established a vested right to construct relative to the effective date of the applicable local stormwater ordinance implemented pursuant to a new development stormwater rule of this Section; and</w:t>
      </w:r>
    </w:p>
    <w:p w14:paraId="18DA9299" w14:textId="77777777" w:rsidR="006A0BDB" w:rsidRPr="000F1283" w:rsidRDefault="006A0BDB" w:rsidP="001D2CEB">
      <w:pPr>
        <w:pStyle w:val="SubItemLvl1"/>
        <w:tabs>
          <w:tab w:val="clear" w:pos="2520"/>
        </w:tabs>
      </w:pPr>
      <w:r w:rsidRPr="000F1283">
        <w:t>(b)</w:t>
      </w:r>
      <w:r w:rsidRPr="000F1283">
        <w:tab/>
        <w:t>For projects that require a State permit, they are in place before the effective date established in the applicable State and federal entities stormwater rule of this Section.</w:t>
      </w:r>
    </w:p>
    <w:p w14:paraId="1436AB83" w14:textId="77777777" w:rsidR="006A0BDB" w:rsidRPr="000F1283" w:rsidRDefault="006A0BDB" w:rsidP="001D2CEB">
      <w:pPr>
        <w:pStyle w:val="Item"/>
        <w:tabs>
          <w:tab w:val="clear" w:pos="1800"/>
        </w:tabs>
      </w:pPr>
      <w:r w:rsidRPr="000F1283">
        <w:t>(19)</w:t>
      </w:r>
      <w:r>
        <w:tab/>
      </w:r>
      <w:r w:rsidRPr="000F1283">
        <w:t>"Fertilizer" means the same as defined in Rule .0202 of this Subchapter.</w:t>
      </w:r>
    </w:p>
    <w:p w14:paraId="105E6F59" w14:textId="77777777" w:rsidR="006A0BDB" w:rsidRPr="000F1283" w:rsidRDefault="006A0BDB" w:rsidP="001D2CEB">
      <w:pPr>
        <w:pStyle w:val="Item"/>
        <w:tabs>
          <w:tab w:val="clear" w:pos="1800"/>
        </w:tabs>
      </w:pPr>
      <w:r w:rsidRPr="000F1283">
        <w:t>(20)</w:t>
      </w:r>
      <w:r w:rsidRPr="000F1283">
        <w:tab/>
        <w:t xml:space="preserve">"Industrial discharge(s)" for the purpose of the nutrient strategy rules of this Section, means the discharge of industrial process treated wastewater or wastewater other than sewage. Stormwater shall not </w:t>
      </w:r>
      <w:proofErr w:type="gramStart"/>
      <w:r w:rsidRPr="000F1283">
        <w:t>be considered to be</w:t>
      </w:r>
      <w:proofErr w:type="gramEnd"/>
      <w:r w:rsidRPr="000F1283">
        <w:t xml:space="preserve"> an industrial wastewater unless it is contaminated with industrial wastewater. Industrial discharge includes:</w:t>
      </w:r>
    </w:p>
    <w:p w14:paraId="11E26A00" w14:textId="77777777" w:rsidR="006A0BDB" w:rsidRPr="000F1283" w:rsidRDefault="006A0BDB" w:rsidP="001D2CEB">
      <w:pPr>
        <w:pStyle w:val="SubItemLvl1"/>
        <w:tabs>
          <w:tab w:val="clear" w:pos="2520"/>
        </w:tabs>
      </w:pPr>
      <w:r w:rsidRPr="000F1283">
        <w:t>(a)</w:t>
      </w:r>
      <w:r w:rsidRPr="000F1283">
        <w:tab/>
        <w:t>Wastewater resulting from any process of industry or manufacture, or from the development of any natural resource; or</w:t>
      </w:r>
    </w:p>
    <w:p w14:paraId="36092C1C" w14:textId="77777777" w:rsidR="006A0BDB" w:rsidRPr="000F1283" w:rsidRDefault="006A0BDB" w:rsidP="001D2CEB">
      <w:pPr>
        <w:pStyle w:val="SubItemLvl1"/>
        <w:tabs>
          <w:tab w:val="clear" w:pos="2520"/>
        </w:tabs>
      </w:pPr>
      <w:r w:rsidRPr="000F1283">
        <w:t>(b)</w:t>
      </w:r>
      <w:r w:rsidRPr="000F1283">
        <w:tab/>
        <w:t>Wastewater resulting from processes of trade or business, including wastewater from laundromats and car washes, but not wastewater from restaurants.</w:t>
      </w:r>
    </w:p>
    <w:p w14:paraId="18EE0B29" w14:textId="77777777" w:rsidR="006A0BDB" w:rsidRPr="000F1283" w:rsidRDefault="006A0BDB" w:rsidP="001D2CEB">
      <w:pPr>
        <w:pStyle w:val="Item"/>
        <w:tabs>
          <w:tab w:val="clear" w:pos="1800"/>
        </w:tabs>
      </w:pPr>
      <w:r w:rsidRPr="000F1283">
        <w:t>(21)</w:t>
      </w:r>
      <w:r>
        <w:tab/>
      </w:r>
      <w:r w:rsidRPr="000F1283">
        <w:t>"Land-disturbing activity" means the same as defined in Rule .0202 of this Subchapter.</w:t>
      </w:r>
    </w:p>
    <w:p w14:paraId="7F2EE754" w14:textId="77777777" w:rsidR="006A0BDB" w:rsidRPr="000F1283" w:rsidRDefault="006A0BDB" w:rsidP="001D2CEB">
      <w:pPr>
        <w:pStyle w:val="Item"/>
        <w:tabs>
          <w:tab w:val="clear" w:pos="1800"/>
        </w:tabs>
      </w:pPr>
      <w:r w:rsidRPr="000F1283">
        <w:t>(22)</w:t>
      </w:r>
      <w:r>
        <w:tab/>
      </w:r>
      <w:r w:rsidRPr="000F1283">
        <w:t>"Load" means the mass quantity of a nutrient or pollutant released into surface waters over a given time period. Loads may be expressed in terms of pounds per year and may be expressed as "delivered load" or an equivalent "discharge load."</w:t>
      </w:r>
    </w:p>
    <w:p w14:paraId="456D6DA3" w14:textId="77777777" w:rsidR="006A0BDB" w:rsidRPr="000F1283" w:rsidRDefault="006A0BDB" w:rsidP="001D2CEB">
      <w:pPr>
        <w:pStyle w:val="Item"/>
        <w:tabs>
          <w:tab w:val="clear" w:pos="1800"/>
        </w:tabs>
        <w:rPr>
          <w:snapToGrid w:val="0"/>
        </w:rPr>
      </w:pPr>
      <w:r w:rsidRPr="000F1283">
        <w:t>(23)</w:t>
      </w:r>
      <w:r>
        <w:tab/>
      </w:r>
      <w:r w:rsidRPr="000F1283">
        <w:rPr>
          <w:snapToGrid w:val="0"/>
        </w:rPr>
        <w:t>"Load allocation" means the same as set forth in 40 CFR 130.2(g), which is incorporated herein by reference, including subsequent amendments and editions. A copy of the most current version of the regulations is available free of charge on the internet at http://www.gpo.gov/fdsys/.</w:t>
      </w:r>
    </w:p>
    <w:p w14:paraId="1213E441" w14:textId="77777777" w:rsidR="006A0BDB" w:rsidRPr="000F1283" w:rsidRDefault="006A0BDB" w:rsidP="001D2CEB">
      <w:pPr>
        <w:pStyle w:val="Item"/>
        <w:tabs>
          <w:tab w:val="clear" w:pos="1800"/>
        </w:tabs>
        <w:rPr>
          <w:snapToGrid w:val="0"/>
        </w:rPr>
      </w:pPr>
      <w:r w:rsidRPr="000F1283">
        <w:t>(24)</w:t>
      </w:r>
      <w:r>
        <w:tab/>
      </w:r>
      <w:r w:rsidRPr="000F1283">
        <w:rPr>
          <w:snapToGrid w:val="0"/>
        </w:rPr>
        <w:t>"Local government" means the same as defined in Rule .0202 of this Subchapter.</w:t>
      </w:r>
    </w:p>
    <w:p w14:paraId="20284385" w14:textId="77777777" w:rsidR="006A0BDB" w:rsidRPr="000F1283" w:rsidRDefault="006A0BDB" w:rsidP="001D2CEB">
      <w:pPr>
        <w:pStyle w:val="Item"/>
        <w:tabs>
          <w:tab w:val="clear" w:pos="1800"/>
        </w:tabs>
      </w:pPr>
      <w:r w:rsidRPr="000F1283">
        <w:t>(25)</w:t>
      </w:r>
      <w:r>
        <w:tab/>
      </w:r>
      <w:r w:rsidRPr="000F1283">
        <w:t>"MGD" means million gallons per day.</w:t>
      </w:r>
    </w:p>
    <w:p w14:paraId="43B2F7BE" w14:textId="77777777" w:rsidR="006A0BDB" w:rsidRPr="000F1283" w:rsidRDefault="006A0BDB" w:rsidP="001D2CEB">
      <w:pPr>
        <w:pStyle w:val="Item"/>
        <w:tabs>
          <w:tab w:val="clear" w:pos="1800"/>
        </w:tabs>
      </w:pPr>
      <w:r w:rsidRPr="000F1283">
        <w:t>(26)</w:t>
      </w:r>
      <w:r>
        <w:tab/>
      </w:r>
      <w:r w:rsidRPr="000F1283">
        <w:t>"Nitrogen" means total nitrogen unless specified otherwise.</w:t>
      </w:r>
    </w:p>
    <w:p w14:paraId="43D7173B" w14:textId="77777777" w:rsidR="006A0BDB" w:rsidRPr="000F1283" w:rsidRDefault="006A0BDB" w:rsidP="001D2CEB">
      <w:pPr>
        <w:pStyle w:val="Item"/>
        <w:tabs>
          <w:tab w:val="clear" w:pos="1800"/>
        </w:tabs>
      </w:pPr>
      <w:r w:rsidRPr="000F1283">
        <w:t>(27)</w:t>
      </w:r>
      <w:r>
        <w:tab/>
      </w:r>
      <w:r w:rsidRPr="000F1283">
        <w:t xml:space="preserve">"Nonpoint source load allocation" is that portion of an approved total maximum daily load (TMDL) or calibrated nutrient response model assigned to all other nitrogen sources in the basin other than individually permitted </w:t>
      </w:r>
      <w:r w:rsidRPr="000F1283">
        <w:t>wastewater facilities and represents the maximum allowable load of total nitrogen or total phosphorus to a waterbody from these nonpoint sources.</w:t>
      </w:r>
    </w:p>
    <w:p w14:paraId="2DA2F8CB" w14:textId="77777777" w:rsidR="006A0BDB" w:rsidRPr="000F1283" w:rsidRDefault="006A0BDB" w:rsidP="001D2CEB">
      <w:pPr>
        <w:pStyle w:val="Item"/>
        <w:tabs>
          <w:tab w:val="clear" w:pos="1800"/>
        </w:tabs>
      </w:pPr>
      <w:r w:rsidRPr="000F1283">
        <w:t>(28)</w:t>
      </w:r>
      <w:r>
        <w:tab/>
      </w:r>
      <w:r w:rsidRPr="000F1283">
        <w:t>"Nonpoint source pollution" means the same as defined in Rule .0202 of this Subchapter.</w:t>
      </w:r>
    </w:p>
    <w:p w14:paraId="602F4CBA" w14:textId="77777777" w:rsidR="006A0BDB" w:rsidRPr="000F1283" w:rsidRDefault="006A0BDB" w:rsidP="001D2CEB">
      <w:pPr>
        <w:pStyle w:val="Item"/>
        <w:tabs>
          <w:tab w:val="clear" w:pos="1800"/>
        </w:tabs>
      </w:pPr>
      <w:r w:rsidRPr="000F1283">
        <w:t>(29)</w:t>
      </w:r>
      <w:r>
        <w:tab/>
      </w:r>
      <w:r w:rsidRPr="000F1283">
        <w:t>"Non-wasting endowment" is a fund that generates enough interest to cover the cost of perpetual monitoring and enforcement of a nutrient reduction by a perpetual steward.</w:t>
      </w:r>
    </w:p>
    <w:p w14:paraId="119F5244" w14:textId="77777777" w:rsidR="006A0BDB" w:rsidRPr="000F1283" w:rsidRDefault="006A0BDB" w:rsidP="001D2CEB">
      <w:pPr>
        <w:pStyle w:val="Item"/>
        <w:tabs>
          <w:tab w:val="clear" w:pos="1800"/>
        </w:tabs>
      </w:pPr>
      <w:r w:rsidRPr="000F1283">
        <w:t>(30)</w:t>
      </w:r>
      <w:r>
        <w:tab/>
      </w:r>
      <w:r w:rsidRPr="000F1283">
        <w:t>"NPDES" means National Pollutant Discharge Elimination System, and includes the permitting process required for the operation of point source discharges in accordance with the requirements of Section 402 of the Federal Water Pollution Control Act, 33 U.S.C. Section 1251, et seq.</w:t>
      </w:r>
    </w:p>
    <w:p w14:paraId="2823B440" w14:textId="77777777" w:rsidR="006A0BDB" w:rsidRPr="000F1283" w:rsidRDefault="006A0BDB" w:rsidP="001D2CEB">
      <w:pPr>
        <w:pStyle w:val="Item"/>
        <w:tabs>
          <w:tab w:val="clear" w:pos="1800"/>
        </w:tabs>
      </w:pPr>
      <w:r w:rsidRPr="000F1283">
        <w:t>(31)</w:t>
      </w:r>
      <w:r>
        <w:tab/>
      </w:r>
      <w:r w:rsidRPr="000F1283">
        <w:t>"Nutrients" means the combination of total nitrogen and total phosphorus for the purpose of the nutrient rules of this section.</w:t>
      </w:r>
    </w:p>
    <w:p w14:paraId="7CC6C1E7" w14:textId="77777777" w:rsidR="006A0BDB" w:rsidRPr="000F1283" w:rsidRDefault="006A0BDB" w:rsidP="001D2CEB">
      <w:pPr>
        <w:pStyle w:val="Item"/>
        <w:tabs>
          <w:tab w:val="clear" w:pos="1800"/>
        </w:tabs>
      </w:pPr>
      <w:r w:rsidRPr="000F1283">
        <w:t>(32)</w:t>
      </w:r>
      <w:r>
        <w:tab/>
      </w:r>
      <w:r w:rsidRPr="000F1283">
        <w:t>"Nutrient Offset Bank" is a site at which a nutrient offset project is implemented by a provider and approved for nutrient offset credit by the Division through execution of a nutrient offset banking instrument. This term does not include nutrient offset projects associated with an in-lieu fee program.</w:t>
      </w:r>
    </w:p>
    <w:p w14:paraId="7009C622" w14:textId="77777777" w:rsidR="006A0BDB" w:rsidRPr="000F1283" w:rsidRDefault="006A0BDB" w:rsidP="001D2CEB">
      <w:pPr>
        <w:pStyle w:val="Item"/>
        <w:tabs>
          <w:tab w:val="clear" w:pos="1800"/>
        </w:tabs>
      </w:pPr>
      <w:r w:rsidRPr="000F1283">
        <w:t>(33)</w:t>
      </w:r>
      <w:r>
        <w:tab/>
      </w:r>
      <w:r w:rsidRPr="000F1283">
        <w:t>"Nutrient Offset Banking Instrument" is a written legal agreement between the Division and the provider that governs the establishment, operation, and use of a nutrient offset bank.</w:t>
      </w:r>
    </w:p>
    <w:p w14:paraId="4202F313" w14:textId="77777777" w:rsidR="006A0BDB" w:rsidRPr="000F1283" w:rsidRDefault="006A0BDB" w:rsidP="001D2CEB">
      <w:pPr>
        <w:pStyle w:val="Item"/>
        <w:tabs>
          <w:tab w:val="clear" w:pos="1800"/>
        </w:tabs>
      </w:pPr>
      <w:r w:rsidRPr="000F1283">
        <w:t>(34)</w:t>
      </w:r>
      <w:r>
        <w:tab/>
      </w:r>
      <w:r w:rsidRPr="000F1283">
        <w:t>"Nutrient Offset Project" is a nutrient reduction project that is implemented for the purpose of generating nutrient offset credit.</w:t>
      </w:r>
    </w:p>
    <w:p w14:paraId="0633E8F6" w14:textId="77777777" w:rsidR="006A0BDB" w:rsidRPr="000F1283" w:rsidRDefault="006A0BDB" w:rsidP="001D2CEB">
      <w:pPr>
        <w:pStyle w:val="Item"/>
        <w:tabs>
          <w:tab w:val="clear" w:pos="1800"/>
        </w:tabs>
      </w:pPr>
      <w:r w:rsidRPr="000F1283">
        <w:t>(35)</w:t>
      </w:r>
      <w:r>
        <w:tab/>
      </w:r>
      <w:r w:rsidRPr="000F1283">
        <w:t>"Nutrient Reduction Practice" is any project type or type of programmatic effort that generates a quantifiable or estimated decrease in nutrient loading, and for which practice design standards and load reduction estimation methods have been approved in rule or by the Division.</w:t>
      </w:r>
    </w:p>
    <w:p w14:paraId="107CDCAB" w14:textId="77777777" w:rsidR="006A0BDB" w:rsidRPr="000F1283" w:rsidRDefault="006A0BDB" w:rsidP="001D2CEB">
      <w:pPr>
        <w:pStyle w:val="Item"/>
        <w:tabs>
          <w:tab w:val="clear" w:pos="1800"/>
        </w:tabs>
      </w:pPr>
      <w:r w:rsidRPr="000F1283">
        <w:t>(36)</w:t>
      </w:r>
      <w:r>
        <w:tab/>
      </w:r>
      <w:r w:rsidRPr="000F1283">
        <w:t>"Nutrient Reduction Project" is a site-specific installation and implementation of a nutrient reduction practice or combination of practices.</w:t>
      </w:r>
    </w:p>
    <w:p w14:paraId="212A418C" w14:textId="77777777" w:rsidR="006A0BDB" w:rsidRPr="000F1283" w:rsidRDefault="006A0BDB" w:rsidP="001D2CEB">
      <w:pPr>
        <w:pStyle w:val="Item"/>
        <w:tabs>
          <w:tab w:val="clear" w:pos="1800"/>
        </w:tabs>
      </w:pPr>
      <w:r w:rsidRPr="000F1283">
        <w:t>(37)</w:t>
      </w:r>
      <w:r>
        <w:tab/>
      </w:r>
      <w:r w:rsidRPr="000F1283">
        <w:t>"Nutrient Sensitive Waters" means the same as defined or classified in Rule .0223 of this Subchapter.</w:t>
      </w:r>
    </w:p>
    <w:p w14:paraId="6D215EE4" w14:textId="77777777" w:rsidR="006A0BDB" w:rsidRPr="000F1283" w:rsidRDefault="006A0BDB" w:rsidP="001D2CEB">
      <w:pPr>
        <w:pStyle w:val="Item"/>
        <w:tabs>
          <w:tab w:val="clear" w:pos="1800"/>
        </w:tabs>
      </w:pPr>
      <w:r w:rsidRPr="000F1283">
        <w:t>(38)</w:t>
      </w:r>
      <w:r>
        <w:tab/>
      </w:r>
      <w:r w:rsidRPr="000F1283">
        <w:t xml:space="preserve">"Permanent Nutrient Offset Credit" is a nutrient load reduction credit that does not automatically expire. Permanent nutrient offset credits account for permanent nutrient load reductions resulting from permanently installed and maintained nutrient reduction practices. Permanent nutrient offset credits may be used for compliance with new development stormwater rules of this Subchapter and may also satisfy other nutrient load reduction requirements as described in this Subchapter. </w:t>
      </w:r>
      <w:r w:rsidRPr="000F1283">
        <w:lastRenderedPageBreak/>
        <w:t>Nutrient offset credits are expressed in pounds of total nitrogen or total phosphorus per year.</w:t>
      </w:r>
    </w:p>
    <w:p w14:paraId="34423229" w14:textId="77777777" w:rsidR="006A0BDB" w:rsidRPr="000F1283" w:rsidRDefault="006A0BDB" w:rsidP="001D2CEB">
      <w:pPr>
        <w:pStyle w:val="Item"/>
        <w:tabs>
          <w:tab w:val="clear" w:pos="1800"/>
        </w:tabs>
      </w:pPr>
      <w:r w:rsidRPr="000F1283">
        <w:t>(39)</w:t>
      </w:r>
      <w:r w:rsidRPr="000F1283">
        <w:tab/>
        <w:t>"Perpetual Steward" means an entity that provides oversight for a permanent nutrient offset project. "Oversight" for the purposes of this Item includes monitoring and enforcement responsibilities assumed by the steward and approved by the Division as a condition of granting permanent nutrient offset credit.</w:t>
      </w:r>
    </w:p>
    <w:p w14:paraId="6A8B26EF" w14:textId="77777777" w:rsidR="006A0BDB" w:rsidRPr="000F1283" w:rsidRDefault="006A0BDB" w:rsidP="001D2CEB">
      <w:pPr>
        <w:pStyle w:val="Item"/>
        <w:tabs>
          <w:tab w:val="clear" w:pos="1800"/>
        </w:tabs>
      </w:pPr>
      <w:r w:rsidRPr="000F1283">
        <w:t>(40)</w:t>
      </w:r>
      <w:r>
        <w:tab/>
      </w:r>
      <w:r w:rsidRPr="000F1283">
        <w:t>"Phosphorus" means total phosphorus unless specified otherwise.</w:t>
      </w:r>
    </w:p>
    <w:p w14:paraId="77618912" w14:textId="77777777" w:rsidR="006A0BDB" w:rsidRPr="000F1283" w:rsidRDefault="006A0BDB" w:rsidP="001D2CEB">
      <w:pPr>
        <w:pStyle w:val="Item"/>
        <w:tabs>
          <w:tab w:val="clear" w:pos="1800"/>
        </w:tabs>
      </w:pPr>
      <w:r w:rsidRPr="000F1283">
        <w:t>(41)</w:t>
      </w:r>
      <w:r>
        <w:tab/>
      </w:r>
      <w:r w:rsidRPr="000F1283">
        <w:t xml:space="preserve">"Provider" means any public or private person or entity that implements a nutrient reduction project and seeks nutrient offset credit for sale, lease, or conveyance in exchange for remuneration, including DMS. </w:t>
      </w:r>
    </w:p>
    <w:p w14:paraId="73D4671B" w14:textId="77777777" w:rsidR="006A0BDB" w:rsidRPr="000F1283" w:rsidRDefault="006A0BDB" w:rsidP="001D2CEB">
      <w:pPr>
        <w:pStyle w:val="Item"/>
        <w:tabs>
          <w:tab w:val="clear" w:pos="1800"/>
        </w:tabs>
      </w:pPr>
      <w:r w:rsidRPr="000F1283">
        <w:t>(42)</w:t>
      </w:r>
      <w:r w:rsidRPr="000F1283">
        <w:tab/>
        <w:t xml:space="preserve">"Release" of nutrient offset credits means the Division approves and acknowledges the generation of nutrient offset credits. Nutrient offset bank providers may sell, transfer, or use credits upon release. </w:t>
      </w:r>
      <w:r w:rsidRPr="000F1283">
        <w:rPr>
          <w:shd w:val="clear" w:color="auto" w:fill="FFFFFF"/>
        </w:rPr>
        <w:t>DMS may debit credits upon project institution but credits will still be subject to final approval and release by DWR</w:t>
      </w:r>
      <w:r w:rsidRPr="000F1283">
        <w:rPr>
          <w:iCs/>
          <w:shd w:val="clear" w:color="auto" w:fill="FFFFFF"/>
        </w:rPr>
        <w:t>.</w:t>
      </w:r>
    </w:p>
    <w:p w14:paraId="3684627B" w14:textId="77777777" w:rsidR="006A0BDB" w:rsidRPr="000F1283" w:rsidRDefault="006A0BDB" w:rsidP="001D2CEB">
      <w:pPr>
        <w:pStyle w:val="Item"/>
        <w:tabs>
          <w:tab w:val="clear" w:pos="1800"/>
        </w:tabs>
      </w:pPr>
      <w:r w:rsidRPr="000F1283">
        <w:t>(43)</w:t>
      </w:r>
      <w:r>
        <w:tab/>
      </w:r>
      <w:r w:rsidRPr="000F1283">
        <w:t>"Residuals" means the same as defined in Rule .0202 of this Subchapter.</w:t>
      </w:r>
    </w:p>
    <w:p w14:paraId="0FC2E346" w14:textId="77777777" w:rsidR="006A0BDB" w:rsidRPr="000F1283" w:rsidRDefault="006A0BDB" w:rsidP="001D2CEB">
      <w:pPr>
        <w:pStyle w:val="Item"/>
        <w:tabs>
          <w:tab w:val="clear" w:pos="1800"/>
        </w:tabs>
      </w:pPr>
      <w:r w:rsidRPr="000F1283">
        <w:t>(44)</w:t>
      </w:r>
      <w:r>
        <w:tab/>
      </w:r>
      <w:r w:rsidRPr="000F1283">
        <w:t>"Stormwater Collection System" means the same as defined in 15A NCAC 02H .1002.</w:t>
      </w:r>
    </w:p>
    <w:p w14:paraId="4295BF0F" w14:textId="77777777" w:rsidR="006A0BDB" w:rsidRPr="000F1283" w:rsidRDefault="006A0BDB" w:rsidP="001D2CEB">
      <w:pPr>
        <w:pStyle w:val="Item"/>
        <w:tabs>
          <w:tab w:val="clear" w:pos="1800"/>
        </w:tabs>
      </w:pPr>
      <w:r w:rsidRPr="000F1283">
        <w:t>(45)</w:t>
      </w:r>
      <w:r w:rsidRPr="000F1283">
        <w:tab/>
        <w:t>"Stormwater Control Measure" or "SCM" means the same as defined in 15A NCAC 02H .1002.</w:t>
      </w:r>
    </w:p>
    <w:p w14:paraId="05CF78FF" w14:textId="77777777" w:rsidR="006A0BDB" w:rsidRPr="000F1283" w:rsidRDefault="006A0BDB" w:rsidP="001D2CEB">
      <w:pPr>
        <w:pStyle w:val="Item"/>
        <w:tabs>
          <w:tab w:val="clear" w:pos="1800"/>
        </w:tabs>
      </w:pPr>
      <w:r w:rsidRPr="000F1283">
        <w:t>(46)</w:t>
      </w:r>
      <w:r>
        <w:tab/>
      </w:r>
      <w:r w:rsidRPr="000F1283">
        <w:t>"Surface waters" means all waters of the State as defined in G.S. 143-212, except underground waters.</w:t>
      </w:r>
    </w:p>
    <w:p w14:paraId="03617A40" w14:textId="77777777" w:rsidR="006A0BDB" w:rsidRPr="000F1283" w:rsidRDefault="006A0BDB" w:rsidP="001D2CEB">
      <w:pPr>
        <w:pStyle w:val="Item"/>
        <w:tabs>
          <w:tab w:val="clear" w:pos="1800"/>
        </w:tabs>
      </w:pPr>
      <w:r w:rsidRPr="000F1283">
        <w:t>(47)</w:t>
      </w:r>
      <w:r>
        <w:tab/>
      </w:r>
      <w:r w:rsidRPr="000F1283">
        <w:t xml:space="preserve">"Term Nutrient Offset Credit" is a nutrient load reduction credit that accounts for annual nutrient load for a finite </w:t>
      </w:r>
      <w:proofErr w:type="gramStart"/>
      <w:r w:rsidRPr="000F1283">
        <w:t>period of time</w:t>
      </w:r>
      <w:proofErr w:type="gramEnd"/>
      <w:r w:rsidRPr="000F1283">
        <w:t>. Temporary nutrient offset credits are expressed in pounds of total nitrogen or total phosphorus.</w:t>
      </w:r>
    </w:p>
    <w:p w14:paraId="4D9B91C9" w14:textId="77777777" w:rsidR="006A0BDB" w:rsidRPr="000F1283" w:rsidRDefault="006A0BDB" w:rsidP="001D2CEB">
      <w:pPr>
        <w:pStyle w:val="Item"/>
        <w:tabs>
          <w:tab w:val="clear" w:pos="1800"/>
        </w:tabs>
      </w:pPr>
      <w:r w:rsidRPr="000F1283">
        <w:t>(48)</w:t>
      </w:r>
      <w:r>
        <w:tab/>
      </w:r>
      <w:r w:rsidRPr="000F1283">
        <w:rPr>
          <w:snapToGrid w:val="0"/>
        </w:rPr>
        <w:t>"Total Maximum Daily Load," or "TMDL," means the same as set forth in federal regulations 40 CFR 130.2(i) and 130.7(c)(1), which are incorporated herein by reference, including subsequent amendments and editions. A copy of the most current version of the regulations is available free of charge on the internet at http://www.gpo.gov/fdsys/.</w:t>
      </w:r>
    </w:p>
    <w:p w14:paraId="6434B01F" w14:textId="77777777" w:rsidR="006A0BDB" w:rsidRPr="000F1283" w:rsidRDefault="006A0BDB" w:rsidP="001D2CEB">
      <w:pPr>
        <w:pStyle w:val="Item"/>
        <w:tabs>
          <w:tab w:val="clear" w:pos="1800"/>
        </w:tabs>
      </w:pPr>
      <w:r w:rsidRPr="000F1283">
        <w:t>(49)</w:t>
      </w:r>
      <w:r>
        <w:tab/>
      </w:r>
      <w:r w:rsidRPr="000F1283">
        <w:t>"Total nitrogen" means the sum of the organic, nitrate, nitrite, and ammonia forms of nitrogen in a water or wastewater.</w:t>
      </w:r>
    </w:p>
    <w:p w14:paraId="545588E0" w14:textId="77777777" w:rsidR="006A0BDB" w:rsidRPr="000F1283" w:rsidRDefault="006A0BDB" w:rsidP="001D2CEB">
      <w:pPr>
        <w:pStyle w:val="Item"/>
        <w:tabs>
          <w:tab w:val="clear" w:pos="1800"/>
        </w:tabs>
      </w:pPr>
      <w:r w:rsidRPr="000F1283">
        <w:t>(50)</w:t>
      </w:r>
      <w:r>
        <w:tab/>
      </w:r>
      <w:r w:rsidRPr="000F1283">
        <w:t>"Total phosphorus" means the sum of the orthophosphate, polyphosphate, and organic forms of phosphorus in a water or wastewater.</w:t>
      </w:r>
    </w:p>
    <w:p w14:paraId="7070DDA0" w14:textId="77777777" w:rsidR="006A0BDB" w:rsidRPr="000F1283" w:rsidRDefault="006A0BDB" w:rsidP="001D2CEB">
      <w:pPr>
        <w:pStyle w:val="Item"/>
        <w:tabs>
          <w:tab w:val="clear" w:pos="1800"/>
        </w:tabs>
      </w:pPr>
      <w:r w:rsidRPr="000F1283">
        <w:t>(51)</w:t>
      </w:r>
      <w:r>
        <w:tab/>
      </w:r>
      <w:r w:rsidRPr="000F1283">
        <w:t>"Transportation facility" means the existing road surface, road shoulders, fill slopes, ferry terminal fill areas, and constructed stormwater conveyances or drainage canals adjacent to and directly associated with the road.</w:t>
      </w:r>
    </w:p>
    <w:p w14:paraId="34F344AD" w14:textId="77777777" w:rsidR="006A0BDB" w:rsidRPr="000F1283" w:rsidRDefault="006A0BDB" w:rsidP="001D2CEB">
      <w:pPr>
        <w:pStyle w:val="Item"/>
        <w:tabs>
          <w:tab w:val="clear" w:pos="1800"/>
        </w:tabs>
      </w:pPr>
      <w:r w:rsidRPr="000F1283">
        <w:t>(52)</w:t>
      </w:r>
      <w:r>
        <w:tab/>
      </w:r>
      <w:r w:rsidRPr="000F1283">
        <w:t xml:space="preserve">"Transport factor" means the fraction of a discharged nitrogen or phosphorus load that is </w:t>
      </w:r>
      <w:r w:rsidRPr="000F1283">
        <w:t>delivered from the discharge point to a waterbody as established in an approved TMDL or other Division publication.</w:t>
      </w:r>
    </w:p>
    <w:p w14:paraId="739E7CEF" w14:textId="77777777" w:rsidR="006A0BDB" w:rsidRPr="000F1283" w:rsidRDefault="006A0BDB" w:rsidP="001D2CEB">
      <w:pPr>
        <w:pStyle w:val="Item"/>
        <w:tabs>
          <w:tab w:val="clear" w:pos="1800"/>
        </w:tabs>
      </w:pPr>
      <w:r w:rsidRPr="000F1283">
        <w:t>(53)</w:t>
      </w:r>
      <w:r>
        <w:tab/>
      </w:r>
      <w:r w:rsidRPr="000F1283">
        <w:t>"Wasteload allocation" is that portion of a nitrogen or phosphorus TMDL assigned to individually permitted wastewater facilities and represents the maximum allowable load of total nitrogen or total phosphorus to the estuary from these point source dischargers.</w:t>
      </w:r>
    </w:p>
    <w:p w14:paraId="222BBFBB" w14:textId="77777777" w:rsidR="006A0BDB" w:rsidRPr="000F1283" w:rsidRDefault="006A0BDB" w:rsidP="001D2CEB">
      <w:pPr>
        <w:pStyle w:val="Base"/>
        <w:rPr>
          <w:snapToGrid w:val="0"/>
        </w:rPr>
      </w:pPr>
    </w:p>
    <w:p w14:paraId="036739C9" w14:textId="77777777" w:rsidR="006A0BDB" w:rsidRPr="000F1283" w:rsidRDefault="006A0BDB" w:rsidP="001D2CEB">
      <w:pPr>
        <w:pStyle w:val="History"/>
      </w:pPr>
      <w:r w:rsidRPr="000F1283">
        <w:t>History Note:</w:t>
      </w:r>
      <w:r w:rsidRPr="000F1283">
        <w:tab/>
        <w:t>Authority G.S. 143-214.1; 143-214.3; 143-214.5; 143-214.7; 143-215.1; 143-215.3; 143-215.3(a)(1); 143-215.8B; 143B-282(c); 143B-282(d);</w:t>
      </w:r>
    </w:p>
    <w:p w14:paraId="2A20871F" w14:textId="77777777" w:rsidR="006A0BDB" w:rsidRPr="000F1283" w:rsidRDefault="006A0BDB" w:rsidP="001D2CEB">
      <w:pPr>
        <w:pStyle w:val="HistoryAfter"/>
      </w:pPr>
      <w:r w:rsidRPr="000F1283">
        <w:t xml:space="preserve">Eff. </w:t>
      </w:r>
      <w:r>
        <w:t>Pending Delayed Eff. Date</w:t>
      </w:r>
      <w:r w:rsidRPr="000F1283">
        <w:t>.</w:t>
      </w:r>
    </w:p>
    <w:p w14:paraId="3CEC8575" w14:textId="77777777" w:rsidR="006A0BDB" w:rsidRPr="000F1283" w:rsidRDefault="006A0BDB" w:rsidP="001D2CEB">
      <w:pPr>
        <w:pStyle w:val="Base"/>
      </w:pPr>
    </w:p>
    <w:p w14:paraId="58C8A122" w14:textId="77777777" w:rsidR="006A0BDB" w:rsidRPr="00BF4450" w:rsidRDefault="006A0BDB" w:rsidP="001D2CEB">
      <w:pPr>
        <w:pStyle w:val="Rule"/>
      </w:pPr>
      <w:r w:rsidRPr="00BF4450">
        <w:t>15A NCAC 02B</w:t>
      </w:r>
      <w:r>
        <w:t xml:space="preserve"> </w:t>
      </w:r>
      <w:r w:rsidRPr="00DE5CFD">
        <w:rPr>
          <w:strike/>
        </w:rPr>
        <w:t>.0232</w:t>
      </w:r>
      <w:r>
        <w:t xml:space="preserve"> </w:t>
      </w:r>
      <w:r w:rsidRPr="00C40F6F">
        <w:rPr>
          <w:u w:val="single"/>
        </w:rPr>
        <w:t>.0710</w:t>
      </w:r>
      <w:r w:rsidRPr="00BF4450">
        <w:tab/>
        <w:t xml:space="preserve">Neuse Nutrient Strategy: Purpose and scope </w:t>
      </w:r>
    </w:p>
    <w:p w14:paraId="23DA8812" w14:textId="77777777" w:rsidR="006A0BDB" w:rsidRPr="00BF4450" w:rsidRDefault="006A0BDB" w:rsidP="001D2CEB">
      <w:pPr>
        <w:pStyle w:val="Paragraph"/>
      </w:pPr>
      <w:r w:rsidRPr="00BF4450">
        <w:t>(a)  PURPOSE. The purpose of this Rule and Rules .0711 through .0715 of this Section is to attain the designated uses of the Neuse River estuary with respect to meeting nutrient-related water quality standards pursuant to the Environmental Management Commission's authority under the Clean Water Responsibility and Environmentally Sound Policy</w:t>
      </w:r>
      <w:r>
        <w:t xml:space="preserve"> </w:t>
      </w:r>
      <w:r w:rsidRPr="00BF4450">
        <w:t>Act, S.L. 1997-458.</w:t>
      </w:r>
      <w:r>
        <w:t xml:space="preserve"> </w:t>
      </w:r>
      <w:r w:rsidRPr="00BF4450">
        <w:t xml:space="preserve">All waters of the Neuse River Basin are supplementally classified as Nutrient Sensitive Waters (NSW) pursuant to 15A NCAC 02B .0223. The rules enumerated in Paragraph (d) of this Rule together constitute the Neuse nutrient </w:t>
      </w:r>
      <w:proofErr w:type="gramStart"/>
      <w:r w:rsidRPr="00BF4450">
        <w:t>strategy, and</w:t>
      </w:r>
      <w:proofErr w:type="gramEnd"/>
      <w:r w:rsidRPr="00BF4450">
        <w:t xml:space="preserve"> shall be implemented in accordance with 15A NCAC 02B .0223.</w:t>
      </w:r>
      <w:r>
        <w:t xml:space="preserve"> </w:t>
      </w:r>
    </w:p>
    <w:p w14:paraId="11A2D18A" w14:textId="77777777" w:rsidR="006A0BDB" w:rsidRPr="00BF4450" w:rsidRDefault="006A0BDB" w:rsidP="001D2CEB">
      <w:pPr>
        <w:pStyle w:val="Paragraph"/>
      </w:pPr>
      <w:r w:rsidRPr="00BF4450">
        <w:t>(b)  SCOPE AND LIMITATION. The Neuse nutrient strategy rules require controls to reduce nitrogen loads from significant sources of this nutrient throughout the Neuse Basin. These Rules do not address sources for which there is insufficient scientific knowledge to base regulation.</w:t>
      </w:r>
      <w:r>
        <w:t xml:space="preserve"> </w:t>
      </w:r>
    </w:p>
    <w:p w14:paraId="2E4D5B0C" w14:textId="77777777" w:rsidR="006A0BDB" w:rsidRPr="00BF4450" w:rsidRDefault="006A0BDB" w:rsidP="001D2CEB">
      <w:pPr>
        <w:pStyle w:val="Paragraph"/>
      </w:pPr>
      <w:r w:rsidRPr="00BF4450">
        <w:t>(c)  GOAL. To achieve the purpose of the Neuse nutrient strategy, the Commission established in the initial Neuse nutrient strategy rules, enacted in August 1998, the goal of reducing the average annual load of nitrogen delivered to the Neuse estuary from point and nonpoint sources by a minimum of 30 percent below the average annual load for the period 1991 through 1995 and thereafter maintaining it at or below that level. This amended strategy continues that goal.</w:t>
      </w:r>
    </w:p>
    <w:p w14:paraId="68AAB2E0" w14:textId="77777777" w:rsidR="006A0BDB" w:rsidRPr="00BF4450" w:rsidRDefault="006A0BDB" w:rsidP="001D2CEB">
      <w:pPr>
        <w:pStyle w:val="Paragraph"/>
      </w:pPr>
      <w:r w:rsidRPr="00BF4450">
        <w:t>(d)  RULES ENUMERATED. The rules of the Neuse nutrient strategy, in addition to this one, are titled as follows:</w:t>
      </w:r>
    </w:p>
    <w:p w14:paraId="779D1B35" w14:textId="77777777" w:rsidR="006A0BDB" w:rsidRPr="00BF4450" w:rsidRDefault="006A0BDB" w:rsidP="001D2CEB">
      <w:pPr>
        <w:pStyle w:val="SubParagraph"/>
        <w:tabs>
          <w:tab w:val="clear" w:pos="1800"/>
        </w:tabs>
      </w:pPr>
      <w:r w:rsidRPr="00BF4450">
        <w:t>(1)</w:t>
      </w:r>
      <w:r w:rsidRPr="00BF4450">
        <w:tab/>
        <w:t>Rule .0711 for</w:t>
      </w:r>
      <w:r>
        <w:t xml:space="preserve"> </w:t>
      </w:r>
      <w:r w:rsidRPr="00BF4450">
        <w:t>stormwater;</w:t>
      </w:r>
    </w:p>
    <w:p w14:paraId="6129A64E" w14:textId="77777777" w:rsidR="006A0BDB" w:rsidRPr="00BF4450" w:rsidRDefault="006A0BDB" w:rsidP="001D2CEB">
      <w:pPr>
        <w:pStyle w:val="SubParagraph"/>
        <w:tabs>
          <w:tab w:val="clear" w:pos="1800"/>
        </w:tabs>
      </w:pPr>
      <w:r w:rsidRPr="00BF4450">
        <w:t>(2)</w:t>
      </w:r>
      <w:r w:rsidRPr="00BF4450">
        <w:tab/>
        <w:t>Rule .0712 for</w:t>
      </w:r>
      <w:r>
        <w:t xml:space="preserve"> </w:t>
      </w:r>
      <w:r w:rsidRPr="00BF4450">
        <w:t>agriculture;</w:t>
      </w:r>
    </w:p>
    <w:p w14:paraId="15DDE777" w14:textId="77777777" w:rsidR="006A0BDB" w:rsidRPr="00BF4450" w:rsidRDefault="006A0BDB" w:rsidP="001D2CEB">
      <w:pPr>
        <w:pStyle w:val="SubParagraph"/>
        <w:tabs>
          <w:tab w:val="clear" w:pos="1800"/>
        </w:tabs>
      </w:pPr>
      <w:r w:rsidRPr="00BF4450">
        <w:t>(3)</w:t>
      </w:r>
      <w:r w:rsidRPr="00BF4450">
        <w:tab/>
        <w:t>Rule .0713 for wastewater</w:t>
      </w:r>
      <w:r>
        <w:t xml:space="preserve"> </w:t>
      </w:r>
      <w:r w:rsidRPr="00BF4450">
        <w:t>discharges;</w:t>
      </w:r>
    </w:p>
    <w:p w14:paraId="7D056DA2" w14:textId="77777777" w:rsidR="006A0BDB" w:rsidRPr="00BF4450" w:rsidRDefault="006A0BDB" w:rsidP="001D2CEB">
      <w:pPr>
        <w:pStyle w:val="SubParagraph"/>
        <w:tabs>
          <w:tab w:val="clear" w:pos="1800"/>
        </w:tabs>
      </w:pPr>
      <w:r w:rsidRPr="00BF4450">
        <w:t>(4)</w:t>
      </w:r>
      <w:r w:rsidRPr="00BF4450">
        <w:tab/>
        <w:t>Rule</w:t>
      </w:r>
      <w:r>
        <w:t xml:space="preserve"> </w:t>
      </w:r>
      <w:r w:rsidRPr="00BF4450">
        <w:t>.0233 for riparian buffer</w:t>
      </w:r>
      <w:r>
        <w:t xml:space="preserve"> </w:t>
      </w:r>
      <w:r w:rsidRPr="00BF4450">
        <w:t>protection; and</w:t>
      </w:r>
    </w:p>
    <w:p w14:paraId="544BE2E6" w14:textId="77777777" w:rsidR="006A0BDB" w:rsidRPr="00BF4450" w:rsidRDefault="006A0BDB" w:rsidP="001D2CEB">
      <w:pPr>
        <w:pStyle w:val="SubParagraph"/>
        <w:tabs>
          <w:tab w:val="clear" w:pos="1800"/>
        </w:tabs>
      </w:pPr>
      <w:r w:rsidRPr="00BF4450">
        <w:t>(5)</w:t>
      </w:r>
      <w:r w:rsidRPr="00BF4450">
        <w:tab/>
        <w:t>Rule</w:t>
      </w:r>
      <w:r>
        <w:t xml:space="preserve"> </w:t>
      </w:r>
      <w:r w:rsidRPr="00BF4450">
        <w:t>.0241 for riparian buffer program delegation</w:t>
      </w:r>
    </w:p>
    <w:p w14:paraId="7E4C85EA" w14:textId="77777777" w:rsidR="006A0BDB" w:rsidRPr="00BF4450" w:rsidRDefault="006A0BDB" w:rsidP="001D2CEB">
      <w:pPr>
        <w:pStyle w:val="Paragraph"/>
      </w:pPr>
      <w:r w:rsidRPr="00BF4450">
        <w:t>(e)  ADAPTIVE MANAGEMENT.</w:t>
      </w:r>
      <w:r>
        <w:t xml:space="preserve"> </w:t>
      </w:r>
      <w:r w:rsidRPr="00BF4450">
        <w:t>The Division</w:t>
      </w:r>
      <w:r>
        <w:t xml:space="preserve"> </w:t>
      </w:r>
      <w:r w:rsidRPr="00BF4450">
        <w:t>shall evaluate the basin's nutrient dynamics to inform and guide adaptive management.</w:t>
      </w:r>
      <w:r>
        <w:t xml:space="preserve"> </w:t>
      </w:r>
      <w:r w:rsidRPr="00BF4450">
        <w:t>This evaluation shall</w:t>
      </w:r>
      <w:r>
        <w:t xml:space="preserve"> </w:t>
      </w:r>
      <w:r w:rsidRPr="00BF4450">
        <w:t>utilize all sources of available information, including stakeholder input, and shall consider drivers,</w:t>
      </w:r>
      <w:r>
        <w:t xml:space="preserve"> </w:t>
      </w:r>
      <w:r w:rsidRPr="00BF4450">
        <w:t>character, and shifts in the impairment with time,</w:t>
      </w:r>
      <w:r>
        <w:t xml:space="preserve"> </w:t>
      </w:r>
      <w:r w:rsidRPr="00BF4450">
        <w:t>trends, and character of loading delivered to the estuary, and distribution and character of loading inputs to the basin and changes to those inputs over time.</w:t>
      </w:r>
      <w:r>
        <w:t xml:space="preserve"> </w:t>
      </w:r>
      <w:r w:rsidRPr="00BF4450">
        <w:t>The evaluation shall address the extent to which the reduction goals identified</w:t>
      </w:r>
      <w:r>
        <w:t xml:space="preserve"> </w:t>
      </w:r>
      <w:r w:rsidRPr="00BF4450">
        <w:t>in Paragraph (c) of this Rule have been achieved and shall</w:t>
      </w:r>
      <w:r>
        <w:t xml:space="preserve"> </w:t>
      </w:r>
      <w:r w:rsidRPr="00BF4450">
        <w:t xml:space="preserve">provide recommendations on </w:t>
      </w:r>
      <w:r w:rsidRPr="00BF4450">
        <w:lastRenderedPageBreak/>
        <w:t>management needs. The Division shall</w:t>
      </w:r>
      <w:r>
        <w:t xml:space="preserve"> </w:t>
      </w:r>
      <w:r w:rsidRPr="00BF4450">
        <w:t>complete</w:t>
      </w:r>
      <w:r>
        <w:t xml:space="preserve"> </w:t>
      </w:r>
      <w:r w:rsidRPr="00BF4450">
        <w:t>the evaluation within three years of the effective date of this</w:t>
      </w:r>
      <w:r>
        <w:t xml:space="preserve"> </w:t>
      </w:r>
      <w:r w:rsidRPr="00BF4450">
        <w:t>Rule and shall distribute the findings</w:t>
      </w:r>
      <w:r>
        <w:t xml:space="preserve"> </w:t>
      </w:r>
      <w:r w:rsidRPr="00BF4450">
        <w:t>upon completion. The Division shall also report biannually to the Water Quality Committee of the Commission on implementation progress and reductions achieved by sources subject to the Neuse nutrient strategy.</w:t>
      </w:r>
      <w:r>
        <w:t xml:space="preserve"> </w:t>
      </w:r>
    </w:p>
    <w:p w14:paraId="58BA6595" w14:textId="77777777" w:rsidR="006A0BDB" w:rsidRPr="00BF4450" w:rsidRDefault="006A0BDB" w:rsidP="001D2CEB">
      <w:pPr>
        <w:pStyle w:val="Paragraph"/>
      </w:pPr>
      <w:r w:rsidRPr="00BF4450">
        <w:t>(f)  GEOGRAPHIC APPLICABILITY. The Neuse nutrient strategy shall apply in all areas draining to NSW waters within the Neuse River Basin unless individual Neuse strategy rules describe other boundaries.</w:t>
      </w:r>
    </w:p>
    <w:p w14:paraId="01D7DD79" w14:textId="77777777" w:rsidR="006A0BDB" w:rsidRPr="00BF4450" w:rsidRDefault="006A0BDB" w:rsidP="001D2CEB">
      <w:pPr>
        <w:pStyle w:val="Paragraph"/>
      </w:pPr>
      <w:r w:rsidRPr="00BF4450">
        <w:t>(g)  PENALTIES. Failure to meet requirements of the Neuse</w:t>
      </w:r>
      <w:r>
        <w:t xml:space="preserve"> </w:t>
      </w:r>
      <w:r w:rsidRPr="00BF4450">
        <w:t>nutrient strategy rules may result in imposition of enforcement measures as authorized by G.S. 143-215.6A (civil penalties), G.S. 143-215.6B (criminal penalties), and G.S. 143-215.6C (injunctive relief).</w:t>
      </w:r>
    </w:p>
    <w:p w14:paraId="5158245A" w14:textId="77777777" w:rsidR="006A0BDB" w:rsidRPr="00BF4450" w:rsidRDefault="006A0BDB" w:rsidP="001D2CEB">
      <w:pPr>
        <w:pStyle w:val="Base"/>
      </w:pPr>
    </w:p>
    <w:p w14:paraId="3D776FC8" w14:textId="77777777" w:rsidR="006A0BDB" w:rsidRPr="00BF4450" w:rsidRDefault="006A0BDB" w:rsidP="001D2CEB">
      <w:pPr>
        <w:pStyle w:val="History"/>
      </w:pPr>
      <w:r w:rsidRPr="00BF4450">
        <w:t>History Note:</w:t>
      </w:r>
      <w:r w:rsidRPr="00BF4450">
        <w:tab/>
        <w:t xml:space="preserve">Authority G.S. 143-214.1; 143-214.7; 143-215.1; 143-215.3(a)(1); 143B-282; S.L. 1995-572; </w:t>
      </w:r>
    </w:p>
    <w:p w14:paraId="2A082965" w14:textId="77777777" w:rsidR="006A0BDB" w:rsidRPr="00BF4450" w:rsidRDefault="006A0BDB" w:rsidP="001D2CEB">
      <w:pPr>
        <w:pStyle w:val="HistoryAfter"/>
      </w:pPr>
      <w:r w:rsidRPr="00BF4450">
        <w:t>Eff. August 1, 1998</w:t>
      </w:r>
      <w:r>
        <w:t>;</w:t>
      </w:r>
    </w:p>
    <w:p w14:paraId="1628C416" w14:textId="77777777" w:rsidR="006A0BDB" w:rsidRPr="00BF4450" w:rsidRDefault="006A0BDB" w:rsidP="001D2CEB">
      <w:pPr>
        <w:pStyle w:val="HistoryAfter"/>
      </w:pPr>
      <w:r w:rsidRPr="00BF4450">
        <w:t xml:space="preserve">Readopted </w:t>
      </w:r>
      <w:r>
        <w:t>Pending Delayed Eff. Date</w:t>
      </w:r>
      <w:r w:rsidRPr="00BF4450">
        <w:t>.</w:t>
      </w:r>
    </w:p>
    <w:p w14:paraId="34F742E7" w14:textId="77777777" w:rsidR="006A0BDB" w:rsidRDefault="006A0BDB" w:rsidP="001D2CEB">
      <w:pPr>
        <w:pStyle w:val="Base"/>
      </w:pPr>
    </w:p>
    <w:p w14:paraId="0CCE79A1" w14:textId="77777777" w:rsidR="006A0BDB" w:rsidRPr="00690774" w:rsidRDefault="006A0BDB" w:rsidP="001D2CEB">
      <w:pPr>
        <w:pStyle w:val="Rule"/>
      </w:pPr>
      <w:bookmarkStart w:id="7" w:name="_Hlk15652787"/>
      <w:r w:rsidRPr="00690774">
        <w:t>15A NCAC 02B</w:t>
      </w:r>
      <w:r>
        <w:t xml:space="preserve"> </w:t>
      </w:r>
      <w:r w:rsidRPr="00F472E5">
        <w:rPr>
          <w:strike/>
        </w:rPr>
        <w:t>.0235</w:t>
      </w:r>
      <w:r>
        <w:t xml:space="preserve"> </w:t>
      </w:r>
      <w:r w:rsidRPr="00E718A7">
        <w:rPr>
          <w:u w:val="single"/>
        </w:rPr>
        <w:t>.0711</w:t>
      </w:r>
      <w:r w:rsidRPr="00690774">
        <w:tab/>
        <w:t xml:space="preserve">NEUSE NUTRIENT STRATEGY: STORMWATER </w:t>
      </w:r>
    </w:p>
    <w:p w14:paraId="681CC391" w14:textId="77777777" w:rsidR="006A0BDB" w:rsidRPr="00690774" w:rsidRDefault="006A0BDB" w:rsidP="001D2CEB">
      <w:pPr>
        <w:pStyle w:val="Paragraph"/>
      </w:pPr>
      <w:r w:rsidRPr="00690774">
        <w:t>The following is the stormwater management strategy for the Neuse River Basin:</w:t>
      </w:r>
    </w:p>
    <w:p w14:paraId="328786B7" w14:textId="77777777" w:rsidR="006A0BDB" w:rsidRPr="00690774" w:rsidRDefault="006A0BDB" w:rsidP="001D2CEB">
      <w:pPr>
        <w:pStyle w:val="Item"/>
        <w:tabs>
          <w:tab w:val="clear" w:pos="1800"/>
        </w:tabs>
      </w:pPr>
      <w:r w:rsidRPr="00690774">
        <w:t>(1)</w:t>
      </w:r>
      <w:r w:rsidRPr="00690774">
        <w:tab/>
        <w:t>PURPOSE. The purpose of this Rule is to achieve and maintain the nitrogen loading reduction goal established for the Neuse River Estuary in Rule .0710 of this Section from an undeveloped condition on lands in the Neuse River Basin on which</w:t>
      </w:r>
      <w:r>
        <w:t xml:space="preserve"> </w:t>
      </w:r>
      <w:r w:rsidRPr="00690774">
        <w:t>development occurs. Nothing in this Rule preempts the requirements of 15A NCAC 02B .0277 for projects subject to the Falls Reservoir Nutrient Strategy or prevents local governments from implementing requirements that are more restrictive than those set forth in this Rule.</w:t>
      </w:r>
    </w:p>
    <w:p w14:paraId="1447E9AF" w14:textId="77777777" w:rsidR="006A0BDB" w:rsidRPr="00690774" w:rsidRDefault="006A0BDB" w:rsidP="001D2CEB">
      <w:pPr>
        <w:pStyle w:val="Item"/>
        <w:tabs>
          <w:tab w:val="clear" w:pos="1800"/>
        </w:tabs>
      </w:pPr>
      <w:r w:rsidRPr="00690774">
        <w:t>(2)</w:t>
      </w:r>
      <w:r w:rsidRPr="00690774">
        <w:tab/>
        <w:t>APPLICABILITY. The following local governments shall implement the stormwater management requirements of this</w:t>
      </w:r>
      <w:r>
        <w:t xml:space="preserve"> </w:t>
      </w:r>
      <w:r w:rsidRPr="00690774">
        <w:t>Rule, except as noted in Sub-Item (3)(a) of this Rule where the Department shall implement them. Municipalities shall implement this Rule throughout their corporate limits and extraterritorial jurisdictions within the basin, while counties shall implement throughout their territorial jurisdictions within the basin. Counties named in this Item may implement this Rule within municipalities not named in this Item in accordance with G.S. 160A-360(d).</w:t>
      </w:r>
    </w:p>
    <w:p w14:paraId="25DC91D4" w14:textId="77777777" w:rsidR="006A0BDB" w:rsidRPr="00690774" w:rsidRDefault="006A0BDB" w:rsidP="001D2CEB">
      <w:pPr>
        <w:pStyle w:val="SubItemLvl1"/>
        <w:tabs>
          <w:tab w:val="clear" w:pos="2520"/>
        </w:tabs>
      </w:pPr>
      <w:r w:rsidRPr="00690774">
        <w:t>(a)</w:t>
      </w:r>
      <w:r w:rsidRPr="00690774">
        <w:tab/>
        <w:t>Local governments designated under</w:t>
      </w:r>
      <w:r>
        <w:t xml:space="preserve"> </w:t>
      </w:r>
      <w:r w:rsidRPr="00690774">
        <w:t>this Rule effective August 1998:</w:t>
      </w:r>
    </w:p>
    <w:p w14:paraId="19D32EC9" w14:textId="77777777" w:rsidR="006A0BDB" w:rsidRPr="00690774" w:rsidRDefault="006A0BDB" w:rsidP="001D2CEB">
      <w:pPr>
        <w:pStyle w:val="SubItemLvl2"/>
      </w:pPr>
      <w:r w:rsidRPr="00690774">
        <w:t>(i)</w:t>
      </w:r>
      <w:r w:rsidRPr="00690774">
        <w:tab/>
        <w:t>Cary;</w:t>
      </w:r>
    </w:p>
    <w:p w14:paraId="55B69468" w14:textId="77777777" w:rsidR="006A0BDB" w:rsidRPr="00690774" w:rsidRDefault="006A0BDB" w:rsidP="001D2CEB">
      <w:pPr>
        <w:pStyle w:val="SubItemLvl2"/>
      </w:pPr>
      <w:r w:rsidRPr="00690774">
        <w:t>(ii)</w:t>
      </w:r>
      <w:r w:rsidRPr="00690774">
        <w:tab/>
        <w:t>Durham;</w:t>
      </w:r>
    </w:p>
    <w:p w14:paraId="58684D3F" w14:textId="77777777" w:rsidR="006A0BDB" w:rsidRPr="00690774" w:rsidRDefault="006A0BDB" w:rsidP="001D2CEB">
      <w:pPr>
        <w:pStyle w:val="SubItemLvl2"/>
      </w:pPr>
      <w:r w:rsidRPr="00690774">
        <w:t>(iii)</w:t>
      </w:r>
      <w:r w:rsidRPr="00690774">
        <w:tab/>
        <w:t>Garner;</w:t>
      </w:r>
    </w:p>
    <w:p w14:paraId="34684035" w14:textId="77777777" w:rsidR="006A0BDB" w:rsidRPr="00690774" w:rsidRDefault="006A0BDB" w:rsidP="001D2CEB">
      <w:pPr>
        <w:pStyle w:val="SubItemLvl2"/>
      </w:pPr>
      <w:r w:rsidRPr="00690774">
        <w:t>(iv</w:t>
      </w:r>
      <w:r>
        <w:t>)</w:t>
      </w:r>
      <w:r w:rsidRPr="00690774">
        <w:tab/>
        <w:t>Goldsboro;</w:t>
      </w:r>
    </w:p>
    <w:p w14:paraId="1E73EE53" w14:textId="77777777" w:rsidR="006A0BDB" w:rsidRPr="00690774" w:rsidRDefault="006A0BDB" w:rsidP="001D2CEB">
      <w:pPr>
        <w:pStyle w:val="SubItemLvl2"/>
      </w:pPr>
      <w:r w:rsidRPr="00690774">
        <w:t>(v)</w:t>
      </w:r>
      <w:r w:rsidRPr="00690774">
        <w:tab/>
        <w:t>Havelock;</w:t>
      </w:r>
    </w:p>
    <w:p w14:paraId="608A9B0D" w14:textId="77777777" w:rsidR="006A0BDB" w:rsidRPr="00690774" w:rsidRDefault="006A0BDB" w:rsidP="001D2CEB">
      <w:pPr>
        <w:pStyle w:val="SubItemLvl2"/>
      </w:pPr>
      <w:r w:rsidRPr="00690774">
        <w:t>(vi)</w:t>
      </w:r>
      <w:r w:rsidRPr="00690774">
        <w:tab/>
        <w:t>Kinston;</w:t>
      </w:r>
    </w:p>
    <w:p w14:paraId="406B24B4" w14:textId="77777777" w:rsidR="006A0BDB" w:rsidRPr="00690774" w:rsidRDefault="006A0BDB" w:rsidP="001D2CEB">
      <w:pPr>
        <w:pStyle w:val="SubItemLvl2"/>
      </w:pPr>
      <w:r w:rsidRPr="00690774">
        <w:t>(vii)</w:t>
      </w:r>
      <w:r w:rsidRPr="00690774">
        <w:tab/>
        <w:t>New Bern;</w:t>
      </w:r>
    </w:p>
    <w:p w14:paraId="696BE534" w14:textId="77777777" w:rsidR="006A0BDB" w:rsidRPr="00690774" w:rsidRDefault="006A0BDB" w:rsidP="001D2CEB">
      <w:pPr>
        <w:pStyle w:val="SubItemLvl2"/>
      </w:pPr>
      <w:r w:rsidRPr="00690774">
        <w:t>(viii)</w:t>
      </w:r>
      <w:r w:rsidRPr="00690774">
        <w:tab/>
        <w:t>Raleigh;</w:t>
      </w:r>
    </w:p>
    <w:p w14:paraId="6B44F798" w14:textId="77777777" w:rsidR="006A0BDB" w:rsidRPr="00690774" w:rsidRDefault="006A0BDB" w:rsidP="001D2CEB">
      <w:pPr>
        <w:pStyle w:val="SubItemLvl2"/>
      </w:pPr>
      <w:r w:rsidRPr="00690774">
        <w:t>(ix)</w:t>
      </w:r>
      <w:r w:rsidRPr="00690774">
        <w:tab/>
        <w:t>Smithfield;</w:t>
      </w:r>
    </w:p>
    <w:p w14:paraId="4FDB7E26" w14:textId="77777777" w:rsidR="006A0BDB" w:rsidRPr="00690774" w:rsidRDefault="006A0BDB" w:rsidP="001D2CEB">
      <w:pPr>
        <w:pStyle w:val="SubItemLvl2"/>
      </w:pPr>
      <w:r w:rsidRPr="00690774">
        <w:t>(x)</w:t>
      </w:r>
      <w:r w:rsidRPr="00690774">
        <w:tab/>
        <w:t>Wilson;</w:t>
      </w:r>
    </w:p>
    <w:p w14:paraId="3283626E" w14:textId="77777777" w:rsidR="006A0BDB" w:rsidRPr="00690774" w:rsidRDefault="006A0BDB" w:rsidP="001D2CEB">
      <w:pPr>
        <w:pStyle w:val="SubItemLvl2"/>
      </w:pPr>
      <w:r w:rsidRPr="00690774">
        <w:t>(xi)</w:t>
      </w:r>
      <w:r w:rsidRPr="00690774">
        <w:tab/>
        <w:t>Durham County;</w:t>
      </w:r>
    </w:p>
    <w:p w14:paraId="7563DBA4" w14:textId="77777777" w:rsidR="006A0BDB" w:rsidRPr="00690774" w:rsidRDefault="006A0BDB" w:rsidP="001D2CEB">
      <w:pPr>
        <w:pStyle w:val="SubItemLvl2"/>
      </w:pPr>
      <w:r w:rsidRPr="00690774">
        <w:t>(xii)</w:t>
      </w:r>
      <w:r w:rsidRPr="00690774">
        <w:tab/>
        <w:t>Johnston County;</w:t>
      </w:r>
    </w:p>
    <w:p w14:paraId="12EE1FF0" w14:textId="77777777" w:rsidR="006A0BDB" w:rsidRPr="00690774" w:rsidRDefault="006A0BDB" w:rsidP="001D2CEB">
      <w:pPr>
        <w:pStyle w:val="SubItemLvl2"/>
      </w:pPr>
      <w:r w:rsidRPr="00690774">
        <w:t>(xiii)</w:t>
      </w:r>
      <w:r w:rsidRPr="00690774">
        <w:tab/>
        <w:t>Orange County;</w:t>
      </w:r>
    </w:p>
    <w:p w14:paraId="544BE951" w14:textId="77777777" w:rsidR="006A0BDB" w:rsidRPr="00690774" w:rsidRDefault="006A0BDB" w:rsidP="001D2CEB">
      <w:pPr>
        <w:pStyle w:val="SubItemLvl2"/>
      </w:pPr>
      <w:r w:rsidRPr="00690774">
        <w:t>(xiv)</w:t>
      </w:r>
      <w:r w:rsidRPr="00690774">
        <w:tab/>
        <w:t>Wake County; and</w:t>
      </w:r>
    </w:p>
    <w:p w14:paraId="7F42ABED" w14:textId="77777777" w:rsidR="006A0BDB" w:rsidRPr="00690774" w:rsidRDefault="006A0BDB" w:rsidP="001D2CEB">
      <w:pPr>
        <w:pStyle w:val="SubItemLvl2"/>
      </w:pPr>
      <w:r w:rsidRPr="00690774">
        <w:t>(xv)</w:t>
      </w:r>
      <w:r w:rsidRPr="00690774">
        <w:tab/>
        <w:t>Wayne County.</w:t>
      </w:r>
    </w:p>
    <w:p w14:paraId="3BCAABB1" w14:textId="77777777" w:rsidR="006A0BDB" w:rsidRPr="00690774" w:rsidRDefault="006A0BDB" w:rsidP="001D2CEB">
      <w:pPr>
        <w:pStyle w:val="SubItemLvl1"/>
        <w:tabs>
          <w:tab w:val="clear" w:pos="2520"/>
        </w:tabs>
      </w:pPr>
      <w:r w:rsidRPr="00690774">
        <w:t>(b)</w:t>
      </w:r>
      <w:r w:rsidRPr="00690774">
        <w:tab/>
        <w:t>The following additional local</w:t>
      </w:r>
      <w:r>
        <w:t xml:space="preserve"> </w:t>
      </w:r>
      <w:r w:rsidRPr="00690774">
        <w:t>governments as of the effective date of this readoption:</w:t>
      </w:r>
    </w:p>
    <w:p w14:paraId="6929843C" w14:textId="77777777" w:rsidR="006A0BDB" w:rsidRPr="00690774" w:rsidRDefault="006A0BDB" w:rsidP="001D2CEB">
      <w:pPr>
        <w:pStyle w:val="SubItemLvl2"/>
      </w:pPr>
      <w:r w:rsidRPr="00690774">
        <w:t>(i)</w:t>
      </w:r>
      <w:r w:rsidRPr="00690774">
        <w:tab/>
        <w:t>Apex;</w:t>
      </w:r>
    </w:p>
    <w:p w14:paraId="78C2D0F4" w14:textId="77777777" w:rsidR="006A0BDB" w:rsidRPr="00690774" w:rsidRDefault="006A0BDB" w:rsidP="001D2CEB">
      <w:pPr>
        <w:pStyle w:val="SubItemLvl2"/>
      </w:pPr>
      <w:r w:rsidRPr="00690774">
        <w:t>(ii)</w:t>
      </w:r>
      <w:r w:rsidRPr="00690774">
        <w:tab/>
        <w:t>Clayton;</w:t>
      </w:r>
    </w:p>
    <w:p w14:paraId="64D714B4" w14:textId="77777777" w:rsidR="006A0BDB" w:rsidRPr="00690774" w:rsidRDefault="006A0BDB" w:rsidP="001D2CEB">
      <w:pPr>
        <w:pStyle w:val="SubItemLvl2"/>
      </w:pPr>
      <w:r w:rsidRPr="00690774">
        <w:t>(iii)</w:t>
      </w:r>
      <w:r w:rsidRPr="00690774">
        <w:tab/>
        <w:t>Fuquay Varina;</w:t>
      </w:r>
    </w:p>
    <w:p w14:paraId="2A42252B" w14:textId="77777777" w:rsidR="006A0BDB" w:rsidRPr="00690774" w:rsidRDefault="006A0BDB" w:rsidP="001D2CEB">
      <w:pPr>
        <w:pStyle w:val="SubItemLvl2"/>
      </w:pPr>
      <w:r w:rsidRPr="00690774">
        <w:t>(iv)</w:t>
      </w:r>
      <w:r w:rsidRPr="00690774">
        <w:tab/>
        <w:t>Greenville;</w:t>
      </w:r>
    </w:p>
    <w:p w14:paraId="4698AC0D" w14:textId="77777777" w:rsidR="006A0BDB" w:rsidRPr="00690774" w:rsidRDefault="006A0BDB" w:rsidP="001D2CEB">
      <w:pPr>
        <w:pStyle w:val="SubItemLvl2"/>
      </w:pPr>
      <w:r w:rsidRPr="00690774">
        <w:t>(v)</w:t>
      </w:r>
      <w:r w:rsidRPr="00690774">
        <w:tab/>
        <w:t>Holly Springs;</w:t>
      </w:r>
    </w:p>
    <w:p w14:paraId="6A0D48DC" w14:textId="77777777" w:rsidR="006A0BDB" w:rsidRPr="00690774" w:rsidRDefault="006A0BDB" w:rsidP="001D2CEB">
      <w:pPr>
        <w:pStyle w:val="SubItemLvl2"/>
      </w:pPr>
      <w:r w:rsidRPr="00690774">
        <w:t>(vi)</w:t>
      </w:r>
      <w:r w:rsidRPr="00690774">
        <w:tab/>
        <w:t>Knightdale;</w:t>
      </w:r>
    </w:p>
    <w:p w14:paraId="1AB10D78" w14:textId="77777777" w:rsidR="006A0BDB" w:rsidRPr="00690774" w:rsidRDefault="006A0BDB" w:rsidP="001D2CEB">
      <w:pPr>
        <w:pStyle w:val="SubItemLvl2"/>
      </w:pPr>
      <w:r w:rsidRPr="00690774">
        <w:t>(vii)</w:t>
      </w:r>
      <w:r w:rsidRPr="00690774">
        <w:tab/>
        <w:t>Morrisville;</w:t>
      </w:r>
    </w:p>
    <w:p w14:paraId="155E7D80" w14:textId="77777777" w:rsidR="006A0BDB" w:rsidRPr="00690774" w:rsidRDefault="006A0BDB" w:rsidP="001D2CEB">
      <w:pPr>
        <w:pStyle w:val="SubItemLvl2"/>
      </w:pPr>
      <w:r w:rsidRPr="00690774">
        <w:t>(viii)</w:t>
      </w:r>
      <w:r w:rsidRPr="00690774">
        <w:tab/>
        <w:t>Rolesville;</w:t>
      </w:r>
    </w:p>
    <w:p w14:paraId="65016739" w14:textId="77777777" w:rsidR="006A0BDB" w:rsidRPr="00690774" w:rsidRDefault="006A0BDB" w:rsidP="001D2CEB">
      <w:pPr>
        <w:pStyle w:val="SubItemLvl2"/>
      </w:pPr>
      <w:r w:rsidRPr="00690774">
        <w:t>(viii)</w:t>
      </w:r>
      <w:r w:rsidRPr="00690774">
        <w:tab/>
        <w:t>Wake Forest;</w:t>
      </w:r>
    </w:p>
    <w:p w14:paraId="01E1D9BE" w14:textId="77777777" w:rsidR="006A0BDB" w:rsidRPr="00690774" w:rsidRDefault="006A0BDB" w:rsidP="001D2CEB">
      <w:pPr>
        <w:pStyle w:val="SubItemLvl2"/>
      </w:pPr>
      <w:r w:rsidRPr="00690774">
        <w:t>(ix)</w:t>
      </w:r>
      <w:r w:rsidRPr="00690774">
        <w:tab/>
        <w:t>Wendell;</w:t>
      </w:r>
    </w:p>
    <w:p w14:paraId="506AEDF1" w14:textId="77777777" w:rsidR="006A0BDB" w:rsidRPr="00690774" w:rsidRDefault="006A0BDB" w:rsidP="001D2CEB">
      <w:pPr>
        <w:pStyle w:val="SubItemLvl2"/>
      </w:pPr>
      <w:r w:rsidRPr="00690774">
        <w:t>(x)</w:t>
      </w:r>
      <w:r w:rsidRPr="00690774">
        <w:tab/>
        <w:t>Winterville;</w:t>
      </w:r>
    </w:p>
    <w:p w14:paraId="31371EEE" w14:textId="77777777" w:rsidR="006A0BDB" w:rsidRPr="00690774" w:rsidRDefault="006A0BDB" w:rsidP="001D2CEB">
      <w:pPr>
        <w:pStyle w:val="SubItemLvl2"/>
      </w:pPr>
      <w:r w:rsidRPr="00690774">
        <w:t>(xi)</w:t>
      </w:r>
      <w:r w:rsidRPr="00690774">
        <w:tab/>
        <w:t>Craven County;</w:t>
      </w:r>
    </w:p>
    <w:p w14:paraId="2AAA5BEA" w14:textId="77777777" w:rsidR="006A0BDB" w:rsidRPr="00690774" w:rsidRDefault="006A0BDB" w:rsidP="001D2CEB">
      <w:pPr>
        <w:pStyle w:val="SubItemLvl2"/>
      </w:pPr>
      <w:r w:rsidRPr="00690774">
        <w:t>(xii)</w:t>
      </w:r>
      <w:r w:rsidRPr="00690774">
        <w:tab/>
        <w:t>Nash</w:t>
      </w:r>
      <w:r>
        <w:t xml:space="preserve"> </w:t>
      </w:r>
      <w:r w:rsidRPr="00690774">
        <w:t>County;</w:t>
      </w:r>
    </w:p>
    <w:p w14:paraId="6494F679" w14:textId="77777777" w:rsidR="006A0BDB" w:rsidRPr="00690774" w:rsidRDefault="006A0BDB" w:rsidP="001D2CEB">
      <w:pPr>
        <w:pStyle w:val="SubItemLvl2"/>
      </w:pPr>
      <w:r w:rsidRPr="00690774">
        <w:t>(xiii)</w:t>
      </w:r>
      <w:r w:rsidRPr="00690774">
        <w:tab/>
        <w:t>Pitt County; and</w:t>
      </w:r>
    </w:p>
    <w:p w14:paraId="41C07153" w14:textId="77777777" w:rsidR="006A0BDB" w:rsidRPr="00690774" w:rsidRDefault="006A0BDB" w:rsidP="001D2CEB">
      <w:pPr>
        <w:pStyle w:val="SubItemLvl2"/>
      </w:pPr>
      <w:r w:rsidRPr="00690774">
        <w:t>(xiv)</w:t>
      </w:r>
      <w:r>
        <w:tab/>
      </w:r>
      <w:r w:rsidRPr="00690774">
        <w:t>Wilson County.</w:t>
      </w:r>
    </w:p>
    <w:p w14:paraId="0EC8502D" w14:textId="77777777" w:rsidR="006A0BDB" w:rsidRPr="00690774" w:rsidRDefault="006A0BDB" w:rsidP="001D2CEB">
      <w:pPr>
        <w:pStyle w:val="Item"/>
        <w:tabs>
          <w:tab w:val="clear" w:pos="1800"/>
        </w:tabs>
      </w:pPr>
      <w:r w:rsidRPr="00690774">
        <w:t>(3)</w:t>
      </w:r>
      <w:r>
        <w:tab/>
      </w:r>
      <w:r w:rsidRPr="00690774">
        <w:t>LOCAL PROGRAM IMPLEMENTATION REQUIREMENTS. All local governments subject to this</w:t>
      </w:r>
      <w:r>
        <w:t xml:space="preserve"> </w:t>
      </w:r>
      <w:r w:rsidRPr="00690774">
        <w:t>Rule shall implement stormwater management programs approved by the Commission</w:t>
      </w:r>
      <w:r>
        <w:t xml:space="preserve"> </w:t>
      </w:r>
      <w:r w:rsidRPr="00690774">
        <w:t xml:space="preserve">following the timeframes set out in Item (6) of this Rule, or any subsequent modifications to those plans approved by the Director, according to the following requirements and the standards contained in Item (5) of this Rule: </w:t>
      </w:r>
    </w:p>
    <w:p w14:paraId="35B88BB7" w14:textId="77777777" w:rsidR="006A0BDB" w:rsidRPr="00690774" w:rsidRDefault="006A0BDB" w:rsidP="001D2CEB">
      <w:pPr>
        <w:pStyle w:val="SubItemLvl1"/>
        <w:tabs>
          <w:tab w:val="clear" w:pos="2520"/>
        </w:tabs>
      </w:pPr>
      <w:r w:rsidRPr="00690774">
        <w:t>(a)</w:t>
      </w:r>
      <w:r w:rsidRPr="00690774">
        <w:tab/>
        <w:t>The requirement for local government approval of a stormwater plan for all proposed</w:t>
      </w:r>
      <w:r>
        <w:t xml:space="preserve"> </w:t>
      </w:r>
      <w:r w:rsidRPr="00690774">
        <w:t>development projects not excluded under Item (4) of this Rule. To the extent permitted by federal law, including 33 USC 26, and where pursuant to G.S. 153A-454 and G.S. 160A-459 a local government program does not review a development project proposed by a State or federal entity for the requirements of this Rule, the entity shall obtain Department review and approval.</w:t>
      </w:r>
    </w:p>
    <w:p w14:paraId="03D4BC42" w14:textId="77777777" w:rsidR="006A0BDB" w:rsidRPr="00690774" w:rsidRDefault="006A0BDB" w:rsidP="001D2CEB">
      <w:pPr>
        <w:pStyle w:val="SubItemLvl1"/>
        <w:tabs>
          <w:tab w:val="clear" w:pos="2520"/>
        </w:tabs>
      </w:pPr>
      <w:r w:rsidRPr="00690774">
        <w:t>(b)</w:t>
      </w:r>
      <w:r w:rsidRPr="00690774">
        <w:tab/>
        <w:t>A plan to ensure maintenance of</w:t>
      </w:r>
      <w:r>
        <w:t xml:space="preserve"> </w:t>
      </w:r>
      <w:r w:rsidRPr="00690774">
        <w:t>SCMs implemented to comply with this Rule for the life of the development;</w:t>
      </w:r>
    </w:p>
    <w:p w14:paraId="1346DC1D" w14:textId="77777777" w:rsidR="006A0BDB" w:rsidRPr="00690774" w:rsidRDefault="006A0BDB" w:rsidP="001D2CEB">
      <w:pPr>
        <w:pStyle w:val="SubItemLvl1"/>
        <w:tabs>
          <w:tab w:val="clear" w:pos="2520"/>
        </w:tabs>
      </w:pPr>
      <w:r w:rsidRPr="00690774">
        <w:t>(c)</w:t>
      </w:r>
      <w:r w:rsidRPr="00690774">
        <w:tab/>
        <w:t>A plan to ensure enforcement and compliance with the provisions in Item (5) of this Rule for the life of the development;</w:t>
      </w:r>
    </w:p>
    <w:p w14:paraId="2076F77D" w14:textId="77777777" w:rsidR="006A0BDB" w:rsidRPr="00690774" w:rsidRDefault="006A0BDB" w:rsidP="001D2CEB">
      <w:pPr>
        <w:pStyle w:val="SubItemLvl1"/>
        <w:tabs>
          <w:tab w:val="clear" w:pos="2520"/>
        </w:tabs>
      </w:pPr>
      <w:r w:rsidRPr="00690774">
        <w:lastRenderedPageBreak/>
        <w:t>(d)</w:t>
      </w:r>
      <w:r w:rsidRPr="00690774">
        <w:tab/>
        <w:t>A public education program to inform citizens how to reduce nutrient pollution and to inform developers about the nutrient requirements set forth in Item (5) of this Rule;</w:t>
      </w:r>
    </w:p>
    <w:p w14:paraId="0F013DAC" w14:textId="77777777" w:rsidR="006A0BDB" w:rsidRPr="00690774" w:rsidRDefault="006A0BDB" w:rsidP="001D2CEB">
      <w:pPr>
        <w:pStyle w:val="SubItemLvl1"/>
        <w:tabs>
          <w:tab w:val="clear" w:pos="2520"/>
        </w:tabs>
      </w:pPr>
      <w:r w:rsidRPr="00690774">
        <w:t>(e)</w:t>
      </w:r>
      <w:r w:rsidRPr="00690774">
        <w:tab/>
        <w:t>A mapping program that includes major components of the municipal separate storm sewer system, waters of the State, land use types, and location of sanitary sewers; and</w:t>
      </w:r>
    </w:p>
    <w:p w14:paraId="3DA798FF" w14:textId="77777777" w:rsidR="006A0BDB" w:rsidRPr="00690774" w:rsidRDefault="006A0BDB" w:rsidP="001D2CEB">
      <w:pPr>
        <w:pStyle w:val="SubItemLvl1"/>
        <w:tabs>
          <w:tab w:val="clear" w:pos="2520"/>
        </w:tabs>
      </w:pPr>
      <w:r w:rsidRPr="00690774">
        <w:t>(f)</w:t>
      </w:r>
      <w:r w:rsidRPr="00690774">
        <w:tab/>
        <w:t>A program to identify and remove illegal discharges.</w:t>
      </w:r>
    </w:p>
    <w:p w14:paraId="61A53A3D" w14:textId="77777777" w:rsidR="006A0BDB" w:rsidRPr="00690774" w:rsidRDefault="006A0BDB" w:rsidP="001D2CEB">
      <w:pPr>
        <w:pStyle w:val="Item"/>
        <w:tabs>
          <w:tab w:val="clear" w:pos="1800"/>
        </w:tabs>
      </w:pPr>
      <w:r w:rsidRPr="00690774">
        <w:t>(4)</w:t>
      </w:r>
      <w:r w:rsidRPr="00690774">
        <w:tab/>
        <w:t>DEVELOPMENT EXCLUDED. The following development activities shall not be subject to this Rule:</w:t>
      </w:r>
    </w:p>
    <w:p w14:paraId="1AB81A91" w14:textId="77777777" w:rsidR="006A0BDB" w:rsidRPr="00690774" w:rsidRDefault="006A0BDB" w:rsidP="001D2CEB">
      <w:pPr>
        <w:pStyle w:val="SubItemLvl1"/>
        <w:tabs>
          <w:tab w:val="clear" w:pos="2520"/>
        </w:tabs>
      </w:pPr>
      <w:r w:rsidRPr="00690774">
        <w:t>(a)</w:t>
      </w:r>
      <w:r w:rsidRPr="00690774">
        <w:tab/>
        <w:t>Projects disturbing less than:</w:t>
      </w:r>
    </w:p>
    <w:p w14:paraId="23DFEF70" w14:textId="77777777" w:rsidR="006A0BDB" w:rsidRPr="00690774" w:rsidRDefault="006A0BDB" w:rsidP="001D2CEB">
      <w:pPr>
        <w:pStyle w:val="SubItemLvl2"/>
        <w:tabs>
          <w:tab w:val="clear" w:pos="3240"/>
        </w:tabs>
      </w:pPr>
      <w:r w:rsidRPr="00690774">
        <w:t>(i)</w:t>
      </w:r>
      <w:r w:rsidRPr="00690774">
        <w:tab/>
        <w:t>one acre for single family and duplex residential property and recreational facilities; and</w:t>
      </w:r>
    </w:p>
    <w:p w14:paraId="60F16F75" w14:textId="77777777" w:rsidR="006A0BDB" w:rsidRPr="00690774" w:rsidRDefault="006A0BDB" w:rsidP="001D2CEB">
      <w:pPr>
        <w:pStyle w:val="SubItemLvl2"/>
        <w:tabs>
          <w:tab w:val="clear" w:pos="3240"/>
        </w:tabs>
      </w:pPr>
      <w:r w:rsidRPr="00690774">
        <w:t>(ii)</w:t>
      </w:r>
      <w:r w:rsidRPr="00690774">
        <w:tab/>
        <w:t>one-half acre for commercial, industrial, institutional, multifamily residential, or local government land uses with the following exception: Projects below one-half acre that would replace or expand existing structures on a parcel, resulting in a cumulative built-upon area for the parcel exceeding twenty-four percent, shall be subject to Item (5) of this Rule;</w:t>
      </w:r>
    </w:p>
    <w:p w14:paraId="294DB831" w14:textId="77777777" w:rsidR="006A0BDB" w:rsidRPr="00690774" w:rsidRDefault="006A0BDB" w:rsidP="001D2CEB">
      <w:pPr>
        <w:pStyle w:val="SubItemLvl1"/>
        <w:tabs>
          <w:tab w:val="clear" w:pos="2520"/>
        </w:tabs>
      </w:pPr>
      <w:r w:rsidRPr="00690774">
        <w:t>(b)</w:t>
      </w:r>
      <w:r w:rsidRPr="00690774">
        <w:tab/>
        <w:t>Development of an individual single-family or duplex residential lot that:</w:t>
      </w:r>
    </w:p>
    <w:p w14:paraId="259FFDBA" w14:textId="77777777" w:rsidR="006A0BDB" w:rsidRPr="00690774" w:rsidRDefault="006A0BDB" w:rsidP="001D2CEB">
      <w:pPr>
        <w:pStyle w:val="SubItemLvl2"/>
        <w:tabs>
          <w:tab w:val="clear" w:pos="3240"/>
        </w:tabs>
      </w:pPr>
      <w:r w:rsidRPr="00690774">
        <w:t>(i)</w:t>
      </w:r>
      <w:r w:rsidRPr="00690774">
        <w:tab/>
        <w:t>Is not part of a larger common plan of development or sale as defined in 15A NCAC 02H .1002; and</w:t>
      </w:r>
    </w:p>
    <w:p w14:paraId="05D59ED1" w14:textId="77777777" w:rsidR="006A0BDB" w:rsidRPr="00690774" w:rsidRDefault="006A0BDB" w:rsidP="001D2CEB">
      <w:pPr>
        <w:pStyle w:val="SubItemLvl2"/>
      </w:pPr>
      <w:r w:rsidRPr="00690774">
        <w:t>(ii)</w:t>
      </w:r>
      <w:r w:rsidRPr="00690774">
        <w:tab/>
        <w:t>Does not result in greater than five percent built upon area on the lot;</w:t>
      </w:r>
    </w:p>
    <w:p w14:paraId="6F3A6E05" w14:textId="77777777" w:rsidR="006A0BDB" w:rsidRPr="00690774" w:rsidRDefault="006A0BDB" w:rsidP="001D2CEB">
      <w:pPr>
        <w:pStyle w:val="SubItemLvl1"/>
        <w:tabs>
          <w:tab w:val="clear" w:pos="2520"/>
        </w:tabs>
      </w:pPr>
      <w:r w:rsidRPr="00690774">
        <w:t>(c)</w:t>
      </w:r>
      <w:r w:rsidRPr="00690774">
        <w:tab/>
        <w:t>Projects subject to requirements of the Falls Nutrient Strategy New Development Stormwater rule, 15A NCAC 02B .0277;</w:t>
      </w:r>
    </w:p>
    <w:p w14:paraId="2F9BBB91" w14:textId="77777777" w:rsidR="006A0BDB" w:rsidRPr="00690774" w:rsidRDefault="006A0BDB" w:rsidP="001D2CEB">
      <w:pPr>
        <w:pStyle w:val="SubItemLvl1"/>
        <w:tabs>
          <w:tab w:val="clear" w:pos="2520"/>
        </w:tabs>
      </w:pPr>
      <w:r w:rsidRPr="00690774">
        <w:t>(d)</w:t>
      </w:r>
      <w:r w:rsidRPr="00690774">
        <w:tab/>
        <w:t>Existing development as defined in 15A NCAC 02H .1002;</w:t>
      </w:r>
    </w:p>
    <w:p w14:paraId="047765FF" w14:textId="77777777" w:rsidR="006A0BDB" w:rsidRPr="00690774" w:rsidRDefault="006A0BDB" w:rsidP="001D2CEB">
      <w:pPr>
        <w:pStyle w:val="SubItemLvl1"/>
        <w:tabs>
          <w:tab w:val="clear" w:pos="2520"/>
        </w:tabs>
      </w:pPr>
      <w:r w:rsidRPr="00690774">
        <w:t>(e)</w:t>
      </w:r>
      <w:r w:rsidRPr="00690774">
        <w:tab/>
        <w:t>Redevelopment as defined in G.S. 143-214.7(a1)(2); and</w:t>
      </w:r>
    </w:p>
    <w:p w14:paraId="7390A394" w14:textId="77777777" w:rsidR="006A0BDB" w:rsidRPr="00690774" w:rsidRDefault="006A0BDB" w:rsidP="001D2CEB">
      <w:pPr>
        <w:pStyle w:val="SubItemLvl1"/>
        <w:tabs>
          <w:tab w:val="clear" w:pos="2520"/>
        </w:tabs>
      </w:pPr>
      <w:r w:rsidRPr="00690774">
        <w:t>(f)</w:t>
      </w:r>
      <w:r w:rsidRPr="00690774">
        <w:tab/>
        <w:t>Activities subject to requirements of the Neuse Agriculture rule, 15A NCAC 02B .0712.</w:t>
      </w:r>
    </w:p>
    <w:p w14:paraId="0EE04A99" w14:textId="77777777" w:rsidR="006A0BDB" w:rsidRPr="00690774" w:rsidRDefault="006A0BDB" w:rsidP="001D2CEB">
      <w:pPr>
        <w:pStyle w:val="Item"/>
        <w:tabs>
          <w:tab w:val="clear" w:pos="1800"/>
        </w:tabs>
      </w:pPr>
      <w:r w:rsidRPr="00690774">
        <w:t>(5)</w:t>
      </w:r>
      <w:r w:rsidRPr="00690774">
        <w:tab/>
        <w:t xml:space="preserve">DEVELOPMENT PROJECT REQUIREMENTS. A proposed development project not excluded under Item (4) of this Rule shall be approved by a subject local government </w:t>
      </w:r>
      <w:r w:rsidRPr="00690774">
        <w:t>for the purpose of this Rule when the applicable requirements of Item</w:t>
      </w:r>
      <w:r>
        <w:t xml:space="preserve"> </w:t>
      </w:r>
      <w:r w:rsidRPr="00690774">
        <w:t>(3) of this Rule and the following criteria are met.</w:t>
      </w:r>
    </w:p>
    <w:p w14:paraId="4D9A7D5D" w14:textId="77777777" w:rsidR="006A0BDB" w:rsidRPr="00690774" w:rsidRDefault="006A0BDB" w:rsidP="001D2CEB">
      <w:pPr>
        <w:pStyle w:val="SubItemLvl1"/>
        <w:tabs>
          <w:tab w:val="clear" w:pos="2520"/>
        </w:tabs>
      </w:pPr>
      <w:r w:rsidRPr="00690774">
        <w:t>(a)</w:t>
      </w:r>
      <w:r w:rsidRPr="00690774">
        <w:tab/>
        <w:t>The</w:t>
      </w:r>
      <w:r>
        <w:t xml:space="preserve"> </w:t>
      </w:r>
      <w:r w:rsidRPr="00690774">
        <w:t>project, as defined in State stormwater rule 15A NCAC 02H .1002, shall meet either a nitrogen loading rate target of 3.6 pounds/acre/year or "runoff volume match" as defined in</w:t>
      </w:r>
      <w:r>
        <w:t xml:space="preserve"> </w:t>
      </w:r>
      <w:bookmarkStart w:id="8" w:name="_Hlk19617822"/>
      <w:r w:rsidRPr="00690774">
        <w:t xml:space="preserve">that Rule. Proposed development projects that would replace or expand existing structures and result in a net increase in built-upon area shall meet one of these options for the project less any existing built-upon area. </w:t>
      </w:r>
      <w:bookmarkEnd w:id="8"/>
    </w:p>
    <w:p w14:paraId="3AC831F3" w14:textId="77777777" w:rsidR="006A0BDB" w:rsidRPr="00690774" w:rsidRDefault="006A0BDB" w:rsidP="001D2CEB">
      <w:pPr>
        <w:pStyle w:val="SubItemLvl1"/>
        <w:tabs>
          <w:tab w:val="clear" w:pos="2520"/>
        </w:tabs>
      </w:pPr>
      <w:r w:rsidRPr="00690774">
        <w:t>(b)</w:t>
      </w:r>
      <w:r w:rsidRPr="00690774">
        <w:tab/>
        <w:t>Regarding stormwater treatment and other onsite post-construction elements, projects not subject to more stringent standards under one of the following State stormwater rules or a local ordinance shall meet 15A NCAC 02H .1003, which includes specifications for low- and high-density designs, vegetated setbacks, and stormwater outlets for all projects. Such projects shall use a high-density treatment threshold of twenty four percent or greater built-upon area and a storm depth of one inch for SCM design:</w:t>
      </w:r>
    </w:p>
    <w:p w14:paraId="2D3116F6" w14:textId="77777777" w:rsidR="006A0BDB" w:rsidRPr="00690774" w:rsidRDefault="006A0BDB" w:rsidP="001D2CEB">
      <w:pPr>
        <w:pStyle w:val="SubItemLvl2"/>
      </w:pPr>
      <w:r w:rsidRPr="00690774">
        <w:t>(i)</w:t>
      </w:r>
      <w:r w:rsidRPr="00690774">
        <w:tab/>
        <w:t>Water Supply Watershed Protection rules, 15A NCAC 02B .0620 through .0624;</w:t>
      </w:r>
    </w:p>
    <w:p w14:paraId="4F4AB37B" w14:textId="77777777" w:rsidR="006A0BDB" w:rsidRPr="00690774" w:rsidRDefault="006A0BDB" w:rsidP="001D2CEB">
      <w:pPr>
        <w:pStyle w:val="SubItemLvl2"/>
      </w:pPr>
      <w:r w:rsidRPr="00690774">
        <w:t>(ii)</w:t>
      </w:r>
      <w:r w:rsidRPr="00690774">
        <w:tab/>
        <w:t>Coastal Counties stormwater rule 15A NCAC 02H .1019; or</w:t>
      </w:r>
    </w:p>
    <w:p w14:paraId="7FD466E6" w14:textId="77777777" w:rsidR="006A0BDB" w:rsidRPr="00690774" w:rsidRDefault="006A0BDB" w:rsidP="001D2CEB">
      <w:pPr>
        <w:pStyle w:val="SubItemLvl2"/>
      </w:pPr>
      <w:r w:rsidRPr="00690774">
        <w:t>(iii)</w:t>
      </w:r>
      <w:r w:rsidRPr="00690774">
        <w:tab/>
        <w:t>Non-Coastal County HWQs and ORWs rule 15A NCAC 02H .1021.</w:t>
      </w:r>
    </w:p>
    <w:p w14:paraId="127C7101" w14:textId="77777777" w:rsidR="006A0BDB" w:rsidRPr="00690774" w:rsidRDefault="006A0BDB" w:rsidP="001D2CEB">
      <w:pPr>
        <w:pStyle w:val="SubItemLvl1"/>
        <w:tabs>
          <w:tab w:val="clear" w:pos="2520"/>
        </w:tabs>
      </w:pPr>
      <w:r w:rsidRPr="00690774">
        <w:t>(c)</w:t>
      </w:r>
      <w:r w:rsidRPr="00690774">
        <w:tab/>
        <w:t>The following are exceptions to the onsite requirements of Sub-Item (b) of this Item:</w:t>
      </w:r>
    </w:p>
    <w:p w14:paraId="4B07F91F" w14:textId="77777777" w:rsidR="006A0BDB" w:rsidRPr="00690774" w:rsidRDefault="006A0BDB" w:rsidP="001D2CEB">
      <w:pPr>
        <w:pStyle w:val="SubItemLvl2"/>
      </w:pPr>
      <w:r w:rsidRPr="00690774">
        <w:t>(i)</w:t>
      </w:r>
      <w:r w:rsidRPr="00690774">
        <w:tab/>
        <w:t>Proposed development projects may utilize an offsite SCM that is dedicated to treating an area encompassing the project, provided the SCM is designed to meet all applicable requirements identified in Sub-Item (b) of this Item; and</w:t>
      </w:r>
    </w:p>
    <w:p w14:paraId="0BECF83A" w14:textId="77777777" w:rsidR="006A0BDB" w:rsidRPr="00690774" w:rsidRDefault="006A0BDB" w:rsidP="001D2CEB">
      <w:pPr>
        <w:pStyle w:val="SubItemLvl2"/>
      </w:pPr>
      <w:r w:rsidRPr="00690774">
        <w:t>(ii)</w:t>
      </w:r>
      <w:r w:rsidRPr="00690774">
        <w:tab/>
        <w:t xml:space="preserve">Proposed development undertaken by a local government solely as a public road expansion or public sidewalk project, or proposed development subject to the jurisdiction of the Surface </w:t>
      </w:r>
      <w:r w:rsidRPr="00690774">
        <w:lastRenderedPageBreak/>
        <w:t>Transportation Board, may meet the loading rate target of this Item entirely through use of permanent nutrient offset credit pursuant to Rule .0703 of this Section.</w:t>
      </w:r>
    </w:p>
    <w:p w14:paraId="1CFB7402" w14:textId="77777777" w:rsidR="006A0BDB" w:rsidRPr="00690774" w:rsidRDefault="006A0BDB" w:rsidP="001D2CEB">
      <w:pPr>
        <w:pStyle w:val="SubItemLvl1"/>
        <w:tabs>
          <w:tab w:val="clear" w:pos="2520"/>
        </w:tabs>
      </w:pPr>
      <w:r w:rsidRPr="00690774">
        <w:t>(d)</w:t>
      </w:r>
      <w:r w:rsidRPr="00690774">
        <w:tab/>
        <w:t>Where in satisfying the onsite requirements of Sub-Item (b) of this Item, a project does not meet the loading rate target of this Item, it may do so through use of permanent nutrient offset credit pursuant to Rule .0703 of this Section. Persons doing so shall provide proof of credit acquisition to the permitting authority prior to approval of the development plan.</w:t>
      </w:r>
    </w:p>
    <w:p w14:paraId="759E2745" w14:textId="77777777" w:rsidR="006A0BDB" w:rsidRPr="00690774" w:rsidRDefault="006A0BDB" w:rsidP="001D2CEB">
      <w:pPr>
        <w:pStyle w:val="SubItemLvl1"/>
        <w:tabs>
          <w:tab w:val="clear" w:pos="2520"/>
        </w:tabs>
      </w:pPr>
      <w:r w:rsidRPr="00690774">
        <w:t>(e)</w:t>
      </w:r>
      <w:r>
        <w:tab/>
      </w:r>
      <w:r w:rsidRPr="00690774">
        <w:t>Untreated nutrient loading rates from the project area shall be determined through the use of the tool most recently approved by the Division to have met the following criteria, or through an alternative method that meets or exceeds the following criteria,</w:t>
      </w:r>
      <w:r>
        <w:t xml:space="preserve"> </w:t>
      </w:r>
      <w:r w:rsidRPr="00690774">
        <w:t>as determined by the Division:</w:t>
      </w:r>
    </w:p>
    <w:p w14:paraId="4F558B42" w14:textId="77777777" w:rsidR="006A0BDB" w:rsidRPr="00690774" w:rsidRDefault="006A0BDB" w:rsidP="001D2CEB">
      <w:pPr>
        <w:pStyle w:val="SubItemLvl2"/>
      </w:pPr>
      <w:r w:rsidRPr="00690774">
        <w:t>(i)</w:t>
      </w:r>
      <w:r w:rsidRPr="00690774">
        <w:tab/>
        <w:t>Provides</w:t>
      </w:r>
      <w:r>
        <w:t xml:space="preserve"> </w:t>
      </w:r>
      <w:r w:rsidRPr="00690774">
        <w:t>site-scale estimates of annual precipitation-driven total nitrogen</w:t>
      </w:r>
      <w:r>
        <w:t xml:space="preserve"> </w:t>
      </w:r>
      <w:r w:rsidRPr="00690774">
        <w:t>load;</w:t>
      </w:r>
    </w:p>
    <w:p w14:paraId="1FCC534C" w14:textId="77777777" w:rsidR="006A0BDB" w:rsidRPr="00690774" w:rsidRDefault="006A0BDB" w:rsidP="001D2CEB">
      <w:pPr>
        <w:pStyle w:val="SubItemLvl2"/>
      </w:pPr>
      <w:r w:rsidRPr="00690774">
        <w:t>(ii)</w:t>
      </w:r>
      <w:r w:rsidRPr="00690774">
        <w:tab/>
        <w:t>From all land cover types on a project site at build-out;</w:t>
      </w:r>
    </w:p>
    <w:p w14:paraId="7CA448CC" w14:textId="77777777" w:rsidR="006A0BDB" w:rsidRPr="00690774" w:rsidRDefault="006A0BDB" w:rsidP="001D2CEB">
      <w:pPr>
        <w:pStyle w:val="SubItemLvl2"/>
      </w:pPr>
      <w:r w:rsidRPr="00690774">
        <w:t>(iii)</w:t>
      </w:r>
      <w:r w:rsidRPr="00690774">
        <w:tab/>
        <w:t>Based on land-cover-specific nitrogen and phosphorus loading coefficients and annual runoff volume; and</w:t>
      </w:r>
    </w:p>
    <w:p w14:paraId="4589B12C" w14:textId="77777777" w:rsidR="006A0BDB" w:rsidRPr="00690774" w:rsidRDefault="006A0BDB" w:rsidP="001D2CEB">
      <w:pPr>
        <w:pStyle w:val="SubItemLvl2"/>
      </w:pPr>
      <w:r w:rsidRPr="00690774">
        <w:t>(iv)</w:t>
      </w:r>
      <w:r w:rsidRPr="00690774">
        <w:tab/>
        <w:t>Is supported by the weight of evidence from available, current, and applicable research.</w:t>
      </w:r>
    </w:p>
    <w:p w14:paraId="4E5EB096" w14:textId="77777777" w:rsidR="006A0BDB" w:rsidRPr="00690774" w:rsidRDefault="006A0BDB" w:rsidP="001D2CEB">
      <w:pPr>
        <w:pStyle w:val="SubItemLvl1"/>
        <w:tabs>
          <w:tab w:val="clear" w:pos="2520"/>
        </w:tabs>
      </w:pPr>
      <w:r w:rsidRPr="00690774">
        <w:t>(f)</w:t>
      </w:r>
      <w:r>
        <w:tab/>
      </w:r>
      <w:r w:rsidRPr="00690774">
        <w:t>Nutrient loading rate reductions resulting from the use of SCMs shall be determined through the use of the tool most recently approved by the Division to have met the following criteria, or through an alternative method that meets or exceeds the following criteria,</w:t>
      </w:r>
      <w:r>
        <w:t xml:space="preserve"> </w:t>
      </w:r>
      <w:r w:rsidRPr="00690774">
        <w:t>as determined by the Division:</w:t>
      </w:r>
    </w:p>
    <w:p w14:paraId="21A94EE6" w14:textId="77777777" w:rsidR="006A0BDB" w:rsidRPr="00690774" w:rsidRDefault="006A0BDB" w:rsidP="001D2CEB">
      <w:pPr>
        <w:pStyle w:val="SubItemLvl2"/>
        <w:tabs>
          <w:tab w:val="clear" w:pos="3240"/>
        </w:tabs>
      </w:pPr>
      <w:r w:rsidRPr="00690774">
        <w:t>(i)</w:t>
      </w:r>
      <w:r w:rsidRPr="00690774">
        <w:tab/>
        <w:t>Provides project site loading reduction estimates from the installation of</w:t>
      </w:r>
      <w:r>
        <w:t xml:space="preserve"> </w:t>
      </w:r>
      <w:r w:rsidRPr="00690774">
        <w:t>Department of Energy, Mineral and Land Resources (DEMLR) approved SCMs;</w:t>
      </w:r>
    </w:p>
    <w:p w14:paraId="77449050" w14:textId="77777777" w:rsidR="006A0BDB" w:rsidRPr="00690774" w:rsidRDefault="006A0BDB" w:rsidP="001D2CEB">
      <w:pPr>
        <w:pStyle w:val="SubItemLvl2"/>
        <w:tabs>
          <w:tab w:val="clear" w:pos="3240"/>
        </w:tabs>
      </w:pPr>
      <w:r w:rsidRPr="00690774">
        <w:t>(ii)</w:t>
      </w:r>
      <w:r w:rsidRPr="00690774">
        <w:tab/>
        <w:t>Reductions apply to the portion of the</w:t>
      </w:r>
      <w:r>
        <w:t xml:space="preserve"> </w:t>
      </w:r>
      <w:r w:rsidRPr="00690774">
        <w:t>project's runoff volume that is directed to the SCMs;</w:t>
      </w:r>
    </w:p>
    <w:p w14:paraId="1C614733" w14:textId="77777777" w:rsidR="006A0BDB" w:rsidRPr="00690774" w:rsidRDefault="006A0BDB" w:rsidP="001D2CEB">
      <w:pPr>
        <w:pStyle w:val="SubItemLvl2"/>
        <w:tabs>
          <w:tab w:val="clear" w:pos="3240"/>
        </w:tabs>
      </w:pPr>
      <w:r w:rsidRPr="00690774">
        <w:t>(iii)</w:t>
      </w:r>
      <w:r w:rsidRPr="00690774">
        <w:tab/>
        <w:t xml:space="preserve">The method partitions the runoff volume processed by </w:t>
      </w:r>
      <w:r w:rsidRPr="00690774">
        <w:t>the SCM among hydrologic fates and assigns nutrient concentrations to each of those fates; and</w:t>
      </w:r>
    </w:p>
    <w:p w14:paraId="5AF52600" w14:textId="77777777" w:rsidR="006A0BDB" w:rsidRPr="00690774" w:rsidRDefault="006A0BDB" w:rsidP="001D2CEB">
      <w:pPr>
        <w:pStyle w:val="SubItemLvl2"/>
        <w:tabs>
          <w:tab w:val="clear" w:pos="3240"/>
        </w:tabs>
      </w:pPr>
      <w:r w:rsidRPr="00690774">
        <w:t>(iv)</w:t>
      </w:r>
      <w:r w:rsidRPr="00690774">
        <w:tab/>
        <w:t>The method is supported by the weight of evidence from available, current, and applicable research.</w:t>
      </w:r>
    </w:p>
    <w:p w14:paraId="09BFA9DE" w14:textId="77777777" w:rsidR="006A0BDB" w:rsidRPr="00690774" w:rsidRDefault="006A0BDB" w:rsidP="001D2CEB">
      <w:pPr>
        <w:pStyle w:val="SubItemLvl1"/>
        <w:tabs>
          <w:tab w:val="clear" w:pos="2520"/>
        </w:tabs>
      </w:pPr>
      <w:r w:rsidRPr="00690774">
        <w:t>(g)</w:t>
      </w:r>
      <w:r>
        <w:tab/>
      </w:r>
      <w:r w:rsidRPr="00690774">
        <w:t>Proposed development projects shall demonstrate compliance with the riparian buffer protection requirements set forth in 15A NCAC 02B .0233.</w:t>
      </w:r>
    </w:p>
    <w:p w14:paraId="18E4514A" w14:textId="77777777" w:rsidR="006A0BDB" w:rsidRPr="00690774" w:rsidRDefault="006A0BDB" w:rsidP="001D2CEB">
      <w:pPr>
        <w:pStyle w:val="Item"/>
        <w:tabs>
          <w:tab w:val="clear" w:pos="1800"/>
        </w:tabs>
      </w:pPr>
      <w:r w:rsidRPr="00690774">
        <w:t>(6)</w:t>
      </w:r>
      <w:r w:rsidRPr="00690774">
        <w:tab/>
        <w:t>RULE IMPLEMENTATION</w:t>
      </w:r>
    </w:p>
    <w:p w14:paraId="0A0F3ABC" w14:textId="77777777" w:rsidR="006A0BDB" w:rsidRPr="00690774" w:rsidRDefault="006A0BDB" w:rsidP="001D2CEB">
      <w:pPr>
        <w:pStyle w:val="SubItemLvl1"/>
        <w:tabs>
          <w:tab w:val="clear" w:pos="2520"/>
        </w:tabs>
      </w:pPr>
      <w:r w:rsidRPr="00690774">
        <w:t>(a)</w:t>
      </w:r>
      <w:r w:rsidRPr="00690774">
        <w:tab/>
        <w:t>Within</w:t>
      </w:r>
      <w:r>
        <w:t xml:space="preserve"> </w:t>
      </w:r>
      <w:r w:rsidRPr="00690774">
        <w:t>eight months of the effective date of this Rule, the Division shall submit a model local stormwater program embodying the elements in Items</w:t>
      </w:r>
      <w:r>
        <w:t xml:space="preserve"> </w:t>
      </w:r>
      <w:r w:rsidRPr="00690774">
        <w:t>(3) through (5) of this Rule to the Commission for approval. The Division shall work</w:t>
      </w:r>
      <w:r>
        <w:t xml:space="preserve"> </w:t>
      </w:r>
      <w:r w:rsidRPr="00690774">
        <w:t>with subject local governments in developing this model program.</w:t>
      </w:r>
    </w:p>
    <w:p w14:paraId="054CF047" w14:textId="77777777" w:rsidR="006A0BDB" w:rsidRPr="00690774" w:rsidRDefault="006A0BDB" w:rsidP="001D2CEB">
      <w:pPr>
        <w:pStyle w:val="SubItemLvl1"/>
        <w:tabs>
          <w:tab w:val="clear" w:pos="2520"/>
        </w:tabs>
      </w:pPr>
      <w:r w:rsidRPr="00690774">
        <w:t>(b)</w:t>
      </w:r>
      <w:r w:rsidRPr="00690774">
        <w:tab/>
        <w:t>Local governments designated</w:t>
      </w:r>
      <w:r>
        <w:t xml:space="preserve"> </w:t>
      </w:r>
      <w:r w:rsidRPr="00690774">
        <w:t>pursuant to Sub-Item (2)(a) of this Rule and additional local governments designated</w:t>
      </w:r>
      <w:r>
        <w:t xml:space="preserve"> </w:t>
      </w:r>
      <w:r w:rsidRPr="00690774">
        <w:t>pursuant to Sub-Item (2)(b) of this Rule shall submit a local stormwater program for approval by the Commission within six months and 12 months, respectively, of the Commission's approval of the model local program. These local programs shall meet or exceed the requirements in Items</w:t>
      </w:r>
      <w:r>
        <w:t xml:space="preserve"> </w:t>
      </w:r>
      <w:r w:rsidRPr="00690774">
        <w:t>(3) through (5) of this Rule.</w:t>
      </w:r>
    </w:p>
    <w:p w14:paraId="73AA8D2F" w14:textId="77777777" w:rsidR="006A0BDB" w:rsidRPr="00690774" w:rsidRDefault="006A0BDB" w:rsidP="001D2CEB">
      <w:pPr>
        <w:pStyle w:val="SubItemLvl1"/>
        <w:tabs>
          <w:tab w:val="clear" w:pos="2520"/>
        </w:tabs>
      </w:pPr>
      <w:r w:rsidRPr="00690774">
        <w:t>(c)</w:t>
      </w:r>
      <w:r w:rsidRPr="00690774">
        <w:tab/>
        <w:t>The Division shall provide recommendations to the Commission regarding proposed local programs. The Commission shall approve programs or require changes based on the standards set out in Items</w:t>
      </w:r>
      <w:r>
        <w:t xml:space="preserve"> </w:t>
      </w:r>
      <w:r w:rsidRPr="00690774">
        <w:t>(3) through (5) of this Rule. Should the Commission require changes, the applicable local government shall have three months to submit revisions, and the Division shall provide follow-up recommendations to the Commission within two months after receiving</w:t>
      </w:r>
      <w:r>
        <w:t xml:space="preserve"> </w:t>
      </w:r>
      <w:r w:rsidRPr="00690774">
        <w:t>revisions.</w:t>
      </w:r>
    </w:p>
    <w:p w14:paraId="70F74985" w14:textId="77777777" w:rsidR="006A0BDB" w:rsidRPr="00690774" w:rsidRDefault="006A0BDB" w:rsidP="001D2CEB">
      <w:pPr>
        <w:pStyle w:val="SubItemLvl1"/>
        <w:tabs>
          <w:tab w:val="clear" w:pos="2520"/>
        </w:tabs>
      </w:pPr>
      <w:r w:rsidRPr="00690774">
        <w:t>(d)</w:t>
      </w:r>
      <w:r w:rsidRPr="00690774">
        <w:tab/>
        <w:t>Within six months after the Commission's approval of a local program, the</w:t>
      </w:r>
      <w:r>
        <w:t xml:space="preserve"> </w:t>
      </w:r>
      <w:r w:rsidRPr="00690774">
        <w:t>local government shall complete adoption of and implement its local stormwater program.</w:t>
      </w:r>
    </w:p>
    <w:p w14:paraId="59CC607C" w14:textId="77777777" w:rsidR="006A0BDB" w:rsidRPr="00690774" w:rsidRDefault="006A0BDB" w:rsidP="001D2CEB">
      <w:pPr>
        <w:pStyle w:val="SubItemLvl1"/>
        <w:tabs>
          <w:tab w:val="clear" w:pos="2520"/>
        </w:tabs>
      </w:pPr>
      <w:r w:rsidRPr="00690774">
        <w:t>(e)</w:t>
      </w:r>
      <w:r w:rsidRPr="00690774">
        <w:tab/>
        <w:t xml:space="preserve">Local governments administering a stormwater program shall submit annual reports in electronic format to the Division documenting their progress regarding each </w:t>
      </w:r>
      <w:r w:rsidRPr="00690774">
        <w:lastRenderedPageBreak/>
        <w:t>implementation requirement in Item</w:t>
      </w:r>
      <w:r>
        <w:t xml:space="preserve"> </w:t>
      </w:r>
      <w:r w:rsidRPr="00690774">
        <w:t>(3) of this Rule and net changes to nitrogen load by October 30</w:t>
      </w:r>
      <w:r w:rsidRPr="00690774">
        <w:rPr>
          <w:vertAlign w:val="superscript"/>
        </w:rPr>
        <w:t>th</w:t>
      </w:r>
      <w:r w:rsidRPr="00690774">
        <w:t xml:space="preserve"> of each year. Annual reports shall also include as appendices all data utilized by nutrient calculation tools for each development stormwater plan approved in accordance with this Rule.</w:t>
      </w:r>
    </w:p>
    <w:p w14:paraId="109E67EA" w14:textId="77777777" w:rsidR="006A0BDB" w:rsidRPr="00690774" w:rsidRDefault="006A0BDB" w:rsidP="001D2CEB">
      <w:pPr>
        <w:pStyle w:val="SubItemLvl1"/>
        <w:tabs>
          <w:tab w:val="clear" w:pos="2520"/>
        </w:tabs>
      </w:pPr>
      <w:r w:rsidRPr="00690774">
        <w:t>(f)</w:t>
      </w:r>
      <w:r w:rsidRPr="00690774">
        <w:tab/>
        <w:t>Any significant modifications to a local program</w:t>
      </w:r>
      <w:r>
        <w:t xml:space="preserve"> </w:t>
      </w:r>
      <w:r w:rsidRPr="00690774">
        <w:t>following its approval pursuant to the requirements of this</w:t>
      </w:r>
      <w:r>
        <w:t xml:space="preserve"> </w:t>
      </w:r>
      <w:r w:rsidRPr="00690774">
        <w:t>Item shall be submitted to the Director for approval.</w:t>
      </w:r>
    </w:p>
    <w:p w14:paraId="280540F2" w14:textId="77777777" w:rsidR="006A0BDB" w:rsidRPr="00690774" w:rsidRDefault="006A0BDB" w:rsidP="001D2CEB">
      <w:pPr>
        <w:pStyle w:val="Item"/>
        <w:tabs>
          <w:tab w:val="clear" w:pos="1800"/>
        </w:tabs>
      </w:pPr>
      <w:r w:rsidRPr="00690774">
        <w:t>(7)</w:t>
      </w:r>
      <w:r w:rsidRPr="00690774">
        <w:tab/>
        <w:t>COMPLIANCE. A local government's authority to approve</w:t>
      </w:r>
      <w:r>
        <w:t xml:space="preserve"> </w:t>
      </w:r>
      <w:r w:rsidRPr="00690774">
        <w:t>development stormwater plans for compliance with this Rule pursuant to Item (5) of this Rule shall be contingent upon maintaining its own compliance with this Rule. A local government that fails to submit an acceptable local stormwater program within the timeframe established in this Rule, fails to implement an approved program, or fails to comply with annual reporting requirements shall be in violation of this Rule.</w:t>
      </w:r>
    </w:p>
    <w:p w14:paraId="6C993B95" w14:textId="77777777" w:rsidR="006A0BDB" w:rsidRPr="00690774" w:rsidRDefault="006A0BDB" w:rsidP="001D2CEB">
      <w:pPr>
        <w:pStyle w:val="Base"/>
      </w:pPr>
    </w:p>
    <w:p w14:paraId="4D8FC1C2" w14:textId="77777777" w:rsidR="006A0BDB" w:rsidRPr="00690774" w:rsidRDefault="006A0BDB" w:rsidP="001D2CEB">
      <w:pPr>
        <w:pStyle w:val="History"/>
      </w:pPr>
      <w:r w:rsidRPr="00690774">
        <w:t>History Note:</w:t>
      </w:r>
      <w:r w:rsidRPr="00690774">
        <w:tab/>
        <w:t xml:space="preserve">Authority G.S. 143-214.1; 143-214.7; 143-214.26; 143-215.1; 143-215.3(a)(1); </w:t>
      </w:r>
      <w:bookmarkStart w:id="9" w:name="_Hlk15291920"/>
      <w:r w:rsidRPr="00690774">
        <w:t xml:space="preserve">143-215.8B; </w:t>
      </w:r>
      <w:bookmarkEnd w:id="9"/>
      <w:r w:rsidRPr="00690774">
        <w:t>143B-282; S.L. 1995, c. 572</w:t>
      </w:r>
      <w:r>
        <w:t>;</w:t>
      </w:r>
      <w:r w:rsidRPr="00690774">
        <w:t xml:space="preserve"> </w:t>
      </w:r>
    </w:p>
    <w:p w14:paraId="1F09086B" w14:textId="77777777" w:rsidR="006A0BDB" w:rsidRPr="00690774" w:rsidRDefault="006A0BDB" w:rsidP="001D2CEB">
      <w:pPr>
        <w:pStyle w:val="HistoryAfter"/>
      </w:pPr>
      <w:r w:rsidRPr="00690774">
        <w:t>Eff. August 1, 1998;</w:t>
      </w:r>
    </w:p>
    <w:p w14:paraId="3894BBA6" w14:textId="77777777" w:rsidR="006A0BDB" w:rsidRPr="00690774" w:rsidRDefault="006A0BDB" w:rsidP="001D2CEB">
      <w:pPr>
        <w:pStyle w:val="HistoryAfter"/>
      </w:pPr>
      <w:r w:rsidRPr="00690774">
        <w:t>Amended Eff. January 15, 2011 (this permanent rule replaces the temporary rule approved by the RRC on December 16, 2010)</w:t>
      </w:r>
      <w:r>
        <w:t>;</w:t>
      </w:r>
    </w:p>
    <w:bookmarkEnd w:id="7"/>
    <w:p w14:paraId="3CEFB3C9" w14:textId="77777777" w:rsidR="006A0BDB" w:rsidRPr="00690774" w:rsidRDefault="006A0BDB" w:rsidP="001D2CEB">
      <w:pPr>
        <w:pStyle w:val="HistoryAfter"/>
      </w:pPr>
      <w:r w:rsidRPr="00690774">
        <w:t xml:space="preserve">Readopted </w:t>
      </w:r>
      <w:r>
        <w:t>Pending Delayed Eff. Date</w:t>
      </w:r>
      <w:r w:rsidRPr="00690774">
        <w:t>.</w:t>
      </w:r>
    </w:p>
    <w:p w14:paraId="52D0EFC0" w14:textId="77777777" w:rsidR="006A0BDB" w:rsidRPr="00690774" w:rsidRDefault="006A0BDB" w:rsidP="001D2CEB">
      <w:pPr>
        <w:pStyle w:val="Base"/>
      </w:pPr>
    </w:p>
    <w:p w14:paraId="348A6866" w14:textId="77777777" w:rsidR="006A0BDB" w:rsidRPr="00915B7C" w:rsidRDefault="006A0BDB" w:rsidP="001D2CEB">
      <w:pPr>
        <w:pStyle w:val="Rule"/>
      </w:pPr>
      <w:r w:rsidRPr="00915B7C">
        <w:t>15A NCAC 02B</w:t>
      </w:r>
      <w:r>
        <w:t xml:space="preserve"> </w:t>
      </w:r>
      <w:r w:rsidRPr="00C35E16">
        <w:rPr>
          <w:strike/>
        </w:rPr>
        <w:t>.0238</w:t>
      </w:r>
      <w:r>
        <w:t xml:space="preserve"> </w:t>
      </w:r>
      <w:r w:rsidRPr="008933C0">
        <w:rPr>
          <w:u w:val="single"/>
        </w:rPr>
        <w:t>.0712</w:t>
      </w:r>
      <w:r w:rsidRPr="00915B7C">
        <w:tab/>
        <w:t>NEUSE NUTRIENT STRATEGY: AGRICULTURE</w:t>
      </w:r>
    </w:p>
    <w:p w14:paraId="3CD3EE1E" w14:textId="77777777" w:rsidR="006A0BDB" w:rsidRPr="00915B7C" w:rsidRDefault="006A0BDB" w:rsidP="001D2CEB">
      <w:pPr>
        <w:pStyle w:val="Paragraph"/>
      </w:pPr>
      <w:r w:rsidRPr="00915B7C">
        <w:t>This Rule sets forth a process by which agricultural operations in the Neuse River Basin will collectively limit their nitrogen loading to the Neuse estuary, as</w:t>
      </w:r>
      <w:r>
        <w:t xml:space="preserve"> </w:t>
      </w:r>
      <w:r w:rsidRPr="00915B7C">
        <w:t>set forth in in Rule .0710 of this Section. Nothing in this</w:t>
      </w:r>
      <w:r>
        <w:t xml:space="preserve"> </w:t>
      </w:r>
      <w:r w:rsidRPr="00915B7C">
        <w:t>Rule preempts the requirements of 15A NCAC 02B .0280 for agricultural operations subject to the Falls Reservoir Nutrient Strategy.</w:t>
      </w:r>
    </w:p>
    <w:p w14:paraId="2962BF4E" w14:textId="77777777" w:rsidR="006A0BDB" w:rsidRPr="00915B7C" w:rsidRDefault="006A0BDB" w:rsidP="001D2CEB">
      <w:pPr>
        <w:pStyle w:val="Item"/>
        <w:tabs>
          <w:tab w:val="clear" w:pos="1800"/>
        </w:tabs>
        <w:rPr>
          <w:snapToGrid w:val="0"/>
        </w:rPr>
      </w:pPr>
      <w:r w:rsidRPr="00915B7C">
        <w:t>(1)</w:t>
      </w:r>
      <w:r w:rsidRPr="00915B7C">
        <w:tab/>
        <w:t xml:space="preserve">PURPOSE. </w:t>
      </w:r>
      <w:r w:rsidRPr="00915B7C">
        <w:rPr>
          <w:snapToGrid w:val="0"/>
        </w:rPr>
        <w:t>The purpose of this Rule is to maintain or exceed the percentage reduction goal defined in Rule</w:t>
      </w:r>
      <w:r w:rsidRPr="00915B7C">
        <w:t xml:space="preserve"> .0710 of this Section on th</w:t>
      </w:r>
      <w:r w:rsidRPr="00915B7C">
        <w:rPr>
          <w:snapToGrid w:val="0"/>
        </w:rPr>
        <w:t>e collective loss of nitrogen from</w:t>
      </w:r>
      <w:r>
        <w:rPr>
          <w:snapToGrid w:val="0"/>
        </w:rPr>
        <w:t xml:space="preserve"> </w:t>
      </w:r>
      <w:r w:rsidRPr="00915B7C">
        <w:t>agricultural operations as</w:t>
      </w:r>
      <w:r>
        <w:t xml:space="preserve"> </w:t>
      </w:r>
      <w:r w:rsidRPr="00915B7C">
        <w:t xml:space="preserve">defined in Item (2) of this Rule, </w:t>
      </w:r>
      <w:r w:rsidRPr="00915B7C">
        <w:rPr>
          <w:snapToGrid w:val="0"/>
        </w:rPr>
        <w:t>as estimated by best available accounting</w:t>
      </w:r>
      <w:r>
        <w:rPr>
          <w:snapToGrid w:val="0"/>
        </w:rPr>
        <w:t xml:space="preserve"> </w:t>
      </w:r>
      <w:r w:rsidRPr="00915B7C">
        <w:t>practices</w:t>
      </w:r>
      <w:r w:rsidRPr="00915B7C">
        <w:rPr>
          <w:snapToGrid w:val="0"/>
        </w:rPr>
        <w:t xml:space="preserve"> meeting the criteria set forth in Item (6) of this Rule from its 1991-1995 baseline level.</w:t>
      </w:r>
    </w:p>
    <w:p w14:paraId="4C51D4F9" w14:textId="77777777" w:rsidR="006A0BDB" w:rsidRPr="00915B7C" w:rsidRDefault="006A0BDB" w:rsidP="001D2CEB">
      <w:pPr>
        <w:pStyle w:val="SubItemLvl1"/>
        <w:tabs>
          <w:tab w:val="clear" w:pos="2520"/>
        </w:tabs>
      </w:pPr>
      <w:r w:rsidRPr="00915B7C">
        <w:t>(a)</w:t>
      </w:r>
      <w:r w:rsidRPr="00915B7C">
        <w:tab/>
        <w:t>PROCESS. This Rule requires</w:t>
      </w:r>
      <w:r>
        <w:t xml:space="preserve"> </w:t>
      </w:r>
      <w:r w:rsidRPr="00915B7C">
        <w:t>agricultural producers in the Basin to implement land management practices that collectively, on a</w:t>
      </w:r>
      <w:r>
        <w:t xml:space="preserve"> </w:t>
      </w:r>
      <w:r w:rsidRPr="00915B7C">
        <w:t>basin-wide basis, will achieve the nutrient goals.</w:t>
      </w:r>
    </w:p>
    <w:p w14:paraId="7A6432CA" w14:textId="77777777" w:rsidR="006A0BDB" w:rsidRPr="00915B7C" w:rsidRDefault="006A0BDB" w:rsidP="001D2CEB">
      <w:pPr>
        <w:pStyle w:val="SubItemLvl1"/>
        <w:tabs>
          <w:tab w:val="clear" w:pos="2520"/>
        </w:tabs>
      </w:pPr>
      <w:r w:rsidRPr="00915B7C">
        <w:t>(b)</w:t>
      </w:r>
      <w:r w:rsidRPr="00915B7C">
        <w:tab/>
        <w:t xml:space="preserve">LIMITATION. This Rule may not fully address the agricultural nitrogen reduction goal of the Neuse Nutrient Sensitive Waters Strategy in that it </w:t>
      </w:r>
      <w:r w:rsidRPr="00915B7C">
        <w:t xml:space="preserve">does not address atmospheric sources of nitrogen to the Basin, including atmospheric emissions of ammonia from sources located both within and outside of the Basin, and the Commission may undertake separate rule making to address atmospheric sources at a later date. </w:t>
      </w:r>
    </w:p>
    <w:p w14:paraId="70FD6385" w14:textId="77777777" w:rsidR="006A0BDB" w:rsidRPr="00915B7C" w:rsidRDefault="006A0BDB" w:rsidP="001D2CEB">
      <w:pPr>
        <w:pStyle w:val="Item"/>
        <w:tabs>
          <w:tab w:val="clear" w:pos="1800"/>
        </w:tabs>
      </w:pPr>
      <w:r w:rsidRPr="00915B7C">
        <w:t>(2)</w:t>
      </w:r>
      <w:r w:rsidRPr="00915B7C">
        <w:tab/>
        <w:t>AGRICULTURAL OPERATIONS DEFINED. For the purposes of this Rule, "agricultural operations," are activities, and "agricultural producers" are persons engaging in those activities, that relate to any of the following pursuits:</w:t>
      </w:r>
    </w:p>
    <w:p w14:paraId="43DFD423" w14:textId="77777777" w:rsidR="006A0BDB" w:rsidRPr="00915B7C" w:rsidRDefault="006A0BDB" w:rsidP="001D2CEB">
      <w:pPr>
        <w:pStyle w:val="SubItemLvl1"/>
        <w:tabs>
          <w:tab w:val="clear" w:pos="2520"/>
        </w:tabs>
      </w:pPr>
      <w:r w:rsidRPr="00915B7C">
        <w:t>(a)</w:t>
      </w:r>
      <w:r w:rsidRPr="00915B7C">
        <w:tab/>
        <w:t>The commercial production of crops or horticultural products other than trees. As used in this Rule, "commercial" shall mean activities conducted primarily for financial profit.</w:t>
      </w:r>
    </w:p>
    <w:p w14:paraId="7CDA0F10" w14:textId="77777777" w:rsidR="006A0BDB" w:rsidRPr="00915B7C" w:rsidRDefault="006A0BDB" w:rsidP="001D2CEB">
      <w:pPr>
        <w:pStyle w:val="SubItemLvl1"/>
        <w:tabs>
          <w:tab w:val="clear" w:pos="2520"/>
        </w:tabs>
      </w:pPr>
      <w:r w:rsidRPr="00915B7C">
        <w:t>(b)</w:t>
      </w:r>
      <w:r w:rsidRPr="00915B7C">
        <w:tab/>
        <w:t>Research activities in support of commercial production.</w:t>
      </w:r>
    </w:p>
    <w:p w14:paraId="5480DC89" w14:textId="77777777" w:rsidR="006A0BDB" w:rsidRPr="00915B7C" w:rsidRDefault="006A0BDB" w:rsidP="001D2CEB">
      <w:pPr>
        <w:pStyle w:val="SubItemLvl1"/>
        <w:tabs>
          <w:tab w:val="clear" w:pos="2520"/>
        </w:tabs>
      </w:pPr>
      <w:r w:rsidRPr="00915B7C">
        <w:t>(c)</w:t>
      </w:r>
      <w:r w:rsidRPr="00915B7C">
        <w:tab/>
        <w:t>The production or management of any of the following number of livestock or poultry at any time, excluding nursing young:</w:t>
      </w:r>
    </w:p>
    <w:p w14:paraId="6E995A32" w14:textId="77777777" w:rsidR="006A0BDB" w:rsidRPr="00915B7C" w:rsidRDefault="006A0BDB" w:rsidP="001D2CEB">
      <w:pPr>
        <w:pStyle w:val="SubItemLvl2"/>
      </w:pPr>
      <w:r w:rsidRPr="00915B7C">
        <w:t>(i)</w:t>
      </w:r>
      <w:r w:rsidRPr="00915B7C">
        <w:tab/>
        <w:t>5 or more horses;</w:t>
      </w:r>
    </w:p>
    <w:p w14:paraId="0C26159F" w14:textId="77777777" w:rsidR="006A0BDB" w:rsidRPr="00915B7C" w:rsidRDefault="006A0BDB" w:rsidP="001D2CEB">
      <w:pPr>
        <w:pStyle w:val="SubItemLvl2"/>
      </w:pPr>
      <w:r w:rsidRPr="00915B7C">
        <w:t>(ii)</w:t>
      </w:r>
      <w:r w:rsidRPr="00915B7C">
        <w:tab/>
        <w:t>20 or more cattle;</w:t>
      </w:r>
    </w:p>
    <w:p w14:paraId="2C182624" w14:textId="77777777" w:rsidR="006A0BDB" w:rsidRPr="00915B7C" w:rsidRDefault="006A0BDB" w:rsidP="001D2CEB">
      <w:pPr>
        <w:pStyle w:val="SubItemLvl2"/>
      </w:pPr>
      <w:r w:rsidRPr="00915B7C">
        <w:t>(iii)</w:t>
      </w:r>
      <w:r w:rsidRPr="00915B7C">
        <w:tab/>
        <w:t>20 or more swine not kept in a feedlot, or 150 or more swine kept in a feedlot;</w:t>
      </w:r>
    </w:p>
    <w:p w14:paraId="357C0174" w14:textId="77777777" w:rsidR="006A0BDB" w:rsidRPr="00915B7C" w:rsidRDefault="006A0BDB" w:rsidP="001D2CEB">
      <w:pPr>
        <w:pStyle w:val="SubItemLvl2"/>
      </w:pPr>
      <w:r w:rsidRPr="00915B7C">
        <w:t>(iv)</w:t>
      </w:r>
      <w:r w:rsidRPr="00915B7C">
        <w:tab/>
        <w:t>120 or more sheep;</w:t>
      </w:r>
    </w:p>
    <w:p w14:paraId="715098D4" w14:textId="77777777" w:rsidR="006A0BDB" w:rsidRPr="00915B7C" w:rsidRDefault="006A0BDB" w:rsidP="001D2CEB">
      <w:pPr>
        <w:pStyle w:val="SubItemLvl2"/>
      </w:pPr>
      <w:r w:rsidRPr="00915B7C">
        <w:t>(v)</w:t>
      </w:r>
      <w:r w:rsidRPr="00915B7C">
        <w:tab/>
        <w:t>130 or more goats;</w:t>
      </w:r>
    </w:p>
    <w:p w14:paraId="3C03E71D" w14:textId="77777777" w:rsidR="006A0BDB" w:rsidRPr="00915B7C" w:rsidRDefault="006A0BDB" w:rsidP="001D2CEB">
      <w:pPr>
        <w:pStyle w:val="SubItemLvl2"/>
      </w:pPr>
      <w:r w:rsidRPr="00915B7C">
        <w:t>(vi)</w:t>
      </w:r>
      <w:r w:rsidRPr="00915B7C">
        <w:tab/>
        <w:t>650 or more turkeys;</w:t>
      </w:r>
    </w:p>
    <w:p w14:paraId="7CC6252A" w14:textId="77777777" w:rsidR="006A0BDB" w:rsidRPr="00915B7C" w:rsidRDefault="006A0BDB" w:rsidP="001D2CEB">
      <w:pPr>
        <w:pStyle w:val="SubItemLvl2"/>
      </w:pPr>
      <w:r w:rsidRPr="00915B7C">
        <w:t>(vii)</w:t>
      </w:r>
      <w:r w:rsidRPr="00915B7C">
        <w:tab/>
        <w:t>3,500 or more chickens; or</w:t>
      </w:r>
    </w:p>
    <w:p w14:paraId="588CB019" w14:textId="77777777" w:rsidR="006A0BDB" w:rsidRPr="00915B7C" w:rsidRDefault="006A0BDB" w:rsidP="001D2CEB">
      <w:pPr>
        <w:pStyle w:val="SubItemLvl2"/>
        <w:tabs>
          <w:tab w:val="clear" w:pos="3240"/>
        </w:tabs>
      </w:pPr>
      <w:r w:rsidRPr="00915B7C">
        <w:t>(viii)</w:t>
      </w:r>
      <w:r w:rsidRPr="00915B7C">
        <w:tab/>
        <w:t>Any single species of any other livestock or poultry, or any combination of species of livestock or poultry that exceeds 20,000 pounds of live weight at any time.</w:t>
      </w:r>
    </w:p>
    <w:p w14:paraId="284C8208" w14:textId="77777777" w:rsidR="006A0BDB" w:rsidRDefault="006A0BDB" w:rsidP="001D2CEB">
      <w:pPr>
        <w:pStyle w:val="Item"/>
        <w:tabs>
          <w:tab w:val="clear" w:pos="1800"/>
        </w:tabs>
      </w:pPr>
      <w:r w:rsidRPr="00915B7C">
        <w:t>(3)</w:t>
      </w:r>
      <w:r>
        <w:tab/>
      </w:r>
      <w:r w:rsidRPr="00915B7C">
        <w:t>APPLICABILITY. This Rule shall apply to all</w:t>
      </w:r>
      <w:r>
        <w:t xml:space="preserve"> </w:t>
      </w:r>
      <w:r w:rsidRPr="00915B7C">
        <w:t>agricultural producers engaging in agricultural</w:t>
      </w:r>
      <w:r>
        <w:t xml:space="preserve"> </w:t>
      </w:r>
      <w:r w:rsidRPr="00915B7C">
        <w:t>operations in the geographic area subject to the Neuse nutrient strategy as described in Rule .0710 of this Section. This Rule applies to livestock and poultry operations</w:t>
      </w:r>
      <w:r>
        <w:t xml:space="preserve"> </w:t>
      </w:r>
      <w:r w:rsidRPr="00915B7C">
        <w:t xml:space="preserve">set forth in Sub-Item (2)(c) of this Rule in addition to requirements for animal operations set forth in general permits issued pursuant to G.S. 143-215.10C. Nothing in this Rule shall be deemed to allow the violation of any assigned surface water, groundwater, or air quality standard by any agricultural operation, including any livestock or poultry operation below the size thresholds in this Item. </w:t>
      </w:r>
    </w:p>
    <w:p w14:paraId="1A25234F" w14:textId="77777777" w:rsidR="006A0BDB" w:rsidRPr="00915B7C" w:rsidRDefault="006A0BDB" w:rsidP="001D2CEB">
      <w:pPr>
        <w:pStyle w:val="Item"/>
        <w:tabs>
          <w:tab w:val="clear" w:pos="1800"/>
        </w:tabs>
      </w:pPr>
      <w:r w:rsidRPr="00915B7C">
        <w:t>(4)</w:t>
      </w:r>
      <w:r>
        <w:tab/>
      </w:r>
      <w:r w:rsidRPr="00915B7C">
        <w:t>IMPLEMENTATION PROCESS.</w:t>
      </w:r>
      <w:r>
        <w:t xml:space="preserve"> </w:t>
      </w:r>
      <w:r w:rsidRPr="00915B7C">
        <w:t xml:space="preserve">A Basin Oversight Committee, as set forth in Item (5) of this Rule, and county-level Local Advisory </w:t>
      </w:r>
      <w:r w:rsidRPr="00915B7C">
        <w:lastRenderedPageBreak/>
        <w:t>Committees, as set forth in Item (7) of this Rule, shall coordinate activities and account for progress.</w:t>
      </w:r>
      <w:r>
        <w:t xml:space="preserve"> </w:t>
      </w:r>
      <w:r w:rsidRPr="00915B7C">
        <w:t>Accounting for nitrogen load-reducing actions on</w:t>
      </w:r>
      <w:r>
        <w:t xml:space="preserve"> </w:t>
      </w:r>
      <w:r w:rsidRPr="00915B7C">
        <w:t>agricultural operations within the basin shall follow requirements set forth in Item</w:t>
      </w:r>
      <w:r>
        <w:t xml:space="preserve"> </w:t>
      </w:r>
      <w:r w:rsidRPr="00915B7C">
        <w:t>(6) of this Rule. Agricultural</w:t>
      </w:r>
      <w:r>
        <w:t xml:space="preserve"> </w:t>
      </w:r>
      <w:r w:rsidRPr="00915B7C">
        <w:t>producers may be eligible to obtain cost share and technical assistance from the NC Agriculture Cost Share Program and similar federal programs to contribute to their counties' ongoing nitrogen reductions. Committee activity shall be guided by the following:</w:t>
      </w:r>
    </w:p>
    <w:p w14:paraId="1DC83C3B" w14:textId="77777777" w:rsidR="006A0BDB" w:rsidRPr="00915B7C" w:rsidRDefault="006A0BDB" w:rsidP="001D2CEB">
      <w:pPr>
        <w:pStyle w:val="SubItemLvl1"/>
        <w:tabs>
          <w:tab w:val="clear" w:pos="2520"/>
        </w:tabs>
      </w:pPr>
      <w:r w:rsidRPr="00915B7C">
        <w:t>(a)</w:t>
      </w:r>
      <w:r w:rsidRPr="00915B7C">
        <w:tab/>
        <w:t>OPTIONS FOR INDIVIDUAL OPERATIONS.</w:t>
      </w:r>
      <w:r>
        <w:t xml:space="preserve"> </w:t>
      </w:r>
      <w:r w:rsidRPr="00915B7C">
        <w:t>Agricultural producers subject to this Rule may elect to implement practices meeting the standards identified in Item</w:t>
      </w:r>
      <w:r>
        <w:t xml:space="preserve"> </w:t>
      </w:r>
      <w:r w:rsidRPr="00915B7C">
        <w:t>(8) of this Rule that contribute to maintenance of collective local compliance with the goal identified in Item (1) of this Rule, but are not required to implement any specific practices provided their basin collectively maintains compliance with the goal.</w:t>
      </w:r>
    </w:p>
    <w:p w14:paraId="25BB758F" w14:textId="77777777" w:rsidR="006A0BDB" w:rsidRPr="00915B7C" w:rsidRDefault="006A0BDB" w:rsidP="001D2CEB">
      <w:pPr>
        <w:pStyle w:val="SubItemLvl1"/>
        <w:tabs>
          <w:tab w:val="clear" w:pos="2520"/>
        </w:tabs>
      </w:pPr>
      <w:r w:rsidRPr="00915B7C">
        <w:t>(b)</w:t>
      </w:r>
      <w:r w:rsidRPr="00915B7C">
        <w:tab/>
        <w:t>MAINTENANCE OF GOAL. Accounting shall annually demonstrate maintenance or exceedence of the nitrogen reduction goal on a basin basis. Where three sequential annual reports show that the</w:t>
      </w:r>
      <w:r>
        <w:t xml:space="preserve"> </w:t>
      </w:r>
      <w:r w:rsidRPr="00915B7C">
        <w:t>basin did not meet its nitrogen reduction goal, the Basin Oversight Committee shall work with the Division of Soil and Water Conservation and Local Advisory</w:t>
      </w:r>
      <w:r>
        <w:t xml:space="preserve"> </w:t>
      </w:r>
      <w:r w:rsidRPr="00915B7C">
        <w:t>Committees, particularly those representing counties not meeting the goals, to seek reduction actions by operations to bring agriculture collectively back into compliance, and shall report on their efforts in subsequent annual reports. Should subsequent annual reports not reverse the trend of noncompliance, the Commission may conduct additional rulemaking to</w:t>
      </w:r>
      <w:r>
        <w:t xml:space="preserve"> </w:t>
      </w:r>
      <w:r w:rsidRPr="00915B7C">
        <w:t>require a more specific implementation plan from the Basin Oversight Committee, which may include an assessment of need for specific action by the Commission.</w:t>
      </w:r>
    </w:p>
    <w:p w14:paraId="2399A56D" w14:textId="77777777" w:rsidR="006A0BDB" w:rsidRPr="00915B7C" w:rsidRDefault="006A0BDB" w:rsidP="001D2CEB">
      <w:pPr>
        <w:pStyle w:val="Item"/>
        <w:tabs>
          <w:tab w:val="clear" w:pos="1800"/>
        </w:tabs>
      </w:pPr>
      <w:r w:rsidRPr="00915B7C">
        <w:t>(5)</w:t>
      </w:r>
      <w:r w:rsidRPr="00915B7C">
        <w:tab/>
        <w:t>BASIN OVERSIGHT COMMITTEE. The Basin Oversight Committee shall have the following membership,</w:t>
      </w:r>
      <w:r>
        <w:t xml:space="preserve"> </w:t>
      </w:r>
      <w:r w:rsidRPr="00915B7C">
        <w:t xml:space="preserve">role, and responsibilities: </w:t>
      </w:r>
    </w:p>
    <w:p w14:paraId="586BFC18" w14:textId="77777777" w:rsidR="006A0BDB" w:rsidRPr="00915B7C" w:rsidRDefault="006A0BDB" w:rsidP="001D2CEB">
      <w:pPr>
        <w:pStyle w:val="SubItemLvl1"/>
        <w:tabs>
          <w:tab w:val="clear" w:pos="2520"/>
        </w:tabs>
      </w:pPr>
      <w:r w:rsidRPr="00915B7C">
        <w:t>(a)</w:t>
      </w:r>
      <w:r w:rsidRPr="00915B7C">
        <w:tab/>
        <w:t xml:space="preserve">MEMBERSHIP. The Director of the Division of Water Resources shall be responsible for maintaining the following membership composition. </w:t>
      </w:r>
      <w:r w:rsidRPr="00915B7C">
        <w:t>Until such time as the Commission determines that long-term compliance with this</w:t>
      </w:r>
      <w:r>
        <w:t xml:space="preserve"> </w:t>
      </w:r>
      <w:r w:rsidRPr="00915B7C">
        <w:t>Rule is assured, the Director shall solicit one nomination for membership on this Committee from each agency or interest in Sub-Items (a)(i) through (a)(viii) of this Item. The Director shall confirm nominees in writing or request alternative nominations. The Director may appoint a replacement at any time for an interest in Sub-Items (a)(vi) through (a)(viii) of this Item</w:t>
      </w:r>
      <w:r>
        <w:t xml:space="preserve"> </w:t>
      </w:r>
      <w:r w:rsidRPr="00915B7C">
        <w:t>upon request of representatives of that interest or by the request of the Commissioner of</w:t>
      </w:r>
      <w:r>
        <w:t xml:space="preserve"> </w:t>
      </w:r>
      <w:r w:rsidRPr="00915B7C">
        <w:t>Agriculture for Sub-Item (vii):</w:t>
      </w:r>
    </w:p>
    <w:p w14:paraId="41B31915" w14:textId="77777777" w:rsidR="006A0BDB" w:rsidRPr="00915B7C" w:rsidRDefault="006A0BDB" w:rsidP="001D2CEB">
      <w:pPr>
        <w:pStyle w:val="SubItemLvl2"/>
      </w:pPr>
      <w:r w:rsidRPr="00915B7C">
        <w:t>(i)</w:t>
      </w:r>
      <w:r w:rsidRPr="00915B7C">
        <w:tab/>
        <w:t>Division of Soil and Water</w:t>
      </w:r>
      <w:r>
        <w:t xml:space="preserve"> </w:t>
      </w:r>
      <w:r w:rsidRPr="00915B7C">
        <w:t>Conservation;</w:t>
      </w:r>
    </w:p>
    <w:p w14:paraId="0ED617D8" w14:textId="77777777" w:rsidR="006A0BDB" w:rsidRPr="00915B7C" w:rsidRDefault="006A0BDB" w:rsidP="001D2CEB">
      <w:pPr>
        <w:pStyle w:val="SubItemLvl2"/>
      </w:pPr>
      <w:r w:rsidRPr="00915B7C">
        <w:t>(ii)</w:t>
      </w:r>
      <w:r w:rsidRPr="00915B7C">
        <w:tab/>
        <w:t>United States Department of Agriculture- Natural Resources Conservation Service (shall serve in an "ex-officio" non-voting capacity and shall function as a technical program advisor to the</w:t>
      </w:r>
      <w:r>
        <w:t xml:space="preserve"> </w:t>
      </w:r>
      <w:r w:rsidRPr="00915B7C">
        <w:t>Committee);</w:t>
      </w:r>
    </w:p>
    <w:p w14:paraId="465D6B72" w14:textId="77777777" w:rsidR="006A0BDB" w:rsidRPr="00915B7C" w:rsidRDefault="006A0BDB" w:rsidP="001D2CEB">
      <w:pPr>
        <w:pStyle w:val="SubItemLvl2"/>
      </w:pPr>
      <w:r w:rsidRPr="00915B7C">
        <w:t>(iii)</w:t>
      </w:r>
      <w:r w:rsidRPr="00915B7C">
        <w:tab/>
        <w:t>North Carolina Department of Agriculture and Consumer</w:t>
      </w:r>
      <w:r>
        <w:t xml:space="preserve"> </w:t>
      </w:r>
      <w:r w:rsidRPr="00915B7C">
        <w:t>Services;</w:t>
      </w:r>
    </w:p>
    <w:p w14:paraId="08EFD42D" w14:textId="77777777" w:rsidR="006A0BDB" w:rsidRPr="00915B7C" w:rsidRDefault="006A0BDB" w:rsidP="001D2CEB">
      <w:pPr>
        <w:pStyle w:val="SubItemLvl2"/>
      </w:pPr>
      <w:r w:rsidRPr="00915B7C">
        <w:t>(iv)</w:t>
      </w:r>
      <w:r w:rsidRPr="00915B7C">
        <w:tab/>
        <w:t>North Carolina Cooperative Extension</w:t>
      </w:r>
      <w:r>
        <w:t xml:space="preserve"> </w:t>
      </w:r>
      <w:r w:rsidRPr="00915B7C">
        <w:t xml:space="preserve">Service; </w:t>
      </w:r>
    </w:p>
    <w:p w14:paraId="73AB7B11" w14:textId="77777777" w:rsidR="006A0BDB" w:rsidRPr="00915B7C" w:rsidRDefault="006A0BDB" w:rsidP="001D2CEB">
      <w:pPr>
        <w:pStyle w:val="SubItemLvl2"/>
      </w:pPr>
      <w:r w:rsidRPr="00915B7C">
        <w:t>(v)</w:t>
      </w:r>
      <w:r w:rsidRPr="00915B7C">
        <w:tab/>
        <w:t>Division of Water</w:t>
      </w:r>
      <w:r>
        <w:t xml:space="preserve"> </w:t>
      </w:r>
      <w:r w:rsidRPr="00915B7C">
        <w:t>Resources;</w:t>
      </w:r>
    </w:p>
    <w:p w14:paraId="149D2846" w14:textId="77777777" w:rsidR="006A0BDB" w:rsidRPr="00915B7C" w:rsidRDefault="006A0BDB" w:rsidP="001D2CEB">
      <w:pPr>
        <w:pStyle w:val="SubItemLvl2"/>
      </w:pPr>
      <w:r w:rsidRPr="00915B7C">
        <w:t>(vi)</w:t>
      </w:r>
      <w:r w:rsidRPr="00915B7C">
        <w:tab/>
        <w:t>Up to two environmental</w:t>
      </w:r>
      <w:r>
        <w:t xml:space="preserve"> </w:t>
      </w:r>
      <w:r w:rsidRPr="00915B7C">
        <w:t>interests;</w:t>
      </w:r>
    </w:p>
    <w:p w14:paraId="6C1ECAE3" w14:textId="77777777" w:rsidR="006A0BDB" w:rsidRPr="00915B7C" w:rsidRDefault="006A0BDB" w:rsidP="001D2CEB">
      <w:pPr>
        <w:pStyle w:val="SubItemLvl2"/>
      </w:pPr>
      <w:r w:rsidRPr="00915B7C">
        <w:t>(vii)</w:t>
      </w:r>
      <w:r w:rsidRPr="00915B7C">
        <w:tab/>
        <w:t>Up to two general farming</w:t>
      </w:r>
      <w:r>
        <w:t xml:space="preserve"> </w:t>
      </w:r>
      <w:r w:rsidRPr="00915B7C">
        <w:t>interest; and</w:t>
      </w:r>
    </w:p>
    <w:p w14:paraId="745A4EE9" w14:textId="77777777" w:rsidR="006A0BDB" w:rsidRPr="00915B7C" w:rsidRDefault="006A0BDB" w:rsidP="001D2CEB">
      <w:pPr>
        <w:pStyle w:val="SubItemLvl2"/>
      </w:pPr>
      <w:r w:rsidRPr="00915B7C">
        <w:t>(viii)</w:t>
      </w:r>
      <w:r w:rsidRPr="00915B7C">
        <w:tab/>
        <w:t>Scientific community with experience related to water quality problems in the Neuse River Basin.</w:t>
      </w:r>
    </w:p>
    <w:p w14:paraId="479248F0" w14:textId="77777777" w:rsidR="006A0BDB" w:rsidRPr="00915B7C" w:rsidRDefault="006A0BDB" w:rsidP="001D2CEB">
      <w:pPr>
        <w:pStyle w:val="SubItemLvl1"/>
        <w:tabs>
          <w:tab w:val="clear" w:pos="2520"/>
        </w:tabs>
      </w:pPr>
      <w:r w:rsidRPr="00915B7C">
        <w:t>(b)</w:t>
      </w:r>
      <w:r w:rsidRPr="00915B7C">
        <w:tab/>
        <w:t>ROLE. The Basin Oversight Committee shall:</w:t>
      </w:r>
    </w:p>
    <w:p w14:paraId="5205089C" w14:textId="77777777" w:rsidR="006A0BDB" w:rsidRPr="00915B7C" w:rsidRDefault="006A0BDB" w:rsidP="001D2CEB">
      <w:pPr>
        <w:pStyle w:val="SubItemLvl2"/>
        <w:tabs>
          <w:tab w:val="clear" w:pos="3240"/>
        </w:tabs>
      </w:pPr>
      <w:r w:rsidRPr="00915B7C">
        <w:t>(i)</w:t>
      </w:r>
      <w:r w:rsidRPr="00915B7C">
        <w:tab/>
        <w:t>Continue to review,</w:t>
      </w:r>
      <w:r>
        <w:t xml:space="preserve"> </w:t>
      </w:r>
      <w:r w:rsidRPr="00915B7C">
        <w:t>approve, and summarize local nitrogen loss annual reports to ensure ongoing implementation of the accounting method approved by the Commission under the original version of this Rule effective August 1998, as conforming to the requirements of Item</w:t>
      </w:r>
      <w:r>
        <w:t xml:space="preserve"> </w:t>
      </w:r>
      <w:r w:rsidRPr="00915B7C">
        <w:t>(6) of this Rule.</w:t>
      </w:r>
      <w:r>
        <w:t xml:space="preserve"> </w:t>
      </w:r>
      <w:r w:rsidRPr="00915B7C">
        <w:t>The Committee shall submit these reports as initiated in 2002, to the</w:t>
      </w:r>
      <w:r>
        <w:t xml:space="preserve"> </w:t>
      </w:r>
      <w:r w:rsidRPr="00915B7C">
        <w:t>Director;</w:t>
      </w:r>
    </w:p>
    <w:p w14:paraId="26283851" w14:textId="77777777" w:rsidR="006A0BDB" w:rsidRPr="00915B7C" w:rsidRDefault="006A0BDB" w:rsidP="001D2CEB">
      <w:pPr>
        <w:pStyle w:val="SubItemLvl2"/>
        <w:tabs>
          <w:tab w:val="clear" w:pos="3240"/>
        </w:tabs>
      </w:pPr>
      <w:r w:rsidRPr="00915B7C">
        <w:t>(ii)</w:t>
      </w:r>
      <w:r w:rsidRPr="00915B7C">
        <w:tab/>
        <w:t>Take actions</w:t>
      </w:r>
      <w:r>
        <w:t xml:space="preserve"> </w:t>
      </w:r>
      <w:r w:rsidRPr="00915B7C">
        <w:t>set forth</w:t>
      </w:r>
      <w:r>
        <w:t xml:space="preserve"> </w:t>
      </w:r>
      <w:r w:rsidRPr="00915B7C">
        <w:t>in Sub-Item</w:t>
      </w:r>
      <w:r>
        <w:t xml:space="preserve"> </w:t>
      </w:r>
      <w:r w:rsidRPr="00915B7C">
        <w:t>(4)(b) of this Rule</w:t>
      </w:r>
      <w:r>
        <w:t xml:space="preserve"> </w:t>
      </w:r>
      <w:r w:rsidRPr="00915B7C">
        <w:t xml:space="preserve">to </w:t>
      </w:r>
      <w:r w:rsidRPr="00915B7C">
        <w:lastRenderedPageBreak/>
        <w:t>address maintenance of the nitrogen reduction goal; and</w:t>
      </w:r>
    </w:p>
    <w:p w14:paraId="700547A0" w14:textId="77777777" w:rsidR="006A0BDB" w:rsidRPr="00915B7C" w:rsidRDefault="006A0BDB" w:rsidP="001D2CEB">
      <w:pPr>
        <w:pStyle w:val="SubItemLvl2"/>
        <w:tabs>
          <w:tab w:val="clear" w:pos="3240"/>
        </w:tabs>
      </w:pPr>
      <w:r w:rsidRPr="00915B7C">
        <w:t>(iii)</w:t>
      </w:r>
      <w:r w:rsidRPr="00915B7C">
        <w:tab/>
        <w:t>Identify and implement refinements to the accounting</w:t>
      </w:r>
      <w:r>
        <w:t xml:space="preserve"> </w:t>
      </w:r>
      <w:r w:rsidRPr="00915B7C">
        <w:t>methodology</w:t>
      </w:r>
      <w:r>
        <w:t xml:space="preserve"> </w:t>
      </w:r>
      <w:r w:rsidRPr="00915B7C">
        <w:t>to reflect advances in scientific understanding, including establishment or refinement of nutrient reduction efficiencies for BMPs.</w:t>
      </w:r>
    </w:p>
    <w:p w14:paraId="1599BAEA" w14:textId="77777777" w:rsidR="006A0BDB" w:rsidRPr="00915B7C" w:rsidRDefault="006A0BDB" w:rsidP="001D2CEB">
      <w:pPr>
        <w:pStyle w:val="Item"/>
        <w:tabs>
          <w:tab w:val="clear" w:pos="1800"/>
        </w:tabs>
      </w:pPr>
      <w:r w:rsidRPr="00915B7C">
        <w:t>(6)</w:t>
      </w:r>
      <w:r>
        <w:tab/>
      </w:r>
      <w:r w:rsidRPr="00915B7C">
        <w:t>ACCOUNTING METHODOLOGY.</w:t>
      </w:r>
      <w:r>
        <w:t xml:space="preserve"> </w:t>
      </w:r>
      <w:r w:rsidRPr="00915B7C">
        <w:t>The requirements of Item (1) of this Rule shall be gauged by estimating percentage changes in nitrogen loss from agricultural</w:t>
      </w:r>
      <w:r>
        <w:t xml:space="preserve"> </w:t>
      </w:r>
      <w:r w:rsidRPr="00915B7C">
        <w:t>operations in the Neuse Basin. The Basin Oversight Committee shall</w:t>
      </w:r>
      <w:r>
        <w:t xml:space="preserve"> </w:t>
      </w:r>
      <w:r w:rsidRPr="00915B7C">
        <w:t>develop, maintain, and update</w:t>
      </w:r>
      <w:r>
        <w:t xml:space="preserve"> </w:t>
      </w:r>
      <w:r w:rsidRPr="00915B7C">
        <w:t>as set forth in</w:t>
      </w:r>
      <w:r>
        <w:t xml:space="preserve"> </w:t>
      </w:r>
      <w:r w:rsidRPr="00915B7C">
        <w:t>this Item, accounting methods that meet the following requirements:</w:t>
      </w:r>
    </w:p>
    <w:p w14:paraId="45A46B2A" w14:textId="77777777" w:rsidR="006A0BDB" w:rsidRPr="00915B7C" w:rsidRDefault="006A0BDB" w:rsidP="001D2CEB">
      <w:pPr>
        <w:pStyle w:val="SubItemLvl1"/>
        <w:tabs>
          <w:tab w:val="clear" w:pos="2520"/>
          <w:tab w:val="left" w:pos="3240"/>
        </w:tabs>
      </w:pPr>
      <w:r w:rsidRPr="00915B7C">
        <w:t>(a)</w:t>
      </w:r>
      <w:r w:rsidRPr="00915B7C">
        <w:tab/>
        <w:t xml:space="preserve">The nitrogen method shall estimate baseline and annual total nitrogen losses from agricultural operations in each county and for the entire Neuse Basin; </w:t>
      </w:r>
    </w:p>
    <w:p w14:paraId="4FB00106" w14:textId="77777777" w:rsidR="006A0BDB" w:rsidRPr="00915B7C" w:rsidRDefault="006A0BDB" w:rsidP="001D2CEB">
      <w:pPr>
        <w:pStyle w:val="SubItemLvl1"/>
        <w:tabs>
          <w:tab w:val="clear" w:pos="2520"/>
          <w:tab w:val="left" w:pos="3240"/>
        </w:tabs>
      </w:pPr>
      <w:r w:rsidRPr="00915B7C">
        <w:t>(b)</w:t>
      </w:r>
      <w:r w:rsidRPr="00915B7C">
        <w:tab/>
        <w:t>The nitrogen method shall include a means of tracking implementation of BMPs, including number, type, and area affected;</w:t>
      </w:r>
    </w:p>
    <w:p w14:paraId="2E242A0F" w14:textId="77777777" w:rsidR="006A0BDB" w:rsidRPr="00915B7C" w:rsidRDefault="006A0BDB" w:rsidP="001D2CEB">
      <w:pPr>
        <w:pStyle w:val="SubItemLvl1"/>
        <w:tabs>
          <w:tab w:val="clear" w:pos="2520"/>
          <w:tab w:val="left" w:pos="3240"/>
        </w:tabs>
      </w:pPr>
      <w:r w:rsidRPr="00915B7C">
        <w:t>(c)</w:t>
      </w:r>
      <w:r w:rsidRPr="00915B7C">
        <w:tab/>
        <w:t>The nitrogen method shall include a means of estimating incremental nitrogen loss reductions from implementation of BMPs that conform to requirements of Item</w:t>
      </w:r>
      <w:r>
        <w:t xml:space="preserve"> </w:t>
      </w:r>
      <w:r w:rsidRPr="00915B7C">
        <w:t>(8) of this Rule and of evaluating progress toward and maintenance of the nutrient goal from changes in BMP implementation, fertilization, and changes in individual crop acres; and</w:t>
      </w:r>
    </w:p>
    <w:p w14:paraId="3C6E43FC" w14:textId="77777777" w:rsidR="006A0BDB" w:rsidRPr="00915B7C" w:rsidRDefault="006A0BDB" w:rsidP="001D2CEB">
      <w:pPr>
        <w:pStyle w:val="SubItemLvl1"/>
        <w:tabs>
          <w:tab w:val="clear" w:pos="2520"/>
          <w:tab w:val="left" w:pos="3240"/>
        </w:tabs>
      </w:pPr>
      <w:r w:rsidRPr="00915B7C">
        <w:t>(d)</w:t>
      </w:r>
      <w:r w:rsidRPr="00915B7C">
        <w:tab/>
        <w:t>The nitrogen method shall be refined as research and technical advances allow.</w:t>
      </w:r>
    </w:p>
    <w:p w14:paraId="6D32FFC6" w14:textId="77777777" w:rsidR="006A0BDB" w:rsidRPr="00915B7C" w:rsidRDefault="006A0BDB" w:rsidP="001D2CEB">
      <w:pPr>
        <w:pStyle w:val="Item"/>
        <w:tabs>
          <w:tab w:val="clear" w:pos="1800"/>
        </w:tabs>
      </w:pPr>
      <w:r w:rsidRPr="00915B7C">
        <w:t>(7)</w:t>
      </w:r>
      <w:r w:rsidRPr="00915B7C">
        <w:tab/>
        <w:t>LOCAL ADVISORY COMMITTEES. The Directors of the Division of Water Resources and Division of Soil and Water Conservation shall maintain Local Advisory Committees initially established in February and March, 1999, as follows:</w:t>
      </w:r>
    </w:p>
    <w:p w14:paraId="588B37FA" w14:textId="77777777" w:rsidR="006A0BDB" w:rsidRPr="00915B7C" w:rsidRDefault="006A0BDB" w:rsidP="001D2CEB">
      <w:pPr>
        <w:pStyle w:val="SubItemLvl1"/>
        <w:tabs>
          <w:tab w:val="clear" w:pos="2520"/>
        </w:tabs>
      </w:pPr>
      <w:r w:rsidRPr="00915B7C">
        <w:t>(a)</w:t>
      </w:r>
      <w:r w:rsidRPr="00915B7C">
        <w:tab/>
        <w:t>MEMBERSHIP. For each county or watershed specified by the Basin Oversight Committee within the Neuse River Basin, the Directors shall jointly maintain membership on the Local Advisory Committee from each of the following local entities.</w:t>
      </w:r>
      <w:r>
        <w:t xml:space="preserve"> </w:t>
      </w:r>
    </w:p>
    <w:p w14:paraId="6FEF6522" w14:textId="77777777" w:rsidR="006A0BDB" w:rsidRPr="00915B7C" w:rsidRDefault="006A0BDB" w:rsidP="001D2CEB">
      <w:pPr>
        <w:pStyle w:val="SubItemLvl2"/>
      </w:pPr>
      <w:r w:rsidRPr="00915B7C">
        <w:t>(i)</w:t>
      </w:r>
      <w:r w:rsidRPr="00915B7C">
        <w:tab/>
        <w:t>Soil and Water Conservation</w:t>
      </w:r>
      <w:r>
        <w:t xml:space="preserve"> </w:t>
      </w:r>
      <w:r w:rsidRPr="00915B7C">
        <w:t>District;</w:t>
      </w:r>
    </w:p>
    <w:p w14:paraId="4E07B818" w14:textId="77777777" w:rsidR="006A0BDB" w:rsidRPr="00915B7C" w:rsidRDefault="006A0BDB" w:rsidP="001D2CEB">
      <w:pPr>
        <w:pStyle w:val="SubItemLvl2"/>
      </w:pPr>
      <w:r w:rsidRPr="00915B7C">
        <w:t>(ii)</w:t>
      </w:r>
      <w:r w:rsidRPr="00915B7C">
        <w:tab/>
        <w:t>United States Department of Agriculture- Natural Resources Conservation</w:t>
      </w:r>
      <w:r>
        <w:t xml:space="preserve"> </w:t>
      </w:r>
      <w:r w:rsidRPr="00915B7C">
        <w:t>Service;</w:t>
      </w:r>
    </w:p>
    <w:p w14:paraId="192E5C8B" w14:textId="77777777" w:rsidR="006A0BDB" w:rsidRPr="00915B7C" w:rsidRDefault="006A0BDB" w:rsidP="001D2CEB">
      <w:pPr>
        <w:pStyle w:val="SubItemLvl2"/>
      </w:pPr>
      <w:r w:rsidRPr="00915B7C">
        <w:t>(iii)</w:t>
      </w:r>
      <w:r w:rsidRPr="00915B7C">
        <w:tab/>
        <w:t>North Carolina Department of</w:t>
      </w:r>
      <w:r>
        <w:t xml:space="preserve"> </w:t>
      </w:r>
      <w:r w:rsidRPr="00915B7C">
        <w:t>Agriculture;</w:t>
      </w:r>
    </w:p>
    <w:p w14:paraId="22A10296" w14:textId="77777777" w:rsidR="006A0BDB" w:rsidRPr="00915B7C" w:rsidRDefault="006A0BDB" w:rsidP="001D2CEB">
      <w:pPr>
        <w:pStyle w:val="SubItemLvl2"/>
      </w:pPr>
      <w:r w:rsidRPr="00915B7C">
        <w:t>(iv)</w:t>
      </w:r>
      <w:r w:rsidRPr="00915B7C">
        <w:tab/>
        <w:t>North Carolina Cooperative Extension</w:t>
      </w:r>
      <w:r>
        <w:t xml:space="preserve"> </w:t>
      </w:r>
      <w:r w:rsidRPr="00915B7C">
        <w:t>Service;</w:t>
      </w:r>
    </w:p>
    <w:p w14:paraId="15ECEFEA" w14:textId="77777777" w:rsidR="006A0BDB" w:rsidRPr="00915B7C" w:rsidRDefault="006A0BDB" w:rsidP="001D2CEB">
      <w:pPr>
        <w:pStyle w:val="SubItemLvl2"/>
      </w:pPr>
      <w:r w:rsidRPr="00915B7C">
        <w:t>(v)</w:t>
      </w:r>
      <w:r w:rsidRPr="00915B7C">
        <w:tab/>
        <w:t>North Carolina Division of Soil and Water</w:t>
      </w:r>
      <w:r>
        <w:t xml:space="preserve"> </w:t>
      </w:r>
      <w:r w:rsidRPr="00915B7C">
        <w:t>Conservation; and</w:t>
      </w:r>
    </w:p>
    <w:p w14:paraId="3DBC990F" w14:textId="77777777" w:rsidR="006A0BDB" w:rsidRPr="00915B7C" w:rsidRDefault="006A0BDB" w:rsidP="001D2CEB">
      <w:pPr>
        <w:pStyle w:val="SubItemLvl2"/>
      </w:pPr>
      <w:r w:rsidRPr="00915B7C">
        <w:t>(vi)</w:t>
      </w:r>
      <w:r w:rsidRPr="00915B7C">
        <w:tab/>
        <w:t>At least two</w:t>
      </w:r>
      <w:r>
        <w:t xml:space="preserve"> </w:t>
      </w:r>
      <w:r w:rsidRPr="00915B7C">
        <w:t>agricultural producers that reside in the county.</w:t>
      </w:r>
    </w:p>
    <w:p w14:paraId="07489F02" w14:textId="77777777" w:rsidR="006A0BDB" w:rsidRPr="00915B7C" w:rsidRDefault="006A0BDB" w:rsidP="001D2CEB">
      <w:pPr>
        <w:pStyle w:val="SubItemLvl1"/>
        <w:tabs>
          <w:tab w:val="clear" w:pos="2520"/>
        </w:tabs>
      </w:pPr>
      <w:r w:rsidRPr="00915B7C">
        <w:t>(b)</w:t>
      </w:r>
      <w:r w:rsidRPr="00915B7C">
        <w:tab/>
        <w:t>ROLE. Local Advisory Committees shall:</w:t>
      </w:r>
    </w:p>
    <w:p w14:paraId="0808B8F1" w14:textId="77777777" w:rsidR="006A0BDB" w:rsidRPr="00915B7C" w:rsidRDefault="006A0BDB" w:rsidP="001D2CEB">
      <w:pPr>
        <w:pStyle w:val="SubItemLvl2"/>
        <w:tabs>
          <w:tab w:val="clear" w:pos="3240"/>
        </w:tabs>
      </w:pPr>
      <w:r w:rsidRPr="00915B7C">
        <w:t>(i)</w:t>
      </w:r>
      <w:r w:rsidRPr="00915B7C">
        <w:tab/>
        <w:t>Continue to submit annual reports to the Basin Oversight Committee estimating total crop production on agricultural operations for the preceding calendar year, summarizing land use changes in the county and making recommendations to the Basin Oversight Committee on the need for updates to the accounting methodology. Reports shall include documentation on the BMPs implemented, including type and location, that satisfy the requirements</w:t>
      </w:r>
      <w:r>
        <w:t xml:space="preserve"> </w:t>
      </w:r>
      <w:r w:rsidRPr="00915B7C">
        <w:t>in Item</w:t>
      </w:r>
      <w:r>
        <w:t xml:space="preserve"> </w:t>
      </w:r>
      <w:r w:rsidRPr="00915B7C">
        <w:t>(8) of this Rule and documentation of any expired contracts for BMPs; and</w:t>
      </w:r>
    </w:p>
    <w:p w14:paraId="51ABA548" w14:textId="77777777" w:rsidR="006A0BDB" w:rsidRPr="00915B7C" w:rsidRDefault="006A0BDB" w:rsidP="001D2CEB">
      <w:pPr>
        <w:pStyle w:val="SubItemLvl2"/>
        <w:tabs>
          <w:tab w:val="clear" w:pos="3240"/>
        </w:tabs>
      </w:pPr>
      <w:r w:rsidRPr="00915B7C">
        <w:t>(ii)</w:t>
      </w:r>
      <w:r w:rsidRPr="00915B7C">
        <w:tab/>
        <w:t>Take actions called for under Sub-Item</w:t>
      </w:r>
      <w:r>
        <w:t xml:space="preserve"> </w:t>
      </w:r>
      <w:r w:rsidRPr="00915B7C">
        <w:t>(4)(b) of this Rule to address maintenance of the nitrogen reduction goal.</w:t>
      </w:r>
    </w:p>
    <w:p w14:paraId="40F089AE" w14:textId="77777777" w:rsidR="006A0BDB" w:rsidRPr="00915B7C" w:rsidRDefault="006A0BDB" w:rsidP="001D2CEB">
      <w:pPr>
        <w:pStyle w:val="Item"/>
        <w:tabs>
          <w:tab w:val="clear" w:pos="1800"/>
        </w:tabs>
      </w:pPr>
      <w:r w:rsidRPr="00915B7C">
        <w:t>(8)</w:t>
      </w:r>
      <w:r>
        <w:tab/>
      </w:r>
      <w:r w:rsidRPr="00915B7C">
        <w:t>PRACTICE STANDARDS. To receive nutrient reduction credit,</w:t>
      </w:r>
      <w:r>
        <w:t xml:space="preserve"> </w:t>
      </w:r>
      <w:r w:rsidRPr="00915B7C">
        <w:t>a BMP shall be included in the accounting method set forth in Item (6) of this Rule, or in a subsequent revision to that method identified in annual reporting, and it shall be implemented according to the applicable nutrient-related standards identified by the</w:t>
      </w:r>
      <w:r>
        <w:t xml:space="preserve"> </w:t>
      </w:r>
      <w:r w:rsidRPr="00915B7C">
        <w:t>Basin Oversight Committee and established by the NC Soil and Water Conservation Commission or the USDA-Natural Resources Conservation Service in North Carolina.</w:t>
      </w:r>
    </w:p>
    <w:p w14:paraId="66DEBFD6" w14:textId="77777777" w:rsidR="006A0BDB" w:rsidRPr="00915B7C" w:rsidRDefault="006A0BDB" w:rsidP="001D2CEB">
      <w:pPr>
        <w:pStyle w:val="Base"/>
      </w:pPr>
    </w:p>
    <w:p w14:paraId="0A72569A" w14:textId="77777777" w:rsidR="006A0BDB" w:rsidRPr="00915B7C" w:rsidRDefault="006A0BDB" w:rsidP="001D2CEB">
      <w:pPr>
        <w:pStyle w:val="History"/>
      </w:pPr>
      <w:r w:rsidRPr="00915B7C">
        <w:t>History Note:</w:t>
      </w:r>
      <w:r w:rsidRPr="00915B7C">
        <w:tab/>
        <w:t xml:space="preserve">Authority G.S. 143-214.1; 143-214.7; 143-215.3(a)(1); </w:t>
      </w:r>
    </w:p>
    <w:p w14:paraId="5F710DF6" w14:textId="77777777" w:rsidR="006A0BDB" w:rsidRPr="00915B7C" w:rsidRDefault="006A0BDB" w:rsidP="001D2CEB">
      <w:pPr>
        <w:pStyle w:val="HistoryAfter"/>
      </w:pPr>
      <w:r w:rsidRPr="00915B7C">
        <w:t>Eff. August 1, 1998</w:t>
      </w:r>
      <w:r>
        <w:t>;</w:t>
      </w:r>
    </w:p>
    <w:p w14:paraId="0F31832B" w14:textId="77777777" w:rsidR="006A0BDB" w:rsidRPr="00915B7C" w:rsidRDefault="006A0BDB" w:rsidP="001D2CEB">
      <w:pPr>
        <w:pStyle w:val="HistoryAfter"/>
      </w:pPr>
      <w:r w:rsidRPr="00915B7C">
        <w:t xml:space="preserve">Readopted </w:t>
      </w:r>
      <w:r>
        <w:t>Pending Delayed Eff. Date</w:t>
      </w:r>
      <w:r w:rsidRPr="00915B7C">
        <w:t>.</w:t>
      </w:r>
    </w:p>
    <w:p w14:paraId="5F2D9520" w14:textId="78241937" w:rsidR="006A0BDB" w:rsidRDefault="006A0BDB" w:rsidP="001D2CEB">
      <w:pPr>
        <w:pStyle w:val="Base"/>
      </w:pPr>
    </w:p>
    <w:p w14:paraId="1BE840D4" w14:textId="380BC395" w:rsidR="006A0BDB" w:rsidRDefault="006A0BDB" w:rsidP="001D2CEB">
      <w:pPr>
        <w:pStyle w:val="Base"/>
      </w:pPr>
    </w:p>
    <w:p w14:paraId="365AF84E" w14:textId="5AF4A59F" w:rsidR="006A0BDB" w:rsidRDefault="006A0BDB" w:rsidP="001D2CEB">
      <w:pPr>
        <w:pStyle w:val="Base"/>
      </w:pPr>
    </w:p>
    <w:p w14:paraId="7682A411" w14:textId="77777777" w:rsidR="006A0BDB" w:rsidRDefault="006A0BDB" w:rsidP="001D2CEB">
      <w:pPr>
        <w:pStyle w:val="Base"/>
      </w:pPr>
    </w:p>
    <w:p w14:paraId="1F710B22" w14:textId="77777777" w:rsidR="006A0BDB" w:rsidRPr="0036145A" w:rsidRDefault="006A0BDB" w:rsidP="001D2CEB">
      <w:pPr>
        <w:pStyle w:val="Rule"/>
      </w:pPr>
      <w:r w:rsidRPr="0036145A">
        <w:lastRenderedPageBreak/>
        <w:t xml:space="preserve">15A NCAC 02B </w:t>
      </w:r>
      <w:r w:rsidRPr="0036145A">
        <w:rPr>
          <w:strike/>
        </w:rPr>
        <w:t>.0234</w:t>
      </w:r>
      <w:r w:rsidRPr="0036145A">
        <w:t xml:space="preserve"> </w:t>
      </w:r>
      <w:r w:rsidRPr="0036145A">
        <w:rPr>
          <w:u w:val="single"/>
        </w:rPr>
        <w:t>.0713</w:t>
      </w:r>
      <w:r w:rsidRPr="0036145A">
        <w:tab/>
        <w:t>NEUSE RIVER BASIN - NUTRIENT SENSITIVE WATERS MANAGEMENT STRATEGY: WASTEWATER DISCHARGE REQUIREMENTS</w:t>
      </w:r>
    </w:p>
    <w:p w14:paraId="4EC4D611" w14:textId="77777777" w:rsidR="006A0BDB" w:rsidRPr="002B587E" w:rsidRDefault="006A0BDB" w:rsidP="001D2CEB">
      <w:pPr>
        <w:pStyle w:val="Paragraph"/>
      </w:pPr>
      <w:r w:rsidRPr="002B587E">
        <w:t>The following is the National Pollutant Discharge Elimination System (NPDES) wastewater discharge management strategy for the Neuse River Basin:</w:t>
      </w:r>
    </w:p>
    <w:p w14:paraId="70552549" w14:textId="77777777" w:rsidR="006A0BDB" w:rsidRPr="002B587E" w:rsidRDefault="006A0BDB" w:rsidP="001D2CEB">
      <w:pPr>
        <w:pStyle w:val="Item"/>
        <w:tabs>
          <w:tab w:val="clear" w:pos="1800"/>
        </w:tabs>
      </w:pPr>
      <w:r w:rsidRPr="002B587E">
        <w:t>(1)</w:t>
      </w:r>
      <w:r w:rsidRPr="002B587E">
        <w:tab/>
        <w:t>Purpose. The purpose of this Rule is to establish minimum nutrient control requirements for</w:t>
      </w:r>
      <w:r>
        <w:t xml:space="preserve"> </w:t>
      </w:r>
      <w:r w:rsidRPr="002B587E">
        <w:t>point source discharges in the Neuse River Basin in order to maintain or restore water quality in the Neuse River Estuary and protect its designated uses.</w:t>
      </w:r>
    </w:p>
    <w:p w14:paraId="0D845CEE" w14:textId="77777777" w:rsidR="006A0BDB" w:rsidRPr="002B587E" w:rsidRDefault="006A0BDB" w:rsidP="001D2CEB">
      <w:pPr>
        <w:pStyle w:val="Item"/>
        <w:tabs>
          <w:tab w:val="clear" w:pos="1800"/>
        </w:tabs>
      </w:pPr>
      <w:r w:rsidRPr="002B587E">
        <w:t>(2)</w:t>
      </w:r>
      <w:r w:rsidRPr="002B587E">
        <w:tab/>
        <w:t>Applicability. This Rule applies to all</w:t>
      </w:r>
      <w:r>
        <w:t xml:space="preserve"> </w:t>
      </w:r>
      <w:r w:rsidRPr="002B587E">
        <w:t>discharges from wastewater treatment facilities in the Neuse River Basin that receive nitrogen-bearing wastewater and are required to obtain individual NPDES permits.</w:t>
      </w:r>
      <w:r>
        <w:t xml:space="preserve"> </w:t>
      </w:r>
      <w:r w:rsidRPr="002B587E">
        <w:t>Discharges in the Falls Lake watershed are subject to additional nutrient control requirements under the Falls Water Supply Nutrient</w:t>
      </w:r>
      <w:r>
        <w:t xml:space="preserve"> </w:t>
      </w:r>
      <w:r w:rsidRPr="002B587E">
        <w:t>Strategy Rules of this Subchapter.</w:t>
      </w:r>
    </w:p>
    <w:p w14:paraId="29EDD03B" w14:textId="77777777" w:rsidR="006A0BDB" w:rsidRPr="002B587E" w:rsidRDefault="006A0BDB" w:rsidP="001D2CEB">
      <w:pPr>
        <w:pStyle w:val="Item"/>
        <w:tabs>
          <w:tab w:val="clear" w:pos="1800"/>
        </w:tabs>
      </w:pPr>
      <w:r w:rsidRPr="002B587E">
        <w:t>(3)</w:t>
      </w:r>
      <w:r w:rsidRPr="002B587E">
        <w:tab/>
        <w:t>Definitions. The terms used in this Rule shall be as defined in Rule .0701 of this Section and as follows:</w:t>
      </w:r>
    </w:p>
    <w:p w14:paraId="235A42FF" w14:textId="77777777" w:rsidR="006A0BDB" w:rsidRPr="002B587E" w:rsidRDefault="006A0BDB" w:rsidP="001D2CEB">
      <w:pPr>
        <w:pStyle w:val="SubItemLvl1"/>
        <w:tabs>
          <w:tab w:val="clear" w:pos="2520"/>
        </w:tabs>
      </w:pPr>
      <w:r w:rsidRPr="002B587E">
        <w:t>(a)</w:t>
      </w:r>
      <w:r w:rsidRPr="002B587E">
        <w:tab/>
        <w:t>In regard to point source dischargers, treatment facilities, wastewater flows or discharges, or like matters:</w:t>
      </w:r>
    </w:p>
    <w:p w14:paraId="58C90920" w14:textId="77777777" w:rsidR="006A0BDB" w:rsidRPr="002B587E" w:rsidRDefault="006A0BDB" w:rsidP="001D2CEB">
      <w:pPr>
        <w:pStyle w:val="SubItemLvl2"/>
      </w:pPr>
      <w:r w:rsidRPr="002B587E">
        <w:t>(i)</w:t>
      </w:r>
      <w:r w:rsidRPr="002B587E">
        <w:tab/>
        <w:t xml:space="preserve">"Existing" means that which obtained an NPDES permit on or before </w:t>
      </w:r>
      <w:smartTag w:uri="urn:schemas-microsoft-com:office:smarttags" w:element="date">
        <w:smartTagPr>
          <w:attr w:name="Month" w:val="12"/>
          <w:attr w:name="Day" w:val="31"/>
          <w:attr w:name="Year" w:val="1995"/>
        </w:smartTagPr>
        <w:r w:rsidRPr="002B587E">
          <w:t>December 31, 1995</w:t>
        </w:r>
      </w:smartTag>
      <w:r w:rsidRPr="002B587E">
        <w:t>.</w:t>
      </w:r>
    </w:p>
    <w:p w14:paraId="336FFE52" w14:textId="77777777" w:rsidR="006A0BDB" w:rsidRPr="002B587E" w:rsidRDefault="006A0BDB" w:rsidP="001D2CEB">
      <w:pPr>
        <w:pStyle w:val="SubItemLvl2"/>
      </w:pPr>
      <w:r w:rsidRPr="002B587E">
        <w:t>(ii)</w:t>
      </w:r>
      <w:r w:rsidRPr="002B587E">
        <w:tab/>
        <w:t>"Expanding" means that which increases beyond its permitted flow as defined in Sub-Item (3)(b) of this Rule.</w:t>
      </w:r>
    </w:p>
    <w:p w14:paraId="6A7C66A1" w14:textId="77777777" w:rsidR="006A0BDB" w:rsidRPr="002B587E" w:rsidRDefault="006A0BDB" w:rsidP="001D2CEB">
      <w:pPr>
        <w:pStyle w:val="SubItemLvl2"/>
      </w:pPr>
      <w:r w:rsidRPr="002B587E">
        <w:t>(iii)</w:t>
      </w:r>
      <w:r w:rsidRPr="002B587E">
        <w:tab/>
        <w:t xml:space="preserve">"New" means that which had not obtained an NPDES permit on or before </w:t>
      </w:r>
      <w:smartTag w:uri="urn:schemas-microsoft-com:office:smarttags" w:element="date">
        <w:smartTagPr>
          <w:attr w:name="Month" w:val="12"/>
          <w:attr w:name="Day" w:val="31"/>
          <w:attr w:name="Year" w:val="1995"/>
        </w:smartTagPr>
        <w:r w:rsidRPr="002B587E">
          <w:t>December 31, 1995</w:t>
        </w:r>
      </w:smartTag>
      <w:r w:rsidRPr="002B587E">
        <w:t>.</w:t>
      </w:r>
    </w:p>
    <w:p w14:paraId="417A1C55" w14:textId="77777777" w:rsidR="006A0BDB" w:rsidRPr="002B587E" w:rsidRDefault="006A0BDB" w:rsidP="001D2CEB">
      <w:pPr>
        <w:pStyle w:val="SubItemLvl1"/>
        <w:tabs>
          <w:tab w:val="clear" w:pos="2520"/>
        </w:tabs>
      </w:pPr>
      <w:r w:rsidRPr="002B587E">
        <w:t>(b)</w:t>
      </w:r>
      <w:r>
        <w:tab/>
      </w:r>
      <w:r w:rsidRPr="002B587E">
        <w:t xml:space="preserve">"Permitted flow" means the maximum monthly average flow authorized in a facility's NPDES permit as of </w:t>
      </w:r>
      <w:smartTag w:uri="urn:schemas-microsoft-com:office:smarttags" w:element="date">
        <w:smartTagPr>
          <w:attr w:name="Month" w:val="12"/>
          <w:attr w:name="Day" w:val="31"/>
          <w:attr w:name="Year" w:val="1995"/>
        </w:smartTagPr>
        <w:r w:rsidRPr="002B587E">
          <w:t>December 31, 1995</w:t>
        </w:r>
      </w:smartTag>
      <w:r w:rsidRPr="002B587E">
        <w:t>, with the following exceptions:</w:t>
      </w:r>
    </w:p>
    <w:p w14:paraId="049DCDA9" w14:textId="77777777" w:rsidR="006A0BDB" w:rsidRDefault="006A0BDB" w:rsidP="001D2CEB">
      <w:pPr>
        <w:pStyle w:val="Base"/>
        <w:sectPr w:rsidR="006A0BDB" w:rsidSect="001D2CEB">
          <w:type w:val="continuous"/>
          <w:pgSz w:w="12240" w:h="15840"/>
          <w:pgMar w:top="360" w:right="720" w:bottom="360" w:left="720" w:header="360" w:footer="360" w:gutter="0"/>
          <w:cols w:num="2" w:space="360"/>
          <w:docGrid w:linePitch="360"/>
        </w:sectPr>
      </w:pPr>
    </w:p>
    <w:p w14:paraId="34E78BA3" w14:textId="77777777" w:rsidR="006A0BDB" w:rsidRDefault="006A0BDB" w:rsidP="001D2CEB">
      <w:pPr>
        <w:pStyle w:val="SubItemLvl1"/>
        <w:ind w:firstLine="450"/>
      </w:pPr>
    </w:p>
    <w:p w14:paraId="31E4AB61" w14:textId="77777777" w:rsidR="006A0BDB" w:rsidRPr="002B587E" w:rsidRDefault="006A0BDB" w:rsidP="001D2CEB">
      <w:pPr>
        <w:pStyle w:val="SubItemLvl1"/>
        <w:ind w:firstLine="450"/>
      </w:pPr>
      <w:r w:rsidRPr="002B587E">
        <w:t>Facility Name</w:t>
      </w:r>
      <w:r>
        <w:tab/>
      </w:r>
      <w:r>
        <w:tab/>
      </w:r>
      <w:r w:rsidRPr="002B587E">
        <w:t>NPDES No.</w:t>
      </w:r>
      <w:r w:rsidRPr="002B587E">
        <w:tab/>
        <w:t>Permitted Flow (MGD)</w:t>
      </w:r>
    </w:p>
    <w:p w14:paraId="2C8F86CD" w14:textId="77777777" w:rsidR="006A0BDB" w:rsidRPr="002B587E" w:rsidRDefault="006A0BDB" w:rsidP="001D2CEB">
      <w:pPr>
        <w:pStyle w:val="SubItemLvl1"/>
        <w:ind w:firstLine="450"/>
      </w:pPr>
      <w:r w:rsidRPr="002B587E">
        <w:t>Benson</w:t>
      </w:r>
      <w:r>
        <w:tab/>
      </w:r>
      <w:r>
        <w:tab/>
      </w:r>
      <w:r>
        <w:tab/>
      </w:r>
      <w:r w:rsidRPr="002B587E">
        <w:t>NC0020389</w:t>
      </w:r>
      <w:r w:rsidRPr="002B587E">
        <w:tab/>
      </w:r>
      <w:r>
        <w:tab/>
      </w:r>
      <w:r w:rsidRPr="002B587E">
        <w:t>3.00</w:t>
      </w:r>
    </w:p>
    <w:p w14:paraId="193322CB" w14:textId="77777777" w:rsidR="006A0BDB" w:rsidRPr="002B587E" w:rsidRDefault="006A0BDB" w:rsidP="001D2CEB">
      <w:pPr>
        <w:pStyle w:val="SubItemLvl1"/>
        <w:ind w:firstLine="450"/>
      </w:pPr>
      <w:r w:rsidRPr="002B587E">
        <w:t>Goldsboro</w:t>
      </w:r>
      <w:r w:rsidRPr="002B587E">
        <w:tab/>
      </w:r>
      <w:r>
        <w:tab/>
      </w:r>
      <w:r>
        <w:tab/>
      </w:r>
      <w:r w:rsidRPr="002B587E">
        <w:t>NC0023949</w:t>
      </w:r>
      <w:r w:rsidRPr="002B587E">
        <w:tab/>
      </w:r>
      <w:r>
        <w:tab/>
      </w:r>
      <w:r w:rsidRPr="002B587E">
        <w:t>16.80</w:t>
      </w:r>
    </w:p>
    <w:p w14:paraId="59CA81B0" w14:textId="77777777" w:rsidR="006A0BDB" w:rsidRPr="002B587E" w:rsidRDefault="006A0BDB" w:rsidP="001D2CEB">
      <w:pPr>
        <w:pStyle w:val="SubItemLvl1"/>
        <w:ind w:firstLine="450"/>
      </w:pPr>
      <w:r w:rsidRPr="002B587E">
        <w:t>Kenly</w:t>
      </w:r>
      <w:r w:rsidRPr="002B587E">
        <w:tab/>
      </w:r>
      <w:r>
        <w:tab/>
      </w:r>
      <w:r>
        <w:tab/>
      </w:r>
      <w:r w:rsidRPr="002B587E">
        <w:t>NC0064891</w:t>
      </w:r>
      <w:r w:rsidRPr="002B587E">
        <w:tab/>
      </w:r>
      <w:r>
        <w:tab/>
      </w:r>
      <w:r w:rsidRPr="002B587E">
        <w:t>0.63</w:t>
      </w:r>
    </w:p>
    <w:p w14:paraId="48DE22C4" w14:textId="77777777" w:rsidR="006A0BDB" w:rsidRPr="002B587E" w:rsidRDefault="006A0BDB" w:rsidP="001D2CEB">
      <w:pPr>
        <w:pStyle w:val="SubItemLvl1"/>
        <w:ind w:firstLine="450"/>
      </w:pPr>
      <w:r w:rsidRPr="002B587E">
        <w:t>Snow Hill</w:t>
      </w:r>
      <w:r w:rsidRPr="002B587E">
        <w:tab/>
      </w:r>
      <w:r>
        <w:tab/>
      </w:r>
      <w:r>
        <w:tab/>
      </w:r>
      <w:r w:rsidRPr="002B587E">
        <w:t>NC0020842</w:t>
      </w:r>
      <w:r w:rsidRPr="002B587E">
        <w:tab/>
      </w:r>
      <w:r>
        <w:tab/>
      </w:r>
      <w:r w:rsidRPr="002B587E">
        <w:t>0.50</w:t>
      </w:r>
    </w:p>
    <w:p w14:paraId="0CE88D47" w14:textId="77777777" w:rsidR="006A0BDB" w:rsidRPr="002B587E" w:rsidRDefault="006A0BDB" w:rsidP="001D2CEB">
      <w:pPr>
        <w:pStyle w:val="SubItemLvl1"/>
        <w:ind w:firstLine="450"/>
      </w:pPr>
      <w:r w:rsidRPr="002B587E">
        <w:t>Wilson</w:t>
      </w:r>
      <w:r w:rsidRPr="002B587E">
        <w:tab/>
      </w:r>
      <w:r>
        <w:tab/>
      </w:r>
      <w:r>
        <w:tab/>
      </w:r>
      <w:r w:rsidRPr="002B587E">
        <w:t>NC0023906</w:t>
      </w:r>
      <w:r w:rsidRPr="002B587E">
        <w:tab/>
      </w:r>
      <w:r>
        <w:tab/>
      </w:r>
      <w:r w:rsidRPr="002B587E">
        <w:t>14.00</w:t>
      </w:r>
    </w:p>
    <w:p w14:paraId="508088A0" w14:textId="77777777" w:rsidR="006A0BDB" w:rsidRPr="002B587E" w:rsidRDefault="006A0BDB" w:rsidP="001D2CEB">
      <w:pPr>
        <w:pStyle w:val="Base"/>
        <w:ind w:firstLine="450"/>
      </w:pPr>
    </w:p>
    <w:p w14:paraId="6E0645ED" w14:textId="77777777" w:rsidR="006A0BDB" w:rsidRDefault="006A0BDB" w:rsidP="001D2CEB">
      <w:pPr>
        <w:pStyle w:val="Item"/>
        <w:tabs>
          <w:tab w:val="clear" w:pos="1800"/>
        </w:tabs>
        <w:sectPr w:rsidR="006A0BDB" w:rsidSect="001D2CEB">
          <w:type w:val="continuous"/>
          <w:pgSz w:w="12240" w:h="15840"/>
          <w:pgMar w:top="360" w:right="720" w:bottom="360" w:left="720" w:header="360" w:footer="360" w:gutter="0"/>
          <w:cols w:space="360"/>
          <w:docGrid w:linePitch="360"/>
        </w:sectPr>
      </w:pPr>
    </w:p>
    <w:p w14:paraId="01B59335" w14:textId="77777777" w:rsidR="006A0BDB" w:rsidRPr="002B587E" w:rsidRDefault="006A0BDB" w:rsidP="001D2CEB">
      <w:pPr>
        <w:pStyle w:val="Item"/>
        <w:tabs>
          <w:tab w:val="clear" w:pos="1800"/>
        </w:tabs>
      </w:pPr>
      <w:r w:rsidRPr="002B587E">
        <w:t>(4)</w:t>
      </w:r>
      <w:r w:rsidRPr="002B587E">
        <w:tab/>
        <w:t>This Item specifies the nitrogen wasteload allocation for point sources.</w:t>
      </w:r>
    </w:p>
    <w:p w14:paraId="2DDD0058" w14:textId="77777777" w:rsidR="006A0BDB" w:rsidRPr="002B587E" w:rsidRDefault="006A0BDB" w:rsidP="001D2CEB">
      <w:pPr>
        <w:pStyle w:val="SubItemLvl1"/>
        <w:tabs>
          <w:tab w:val="clear" w:pos="2520"/>
        </w:tabs>
      </w:pPr>
      <w:r w:rsidRPr="002B587E">
        <w:t>(a)</w:t>
      </w:r>
      <w:r w:rsidRPr="002B587E">
        <w:tab/>
        <w:t>In accordance with the Nitrogen TMDL for the Neuse River Estuary, approved in</w:t>
      </w:r>
      <w:r>
        <w:t xml:space="preserve"> </w:t>
      </w:r>
      <w:r w:rsidRPr="002B587E">
        <w:t>1999 by the</w:t>
      </w:r>
      <w:r>
        <w:t xml:space="preserve"> </w:t>
      </w:r>
      <w:r w:rsidRPr="002B587E">
        <w:t>US Environmental Protection Agency (EPA), the nitrogen wasteload allocation for point sources shall not exceed 1.64 million pounds per calendar year. The nitrogen wasteload allowance for point sources shall not exceed the nitrogen wasteload allocation plus any</w:t>
      </w:r>
      <w:r>
        <w:t xml:space="preserve"> </w:t>
      </w:r>
      <w:r w:rsidRPr="002B587E">
        <w:t>nutrient offset credits obtained in accordance with G.S.</w:t>
      </w:r>
      <w:r>
        <w:t xml:space="preserve"> </w:t>
      </w:r>
      <w:r w:rsidRPr="002B587E">
        <w:t>143-214.26 and Rule .0703 of this Section.</w:t>
      </w:r>
    </w:p>
    <w:p w14:paraId="1262EA45" w14:textId="77777777" w:rsidR="006A0BDB" w:rsidRPr="002B587E" w:rsidRDefault="006A0BDB" w:rsidP="001D2CEB">
      <w:pPr>
        <w:pStyle w:val="SubItemLvl1"/>
        <w:tabs>
          <w:tab w:val="clear" w:pos="2520"/>
        </w:tabs>
      </w:pPr>
      <w:r w:rsidRPr="002B587E">
        <w:t>(b)</w:t>
      </w:r>
      <w:r w:rsidRPr="002B587E">
        <w:tab/>
        <w:t>The Commission shall order future revisions in the Nitrogen TMDL and nitrogen wasteload allocation whenever</w:t>
      </w:r>
      <w:r>
        <w:t xml:space="preserve"> </w:t>
      </w:r>
      <w:r w:rsidRPr="002B587E">
        <w:t>necessary to ensure that water quality in the estuary meets all applicable standards in 15A NCAC 02B .0200 or to conform with applicable State or federal requirements.</w:t>
      </w:r>
    </w:p>
    <w:p w14:paraId="77C20951" w14:textId="77777777" w:rsidR="006A0BDB" w:rsidRPr="002B587E" w:rsidRDefault="006A0BDB" w:rsidP="001D2CEB">
      <w:pPr>
        <w:pStyle w:val="Item"/>
        <w:tabs>
          <w:tab w:val="clear" w:pos="1800"/>
        </w:tabs>
      </w:pPr>
      <w:r w:rsidRPr="002B587E">
        <w:t>(5)</w:t>
      </w:r>
      <w:r w:rsidRPr="002B587E">
        <w:tab/>
        <w:t>This Item specifies the initial distribution of nitrogen discharge allocations for point sources.</w:t>
      </w:r>
    </w:p>
    <w:p w14:paraId="69EC67BA" w14:textId="77777777" w:rsidR="006A0BDB" w:rsidRPr="002B587E" w:rsidRDefault="006A0BDB" w:rsidP="001D2CEB">
      <w:pPr>
        <w:pStyle w:val="SubItemLvl1"/>
        <w:tabs>
          <w:tab w:val="clear" w:pos="2520"/>
        </w:tabs>
      </w:pPr>
      <w:r w:rsidRPr="002B587E">
        <w:t>(a)</w:t>
      </w:r>
      <w:r w:rsidRPr="002B587E">
        <w:tab/>
        <w:t>Until revised as provided elsewhere in this Rule, the following group and individual discharge allocations for total nitrogen shall apply in order to comply with the nitrogen wasteload allocation for point sources in Item (4) of this Rule:</w:t>
      </w:r>
    </w:p>
    <w:p w14:paraId="2D543BCA" w14:textId="77777777" w:rsidR="006A0BDB" w:rsidRPr="002B587E" w:rsidRDefault="006A0BDB" w:rsidP="001D2CEB">
      <w:pPr>
        <w:pStyle w:val="SubItemLvl2"/>
      </w:pPr>
      <w:r w:rsidRPr="002B587E">
        <w:t>(i)</w:t>
      </w:r>
      <w:r w:rsidRPr="002B587E">
        <w:tab/>
        <w:t>Dischargers with permitted flows less than 0.5 MGD shall be assigned collectively an annual discharge allocation of 138,000 pounds of total nitrogen.</w:t>
      </w:r>
    </w:p>
    <w:p w14:paraId="13867978" w14:textId="77777777" w:rsidR="006A0BDB" w:rsidRPr="002B587E" w:rsidRDefault="006A0BDB" w:rsidP="001D2CEB">
      <w:pPr>
        <w:pStyle w:val="SubItemLvl2"/>
      </w:pPr>
      <w:r w:rsidRPr="002B587E">
        <w:t>(ii)</w:t>
      </w:r>
      <w:r w:rsidRPr="002B587E">
        <w:tab/>
        <w:t>Dischargers upstream of Falls Lake Dam and with permitted flows greater than or equal to 0.5 MGD shall be assigned collectively an annual discharge allocation of 443,700 pounds of total nitrogen.</w:t>
      </w:r>
    </w:p>
    <w:p w14:paraId="28EEB634" w14:textId="77777777" w:rsidR="006A0BDB" w:rsidRPr="002B587E" w:rsidRDefault="006A0BDB" w:rsidP="001D2CEB">
      <w:pPr>
        <w:pStyle w:val="SubItemLvl2"/>
      </w:pPr>
      <w:r w:rsidRPr="002B587E">
        <w:t>(iii)</w:t>
      </w:r>
      <w:r w:rsidRPr="002B587E">
        <w:tab/>
        <w:t xml:space="preserve">Municipal dischargers downstream of Falls Lake Dam and with permitted flows greater than or equal to 0.5 MGD shall be assigned collectively an annual discharge allocation of </w:t>
      </w:r>
      <w:r w:rsidRPr="002B587E">
        <w:lastRenderedPageBreak/>
        <w:t>2,021,400 pounds of total nitrogen.</w:t>
      </w:r>
    </w:p>
    <w:p w14:paraId="68D0B8E9" w14:textId="77777777" w:rsidR="006A0BDB" w:rsidRPr="002B587E" w:rsidRDefault="006A0BDB" w:rsidP="001D2CEB">
      <w:pPr>
        <w:pStyle w:val="SubItemLvl2"/>
      </w:pPr>
      <w:r w:rsidRPr="002B587E">
        <w:t>(iv)</w:t>
      </w:r>
      <w:r w:rsidRPr="002B587E">
        <w:tab/>
        <w:t>Industrial dischargers downstream of Falls Lake Dam and with permitted flows greater than or equal to 0.5 MGD shall be assigned collectively an annual discharge allocation of 396,900 pounds of total nitrogen.</w:t>
      </w:r>
    </w:p>
    <w:p w14:paraId="2A52C28C" w14:textId="77777777" w:rsidR="006A0BDB" w:rsidRPr="002B587E" w:rsidRDefault="006A0BDB" w:rsidP="001D2CEB">
      <w:pPr>
        <w:pStyle w:val="SubItemLvl2"/>
      </w:pPr>
      <w:r w:rsidRPr="002B587E">
        <w:t>(v)</w:t>
      </w:r>
      <w:r w:rsidRPr="002B587E">
        <w:tab/>
        <w:t>Within each group in Sub-Items (i) - (iv) of this Item, each individual discharger shall be assigned an individual discharge allocation and the equivalent estuary allocation. Each discharger's discharge allocation shall be calculated as its permitted flow divided by the total permitted flow of the group, multiplied by the group discharge allocation.</w:t>
      </w:r>
    </w:p>
    <w:p w14:paraId="43FE5105" w14:textId="77777777" w:rsidR="006A0BDB" w:rsidRPr="002B587E" w:rsidRDefault="006A0BDB" w:rsidP="001D2CEB">
      <w:pPr>
        <w:pStyle w:val="SubItemLvl1"/>
        <w:tabs>
          <w:tab w:val="clear" w:pos="2520"/>
        </w:tabs>
      </w:pPr>
      <w:r w:rsidRPr="002B587E">
        <w:t>(b)</w:t>
      </w:r>
      <w:r w:rsidRPr="002B587E">
        <w:tab/>
        <w:t>In the event that the nitrogen TMDL and its wasteload allocation for point sources are revised, as provided in Item (4) of this Rule, the Commission shall apportion the revised load among the existing facilities and shall revise discharge allocations as needed. The Commission may consider such factors as:</w:t>
      </w:r>
    </w:p>
    <w:p w14:paraId="0E7716B2" w14:textId="77777777" w:rsidR="006A0BDB" w:rsidRPr="002B587E" w:rsidRDefault="006A0BDB" w:rsidP="001D2CEB">
      <w:pPr>
        <w:pStyle w:val="SubItemLvl2"/>
      </w:pPr>
      <w:r w:rsidRPr="002B587E">
        <w:t>(i)</w:t>
      </w:r>
      <w:r w:rsidRPr="002B587E">
        <w:tab/>
        <w:t>fate and transport of nitrogen in the river basin;</w:t>
      </w:r>
    </w:p>
    <w:p w14:paraId="09AE5108" w14:textId="77777777" w:rsidR="006A0BDB" w:rsidRPr="002B587E" w:rsidRDefault="006A0BDB" w:rsidP="001D2CEB">
      <w:pPr>
        <w:pStyle w:val="SubItemLvl2"/>
      </w:pPr>
      <w:r w:rsidRPr="002B587E">
        <w:t>(ii)</w:t>
      </w:r>
      <w:r w:rsidRPr="002B587E">
        <w:tab/>
        <w:t>technical feasibility and economic reasonableness of source reduction and treatment methods;</w:t>
      </w:r>
    </w:p>
    <w:p w14:paraId="7F675361" w14:textId="77777777" w:rsidR="006A0BDB" w:rsidRPr="002B587E" w:rsidRDefault="006A0BDB" w:rsidP="001D2CEB">
      <w:pPr>
        <w:pStyle w:val="SubItemLvl2"/>
      </w:pPr>
      <w:r w:rsidRPr="002B587E">
        <w:t>(iii)</w:t>
      </w:r>
      <w:r w:rsidRPr="002B587E">
        <w:tab/>
        <w:t>economies of scale;</w:t>
      </w:r>
    </w:p>
    <w:p w14:paraId="39F6A846" w14:textId="77777777" w:rsidR="006A0BDB" w:rsidRPr="002B587E" w:rsidRDefault="006A0BDB" w:rsidP="001D2CEB">
      <w:pPr>
        <w:pStyle w:val="SubItemLvl2"/>
      </w:pPr>
      <w:r w:rsidRPr="002B587E">
        <w:t>(iv)</w:t>
      </w:r>
      <w:r w:rsidRPr="002B587E">
        <w:tab/>
        <w:t>nitrogen control measures already implemented;</w:t>
      </w:r>
    </w:p>
    <w:p w14:paraId="46A25EF8" w14:textId="77777777" w:rsidR="006A0BDB" w:rsidRPr="002B587E" w:rsidRDefault="006A0BDB" w:rsidP="001D2CEB">
      <w:pPr>
        <w:pStyle w:val="SubItemLvl2"/>
      </w:pPr>
      <w:r w:rsidRPr="002B587E">
        <w:t>(v)</w:t>
      </w:r>
      <w:r w:rsidRPr="002B587E">
        <w:tab/>
        <w:t>probable need for growth and expansion; and</w:t>
      </w:r>
    </w:p>
    <w:p w14:paraId="5E222C41" w14:textId="77777777" w:rsidR="006A0BDB" w:rsidRPr="002B587E" w:rsidRDefault="006A0BDB" w:rsidP="001D2CEB">
      <w:pPr>
        <w:pStyle w:val="SubItemLvl2"/>
      </w:pPr>
      <w:r w:rsidRPr="002B587E">
        <w:t>(vi)</w:t>
      </w:r>
      <w:r w:rsidRPr="002B587E">
        <w:tab/>
        <w:t>incentives for nutrient management planning, utilities management, resource protection, and cooperative efforts among dischargers.</w:t>
      </w:r>
    </w:p>
    <w:p w14:paraId="6008A37C" w14:textId="77777777" w:rsidR="006A0BDB" w:rsidRPr="002B587E" w:rsidRDefault="006A0BDB" w:rsidP="001D2CEB">
      <w:pPr>
        <w:pStyle w:val="Item"/>
        <w:tabs>
          <w:tab w:val="clear" w:pos="1800"/>
        </w:tabs>
      </w:pPr>
      <w:r w:rsidRPr="002B587E">
        <w:t>(6)</w:t>
      </w:r>
      <w:r w:rsidRPr="002B587E">
        <w:tab/>
        <w:t>This Item specifies nutrient controls for existing facilities.</w:t>
      </w:r>
    </w:p>
    <w:p w14:paraId="4674BF23" w14:textId="77777777" w:rsidR="006A0BDB" w:rsidRPr="002B587E" w:rsidRDefault="006A0BDB" w:rsidP="001D2CEB">
      <w:pPr>
        <w:pStyle w:val="SubItemLvl1"/>
        <w:tabs>
          <w:tab w:val="clear" w:pos="2520"/>
        </w:tabs>
      </w:pPr>
      <w:r w:rsidRPr="002B587E">
        <w:t>(a)</w:t>
      </w:r>
      <w:r w:rsidRPr="002B587E">
        <w:tab/>
        <w:t>Beginning with calendar year 2003, each discharger with a permitted flow equal to or greater than 0.5 MGD shall be subject to a total nitrogen permit limit equal to the sum of its active individual discharge allocation, pursuant to Item (5) of this</w:t>
      </w:r>
      <w:r>
        <w:t xml:space="preserve"> </w:t>
      </w:r>
      <w:r w:rsidRPr="002B587E">
        <w:t xml:space="preserve">Rule and </w:t>
      </w:r>
      <w:r w:rsidRPr="002B587E">
        <w:t>any active allocation or nutrient offset credits acquired pursuant to</w:t>
      </w:r>
      <w:r>
        <w:t xml:space="preserve"> </w:t>
      </w:r>
      <w:r w:rsidRPr="002B587E">
        <w:t>Rule .0703 of this Section.</w:t>
      </w:r>
    </w:p>
    <w:p w14:paraId="07D57B8F" w14:textId="77777777" w:rsidR="006A0BDB" w:rsidRPr="002B587E" w:rsidRDefault="006A0BDB" w:rsidP="001D2CEB">
      <w:pPr>
        <w:pStyle w:val="SubItemLvl1"/>
        <w:tabs>
          <w:tab w:val="clear" w:pos="2520"/>
        </w:tabs>
      </w:pPr>
      <w:r w:rsidRPr="002B587E">
        <w:t>(b)</w:t>
      </w:r>
      <w:r w:rsidRPr="002B587E">
        <w:tab/>
        <w:t>All existing facilities below Falls Lake Dam with permitted flows greater than or equal to 0.5 MGD shall meet a quarterly average total phosphorus limit of 2 mg/L.</w:t>
      </w:r>
    </w:p>
    <w:p w14:paraId="23F1C843" w14:textId="77777777" w:rsidR="006A0BDB" w:rsidRPr="002B587E" w:rsidRDefault="006A0BDB" w:rsidP="001D2CEB">
      <w:pPr>
        <w:pStyle w:val="SubItemLvl1"/>
        <w:tabs>
          <w:tab w:val="clear" w:pos="2520"/>
        </w:tabs>
      </w:pPr>
      <w:r w:rsidRPr="002B587E">
        <w:t>(c)</w:t>
      </w:r>
      <w:r w:rsidRPr="002B587E">
        <w:tab/>
        <w:t>The Director shall modify an existing facility's permit to establish more stringent limits for nitrogen or phosphorus upon finding that such limits are necessary to protect water quality standards in localized areas.</w:t>
      </w:r>
    </w:p>
    <w:p w14:paraId="0D9C655F" w14:textId="77777777" w:rsidR="006A0BDB" w:rsidRPr="002B587E" w:rsidRDefault="006A0BDB" w:rsidP="001D2CEB">
      <w:pPr>
        <w:pStyle w:val="Item"/>
        <w:tabs>
          <w:tab w:val="clear" w:pos="1800"/>
        </w:tabs>
      </w:pPr>
      <w:r w:rsidRPr="002B587E">
        <w:t>(7)</w:t>
      </w:r>
      <w:r w:rsidRPr="002B587E">
        <w:tab/>
        <w:t>This Item specifies nutrient controls for new facilities.</w:t>
      </w:r>
    </w:p>
    <w:p w14:paraId="43E99560" w14:textId="77777777" w:rsidR="006A0BDB" w:rsidRPr="002B587E" w:rsidRDefault="006A0BDB" w:rsidP="001D2CEB">
      <w:pPr>
        <w:pStyle w:val="SubItemLvl1"/>
        <w:tabs>
          <w:tab w:val="clear" w:pos="2520"/>
        </w:tabs>
      </w:pPr>
      <w:r w:rsidRPr="002B587E">
        <w:t>(a)</w:t>
      </w:r>
      <w:r w:rsidRPr="002B587E">
        <w:tab/>
        <w:t>New facilities proposing to discharge wastewater shall evaluate all practical alternatives to surface water discharge</w:t>
      </w:r>
      <w:r>
        <w:t xml:space="preserve"> </w:t>
      </w:r>
      <w:r w:rsidRPr="002B587E">
        <w:t>pursuant to 15A NCAC 02H</w:t>
      </w:r>
      <w:r>
        <w:t xml:space="preserve"> </w:t>
      </w:r>
      <w:r w:rsidRPr="002B587E">
        <w:t>.0105(c)(2) prior to submitting an application to discharge.</w:t>
      </w:r>
    </w:p>
    <w:p w14:paraId="73144FA0" w14:textId="77777777" w:rsidR="006A0BDB" w:rsidRPr="002B587E" w:rsidRDefault="006A0BDB" w:rsidP="001D2CEB">
      <w:pPr>
        <w:pStyle w:val="SubItemLvl1"/>
        <w:tabs>
          <w:tab w:val="clear" w:pos="2520"/>
        </w:tabs>
      </w:pPr>
      <w:r w:rsidRPr="002B587E">
        <w:t>(b)</w:t>
      </w:r>
      <w:r w:rsidRPr="002B587E">
        <w:tab/>
        <w:t>New facilities submitting an application shall acquire, or demonstrate contractual agreement to</w:t>
      </w:r>
      <w:r>
        <w:t xml:space="preserve"> </w:t>
      </w:r>
      <w:r w:rsidRPr="002B587E">
        <w:t>acquire prior to authorization to discharge, nitrogen allocation from existing dischargers or nitrogen offset credits pursuant to</w:t>
      </w:r>
      <w:r>
        <w:t xml:space="preserve"> </w:t>
      </w:r>
      <w:r w:rsidRPr="002B587E">
        <w:t>Rule .0703 of this Section for the proposed discharge. The allocation and offset</w:t>
      </w:r>
      <w:r>
        <w:t xml:space="preserve"> </w:t>
      </w:r>
      <w:r w:rsidRPr="002B587E">
        <w:t>credits shall be sufficient for</w:t>
      </w:r>
      <w:r>
        <w:t xml:space="preserve"> </w:t>
      </w:r>
      <w:r w:rsidRPr="002B587E">
        <w:t>any partial calendar year in which the permit becomes effective plus 10 subsequent years of discharge at the proposed design flow</w:t>
      </w:r>
      <w:r>
        <w:t xml:space="preserve"> </w:t>
      </w:r>
      <w:r w:rsidRPr="002B587E">
        <w:t>rate in accordance with 15A NCAC 02H .0112(c).</w:t>
      </w:r>
      <w:r>
        <w:t xml:space="preserve"> </w:t>
      </w:r>
    </w:p>
    <w:p w14:paraId="6D3F9F77" w14:textId="77777777" w:rsidR="006A0BDB" w:rsidRPr="002B587E" w:rsidRDefault="006A0BDB" w:rsidP="001D2CEB">
      <w:pPr>
        <w:pStyle w:val="SubItemLvl1"/>
        <w:tabs>
          <w:tab w:val="clear" w:pos="2520"/>
        </w:tabs>
      </w:pPr>
      <w:r w:rsidRPr="002B587E">
        <w:t>(c)</w:t>
      </w:r>
      <w:r w:rsidRPr="002B587E">
        <w:tab/>
        <w:t>The Director shall not issue a permit authorizing discharge from a new facility unless the applicant has satisfied the requirements of Sub-Items (a), (b), and (e) of this Item. If a new facility's permit contains tiered flow limits for expansion, the Director shall not authorize an increased discharge unless the applicant has satisfied the requirements of Sub-Items (a), (b), and (e) of this Item for that discharge.</w:t>
      </w:r>
    </w:p>
    <w:p w14:paraId="3CD57943" w14:textId="77777777" w:rsidR="006A0BDB" w:rsidRPr="002B587E" w:rsidRDefault="006A0BDB" w:rsidP="001D2CEB">
      <w:pPr>
        <w:pStyle w:val="SubItemLvl1"/>
        <w:tabs>
          <w:tab w:val="clear" w:pos="2520"/>
        </w:tabs>
      </w:pPr>
      <w:r w:rsidRPr="002B587E">
        <w:t>(d)</w:t>
      </w:r>
      <w:r w:rsidRPr="002B587E">
        <w:tab/>
        <w:t>The</w:t>
      </w:r>
      <w:r>
        <w:t xml:space="preserve"> </w:t>
      </w:r>
      <w:r w:rsidRPr="002B587E">
        <w:t>nitrogen discharge limit for a new facility shall not exceed the nitrogen load equivalent to its active allocation and offset credits, or the</w:t>
      </w:r>
      <w:r>
        <w:t xml:space="preserve"> </w:t>
      </w:r>
      <w:r w:rsidRPr="002B587E">
        <w:t>following technology-based mass limit, whichever is less:</w:t>
      </w:r>
      <w:r>
        <w:t xml:space="preserve"> </w:t>
      </w:r>
    </w:p>
    <w:p w14:paraId="6499E1DE" w14:textId="77777777" w:rsidR="006A0BDB" w:rsidRPr="002B587E" w:rsidRDefault="006A0BDB" w:rsidP="001D2CEB">
      <w:pPr>
        <w:pStyle w:val="SubItemLvl2"/>
      </w:pPr>
      <w:r w:rsidRPr="002B587E">
        <w:t>(i)</w:t>
      </w:r>
      <w:r w:rsidRPr="002B587E">
        <w:tab/>
        <w:t xml:space="preserve">For facilities treating municipal or domestic wastewaters, the mass load equivalent to a concentration </w:t>
      </w:r>
      <w:r w:rsidRPr="002B587E">
        <w:lastRenderedPageBreak/>
        <w:t>of 3.5 mg/L at the monthly average flow limit in the facility's NPDES permit; and</w:t>
      </w:r>
    </w:p>
    <w:p w14:paraId="7E7AFC61" w14:textId="77777777" w:rsidR="006A0BDB" w:rsidRPr="002B587E" w:rsidRDefault="006A0BDB" w:rsidP="001D2CEB">
      <w:pPr>
        <w:pStyle w:val="SubItemLvl2"/>
      </w:pPr>
      <w:r w:rsidRPr="002B587E">
        <w:t>(ii)</w:t>
      </w:r>
      <w:r w:rsidRPr="002B587E">
        <w:tab/>
        <w:t>For facilities treating industrial wastewaters, the mass load equivalent to</w:t>
      </w:r>
      <w:r>
        <w:t xml:space="preserve"> </w:t>
      </w:r>
      <w:r w:rsidRPr="002B587E">
        <w:t>the best available technology economically</w:t>
      </w:r>
      <w:r>
        <w:t xml:space="preserve"> </w:t>
      </w:r>
      <w:r w:rsidRPr="002B587E">
        <w:t>achievable, calculated at the monthly average flow limit in the facility's NPDES</w:t>
      </w:r>
      <w:r>
        <w:t xml:space="preserve"> </w:t>
      </w:r>
      <w:r w:rsidRPr="002B587E">
        <w:t>permit.</w:t>
      </w:r>
    </w:p>
    <w:p w14:paraId="4F31034F" w14:textId="77777777" w:rsidR="006A0BDB" w:rsidRPr="002B587E" w:rsidRDefault="006A0BDB" w:rsidP="001D2CEB">
      <w:pPr>
        <w:pStyle w:val="SubItemLvl1"/>
        <w:tabs>
          <w:tab w:val="clear" w:pos="2520"/>
        </w:tabs>
      </w:pPr>
      <w:r w:rsidRPr="002B587E">
        <w:t>(e)</w:t>
      </w:r>
      <w:r w:rsidRPr="002B587E">
        <w:tab/>
        <w:t>Subsequent applications for permit renewal or, where an existing permit contains tiered limits, requests to discharge at an increased flow shall demonstrate that the facility has sufficient nitrogen allocation or offset credits to meet its effluent nutrient limitations for</w:t>
      </w:r>
      <w:r>
        <w:t xml:space="preserve"> </w:t>
      </w:r>
      <w:r w:rsidRPr="002B587E">
        <w:t>any partial calendar year in which the permit becomes effective plus 10 subsequent years of discharge at the proposed design flow rate.</w:t>
      </w:r>
    </w:p>
    <w:p w14:paraId="2658C119" w14:textId="77777777" w:rsidR="006A0BDB" w:rsidRPr="002B587E" w:rsidRDefault="006A0BDB" w:rsidP="001D2CEB">
      <w:pPr>
        <w:pStyle w:val="SubItemLvl1"/>
        <w:tabs>
          <w:tab w:val="clear" w:pos="2520"/>
        </w:tabs>
      </w:pPr>
      <w:r w:rsidRPr="002B587E">
        <w:t>(f)</w:t>
      </w:r>
      <w:r w:rsidRPr="002B587E">
        <w:tab/>
        <w:t>New dischargers shall meet a monthly average total phosphorous limit of 1.0 mg/L.</w:t>
      </w:r>
    </w:p>
    <w:p w14:paraId="35F495ED" w14:textId="77777777" w:rsidR="006A0BDB" w:rsidRPr="002B587E" w:rsidRDefault="006A0BDB" w:rsidP="001D2CEB">
      <w:pPr>
        <w:pStyle w:val="SubItemLvl1"/>
        <w:tabs>
          <w:tab w:val="clear" w:pos="2520"/>
        </w:tabs>
      </w:pPr>
      <w:r w:rsidRPr="002B587E">
        <w:t>(g)</w:t>
      </w:r>
      <w:r w:rsidRPr="002B587E">
        <w:tab/>
        <w:t>The Director shall establish more stringent limits for nitrogen or phosphorus upon finding that such limits are necessary to protect water quality standards in localized areas.</w:t>
      </w:r>
    </w:p>
    <w:p w14:paraId="032887A2" w14:textId="77777777" w:rsidR="006A0BDB" w:rsidRPr="002B587E" w:rsidRDefault="006A0BDB" w:rsidP="001D2CEB">
      <w:pPr>
        <w:pStyle w:val="Item"/>
        <w:tabs>
          <w:tab w:val="clear" w:pos="1800"/>
        </w:tabs>
      </w:pPr>
      <w:r w:rsidRPr="002B587E">
        <w:t>(8)</w:t>
      </w:r>
      <w:r w:rsidRPr="002B587E">
        <w:tab/>
        <w:t>This Item specifies nutrient controls for expanding facilities.</w:t>
      </w:r>
    </w:p>
    <w:p w14:paraId="44E7FFDC" w14:textId="77777777" w:rsidR="006A0BDB" w:rsidRPr="002B587E" w:rsidRDefault="006A0BDB" w:rsidP="001D2CEB">
      <w:pPr>
        <w:pStyle w:val="SubItemLvl1"/>
        <w:tabs>
          <w:tab w:val="clear" w:pos="2520"/>
        </w:tabs>
      </w:pPr>
      <w:r w:rsidRPr="002B587E">
        <w:t>(a)</w:t>
      </w:r>
      <w:r w:rsidRPr="002B587E">
        <w:tab/>
        <w:t>Expanding facilities shall evaluate all practical alternatives to surface water discharge,</w:t>
      </w:r>
      <w:r>
        <w:t xml:space="preserve"> </w:t>
      </w:r>
      <w:r w:rsidRPr="002B587E">
        <w:t>pursuant to 15A NCAC 02H</w:t>
      </w:r>
      <w:r>
        <w:t xml:space="preserve"> </w:t>
      </w:r>
      <w:r w:rsidRPr="002B587E">
        <w:t>.0105(c)(2) prior to submitting an application to discharge.</w:t>
      </w:r>
    </w:p>
    <w:p w14:paraId="134F62A2" w14:textId="77777777" w:rsidR="006A0BDB" w:rsidRPr="002B587E" w:rsidRDefault="006A0BDB" w:rsidP="001D2CEB">
      <w:pPr>
        <w:pStyle w:val="SubItemLvl1"/>
        <w:tabs>
          <w:tab w:val="clear" w:pos="2520"/>
        </w:tabs>
      </w:pPr>
      <w:r w:rsidRPr="002B587E">
        <w:t>(b)</w:t>
      </w:r>
      <w:r w:rsidRPr="002B587E">
        <w:tab/>
        <w:t>Facilities submitting application for increased discharge or, where an existing permit contains tiered limits, for authorization to</w:t>
      </w:r>
      <w:r>
        <w:t xml:space="preserve"> </w:t>
      </w:r>
      <w:r w:rsidRPr="002B587E">
        <w:t>discharge at an increased flow, shall acquire, or demonstrate contractual agreement to</w:t>
      </w:r>
      <w:r>
        <w:t xml:space="preserve"> </w:t>
      </w:r>
      <w:r w:rsidRPr="002B587E">
        <w:t>acquire prior to authorization to discharge at the increased flow, nitrogen allocation from existing dischargers or</w:t>
      </w:r>
      <w:r>
        <w:t xml:space="preserve"> </w:t>
      </w:r>
      <w:r w:rsidRPr="002B587E">
        <w:t>nitrogen offset credits pursuant to</w:t>
      </w:r>
      <w:r>
        <w:t xml:space="preserve"> </w:t>
      </w:r>
      <w:r w:rsidRPr="002B587E">
        <w:t>Rule .0703 of this Section, or both, for the proposed discharge. The allocation and offset credits shall be sufficient for</w:t>
      </w:r>
      <w:r>
        <w:t xml:space="preserve"> </w:t>
      </w:r>
      <w:r w:rsidRPr="002B587E">
        <w:t>any partial calendar year in which the permit becomes effective plus 10 subsequent years of discharge at</w:t>
      </w:r>
      <w:r>
        <w:t xml:space="preserve"> </w:t>
      </w:r>
      <w:r w:rsidRPr="002B587E">
        <w:t>the proposed design flow</w:t>
      </w:r>
      <w:r>
        <w:t xml:space="preserve"> </w:t>
      </w:r>
      <w:r w:rsidRPr="002B587E">
        <w:t>rate in accordance with 15A NCAC 02H .0112(c).</w:t>
      </w:r>
      <w:r>
        <w:t xml:space="preserve"> </w:t>
      </w:r>
    </w:p>
    <w:p w14:paraId="6787A4CF" w14:textId="77777777" w:rsidR="006A0BDB" w:rsidRPr="002B587E" w:rsidRDefault="006A0BDB" w:rsidP="001D2CEB">
      <w:pPr>
        <w:pStyle w:val="SubItemLvl1"/>
      </w:pPr>
      <w:r w:rsidRPr="002B587E">
        <w:t>(c)</w:t>
      </w:r>
      <w:r>
        <w:tab/>
      </w:r>
      <w:r w:rsidRPr="002B587E">
        <w:t>The</w:t>
      </w:r>
      <w:r>
        <w:t xml:space="preserve"> </w:t>
      </w:r>
      <w:r w:rsidRPr="002B587E">
        <w:t>Director shall not issue a permit authorizing</w:t>
      </w:r>
      <w:r>
        <w:t xml:space="preserve"> </w:t>
      </w:r>
      <w:r w:rsidRPr="002B587E">
        <w:t xml:space="preserve">increased discharge from </w:t>
      </w:r>
      <w:r w:rsidRPr="002B587E">
        <w:t>an existing facility unless the applicant has satisfied the requirements of</w:t>
      </w:r>
      <w:r>
        <w:t xml:space="preserve"> </w:t>
      </w:r>
      <w:r w:rsidRPr="002B587E">
        <w:t>Sub-Items (a), (b), and (e) of this Item. If a facility's permit contains tiered flow limits for expansion, the</w:t>
      </w:r>
      <w:r>
        <w:t xml:space="preserve"> </w:t>
      </w:r>
      <w:r w:rsidRPr="002B587E">
        <w:t>Director shall not</w:t>
      </w:r>
      <w:r>
        <w:t xml:space="preserve"> </w:t>
      </w:r>
      <w:r w:rsidRPr="002B587E">
        <w:t>authorize discharge at an increased flow unless the applicant has satisfied the requirements of</w:t>
      </w:r>
      <w:r>
        <w:t xml:space="preserve"> </w:t>
      </w:r>
      <w:r w:rsidRPr="002B587E">
        <w:t>Sub-Items (a), (b), and (e) of this Item.</w:t>
      </w:r>
    </w:p>
    <w:p w14:paraId="59CA8FBC" w14:textId="77777777" w:rsidR="006A0BDB" w:rsidRPr="002B587E" w:rsidRDefault="006A0BDB" w:rsidP="001D2CEB">
      <w:pPr>
        <w:pStyle w:val="SubItemLvl1"/>
        <w:tabs>
          <w:tab w:val="clear" w:pos="2520"/>
        </w:tabs>
      </w:pPr>
      <w:r w:rsidRPr="002B587E">
        <w:t>(d)</w:t>
      </w:r>
      <w:r w:rsidRPr="002B587E">
        <w:tab/>
        <w:t>The nitrogen discharge limit for an expanded facility shall not exceed the nitrogen load equivalent to its active allocation and offset credits, or the</w:t>
      </w:r>
      <w:r>
        <w:t xml:space="preserve"> </w:t>
      </w:r>
      <w:r w:rsidRPr="002B587E">
        <w:t>following technology-based mass limit, whichever is less:</w:t>
      </w:r>
      <w:r>
        <w:t xml:space="preserve"> </w:t>
      </w:r>
    </w:p>
    <w:p w14:paraId="4AF906C6" w14:textId="77777777" w:rsidR="006A0BDB" w:rsidRPr="002B587E" w:rsidRDefault="006A0BDB" w:rsidP="001D2CEB">
      <w:pPr>
        <w:pStyle w:val="SubItemLvl2"/>
      </w:pPr>
      <w:r w:rsidRPr="002B587E">
        <w:t>(i)</w:t>
      </w:r>
      <w:r w:rsidRPr="002B587E">
        <w:tab/>
        <w:t>For facilities treating municipal or domestic wastewaters, the mass equivalent to a concentration of 3.5 mg/L at the monthly average flow limit in the facility's modified NPDES</w:t>
      </w:r>
      <w:r>
        <w:t xml:space="preserve"> </w:t>
      </w:r>
      <w:r w:rsidRPr="002B587E">
        <w:t>permit, except that the limit shall be no less than the facility's original allocation per Item (5) of this Rule; and</w:t>
      </w:r>
    </w:p>
    <w:p w14:paraId="4E85ADD9" w14:textId="77777777" w:rsidR="006A0BDB" w:rsidRPr="002B587E" w:rsidRDefault="006A0BDB" w:rsidP="001D2CEB">
      <w:pPr>
        <w:pStyle w:val="SubItemLvl2"/>
      </w:pPr>
      <w:r w:rsidRPr="002B587E">
        <w:t>(ii)</w:t>
      </w:r>
      <w:r w:rsidRPr="002B587E">
        <w:tab/>
        <w:t>For facilities</w:t>
      </w:r>
      <w:r>
        <w:t xml:space="preserve"> </w:t>
      </w:r>
      <w:r w:rsidRPr="002B587E">
        <w:t>treating industrial</w:t>
      </w:r>
      <w:r>
        <w:t xml:space="preserve"> </w:t>
      </w:r>
      <w:r w:rsidRPr="002B587E">
        <w:t>wastewaters, the mass equivalent to the best available technology economically</w:t>
      </w:r>
      <w:r>
        <w:t xml:space="preserve"> </w:t>
      </w:r>
      <w:r w:rsidRPr="002B587E">
        <w:t>achievable, calculated at the monthly average flow limit in the facility's modified NPDES</w:t>
      </w:r>
      <w:r>
        <w:t xml:space="preserve"> </w:t>
      </w:r>
      <w:r w:rsidRPr="002B587E">
        <w:t>permit.</w:t>
      </w:r>
    </w:p>
    <w:p w14:paraId="796B4874" w14:textId="77777777" w:rsidR="006A0BDB" w:rsidRPr="002B587E" w:rsidRDefault="006A0BDB" w:rsidP="001D2CEB">
      <w:pPr>
        <w:pStyle w:val="SubItemLvl1"/>
        <w:tabs>
          <w:tab w:val="clear" w:pos="2520"/>
        </w:tabs>
      </w:pPr>
      <w:r w:rsidRPr="002B587E">
        <w:t>(e)</w:t>
      </w:r>
      <w:r w:rsidRPr="002B587E">
        <w:tab/>
        <w:t>Subsequent applications for permit renewal or, where an existing permit contains tiered limits, requests to discharge at an increased flow shall</w:t>
      </w:r>
      <w:r>
        <w:t xml:space="preserve"> </w:t>
      </w:r>
      <w:r w:rsidRPr="002B587E">
        <w:t>demonstrate that the facility has sufficient</w:t>
      </w:r>
      <w:r>
        <w:t xml:space="preserve"> </w:t>
      </w:r>
      <w:r w:rsidRPr="002B587E">
        <w:t>nitrogen allocation or offset credits to meet its effluent nutrient limitations for</w:t>
      </w:r>
      <w:r>
        <w:t xml:space="preserve"> </w:t>
      </w:r>
      <w:r w:rsidRPr="002B587E">
        <w:t>any partial calendar year in which the permit becomes effective plus 10 subsequent years of discharge at the proposed design flow rate.</w:t>
      </w:r>
    </w:p>
    <w:p w14:paraId="23C77630" w14:textId="77777777" w:rsidR="006A0BDB" w:rsidRPr="002B587E" w:rsidRDefault="006A0BDB" w:rsidP="001D2CEB">
      <w:pPr>
        <w:pStyle w:val="SubItemLvl1"/>
        <w:tabs>
          <w:tab w:val="clear" w:pos="2520"/>
        </w:tabs>
      </w:pPr>
      <w:r w:rsidRPr="002B587E">
        <w:t>(f)</w:t>
      </w:r>
      <w:r w:rsidRPr="002B587E">
        <w:tab/>
        <w:t>Expanding facilities shall meet a monthly average total phosphorous limit of 1.0 mg/L unless they are a co-permittee member of a group compliance association described in Item (9) of this Rule, in which case they shall meet a quarterly average total phosphorus limit of 2.0 mg/L.</w:t>
      </w:r>
    </w:p>
    <w:p w14:paraId="360DE694" w14:textId="77777777" w:rsidR="006A0BDB" w:rsidRPr="002B587E" w:rsidRDefault="006A0BDB" w:rsidP="001D2CEB">
      <w:pPr>
        <w:pStyle w:val="SubItemLvl1"/>
        <w:tabs>
          <w:tab w:val="clear" w:pos="2520"/>
        </w:tabs>
      </w:pPr>
      <w:r w:rsidRPr="002B587E">
        <w:t>(g)</w:t>
      </w:r>
      <w:r w:rsidRPr="002B587E">
        <w:tab/>
        <w:t xml:space="preserve">The Director shall modify an expanding facility's permit to establish more stringent limits for nitrogen or phosphorus upon finding that such </w:t>
      </w:r>
      <w:r w:rsidRPr="002B587E">
        <w:lastRenderedPageBreak/>
        <w:t>limits are necessary to protect water quality standards in localized areas.</w:t>
      </w:r>
    </w:p>
    <w:p w14:paraId="4E539F1F" w14:textId="77777777" w:rsidR="006A0BDB" w:rsidRPr="002B587E" w:rsidRDefault="006A0BDB" w:rsidP="001D2CEB">
      <w:pPr>
        <w:pStyle w:val="Item"/>
        <w:tabs>
          <w:tab w:val="clear" w:pos="1800"/>
        </w:tabs>
      </w:pPr>
      <w:r w:rsidRPr="002B587E">
        <w:t>(9)</w:t>
      </w:r>
      <w:r w:rsidRPr="002B587E">
        <w:tab/>
        <w:t>This Item describes the option for dischargers to join a group compliance association to collectively meet nitrogen load limits.</w:t>
      </w:r>
    </w:p>
    <w:p w14:paraId="790C3C8E" w14:textId="77777777" w:rsidR="006A0BDB" w:rsidRPr="002B587E" w:rsidRDefault="006A0BDB" w:rsidP="001D2CEB">
      <w:pPr>
        <w:pStyle w:val="SubItemLvl1"/>
        <w:tabs>
          <w:tab w:val="clear" w:pos="2520"/>
        </w:tabs>
      </w:pPr>
      <w:r w:rsidRPr="002B587E">
        <w:t>(a)</w:t>
      </w:r>
      <w:r w:rsidRPr="002B587E">
        <w:tab/>
        <w:t>Any or all facilities within the basin may form a group compliance association to meet nitrogen limits collectively. Any such association shall apply for and shall be subject to an NPDES group permit that establishes the effective total nitrogen limits, expressed as loads delivered to the estuary, for the association and for its members. More than one group compliance association may be established. No facility may be a co-permittee member of more than one association formed pursuant to this Rule at any given time.</w:t>
      </w:r>
    </w:p>
    <w:p w14:paraId="657BFAAF" w14:textId="77777777" w:rsidR="006A0BDB" w:rsidRPr="002B587E" w:rsidRDefault="006A0BDB" w:rsidP="001D2CEB">
      <w:pPr>
        <w:pStyle w:val="SubItemLvl1"/>
        <w:tabs>
          <w:tab w:val="clear" w:pos="2520"/>
        </w:tabs>
      </w:pPr>
      <w:r w:rsidRPr="002B587E">
        <w:t>(b)</w:t>
      </w:r>
      <w:r w:rsidRPr="002B587E">
        <w:tab/>
        <w:t>No later than 180 days prior to coverage under a new NPDES group permit, or expiration of an existing group permit, the association and its members shall submit an application for an NPDES permit for the discharge of total nitrogen to the surface waters of the Neuse River Basin. The NPDES group permit shall be issued to the association and its members as co-permittees.</w:t>
      </w:r>
    </w:p>
    <w:p w14:paraId="604D0961" w14:textId="77777777" w:rsidR="006A0BDB" w:rsidRPr="002B587E" w:rsidRDefault="006A0BDB" w:rsidP="001D2CEB">
      <w:pPr>
        <w:pStyle w:val="SubItemLvl1"/>
        <w:tabs>
          <w:tab w:val="clear" w:pos="2520"/>
        </w:tabs>
      </w:pPr>
      <w:r w:rsidRPr="002B587E">
        <w:t>(c)</w:t>
      </w:r>
      <w:r w:rsidRPr="002B587E">
        <w:tab/>
        <w:t>An association's estuary limit of total nitrogen shall be the sum of its members' individual estuary allocations and nutrient offset credits plus any other estuary allocation and offset credits obtained by the association or its members pursuant to this strategy.</w:t>
      </w:r>
    </w:p>
    <w:p w14:paraId="066DA71B" w14:textId="77777777" w:rsidR="006A0BDB" w:rsidRPr="002B587E" w:rsidRDefault="006A0BDB" w:rsidP="001D2CEB">
      <w:pPr>
        <w:pStyle w:val="SubItemLvl1"/>
        <w:tabs>
          <w:tab w:val="clear" w:pos="2520"/>
        </w:tabs>
      </w:pPr>
      <w:r w:rsidRPr="002B587E">
        <w:t>(d)</w:t>
      </w:r>
      <w:r w:rsidRPr="002B587E">
        <w:tab/>
        <w:t>An association and its members may reapportion their individual estuary allocations and nutrient offset credits on an annual basis. The NPDES group permit shall be modified to reflect the revised individual estuary allocations and limits.</w:t>
      </w:r>
    </w:p>
    <w:p w14:paraId="37B07A9F" w14:textId="77777777" w:rsidR="006A0BDB" w:rsidRPr="002B587E" w:rsidRDefault="006A0BDB" w:rsidP="001D2CEB">
      <w:pPr>
        <w:pStyle w:val="SubItemLvl1"/>
        <w:tabs>
          <w:tab w:val="clear" w:pos="2520"/>
        </w:tabs>
      </w:pPr>
      <w:r w:rsidRPr="002B587E">
        <w:t>(e)</w:t>
      </w:r>
      <w:r w:rsidRPr="002B587E">
        <w:tab/>
        <w:t>If an association does not meet its estuary limit in any year, it shall obtain nutrient offset credits in accordance with G.S. 143-214.26 to offset its mass exceedance no later than May 1 of the following year.</w:t>
      </w:r>
    </w:p>
    <w:p w14:paraId="085CE801" w14:textId="77777777" w:rsidR="006A0BDB" w:rsidRPr="002B587E" w:rsidRDefault="006A0BDB" w:rsidP="001D2CEB">
      <w:pPr>
        <w:pStyle w:val="SubItemLvl1"/>
        <w:tabs>
          <w:tab w:val="clear" w:pos="2520"/>
        </w:tabs>
      </w:pPr>
      <w:r w:rsidRPr="002B587E">
        <w:t>(f)</w:t>
      </w:r>
      <w:r w:rsidRPr="002B587E">
        <w:tab/>
        <w:t xml:space="preserve">Association members shall be deemed compliant with the permit limits for total nitrogen contained in their individually issued NPDES permits while they are members in an association. Association members shall be deemed compliant with their </w:t>
      </w:r>
      <w:r w:rsidRPr="002B587E">
        <w:t>individual estuary limits in the NPDES group permit in any year in which the association is in compliance with its estuary limit. If the association exceeds its group limit, the association and any members that exceed their individual estuary limits in the NPDES group permit shall be deemed to be out of compliance with the group permit.</w:t>
      </w:r>
    </w:p>
    <w:p w14:paraId="6F3D115A" w14:textId="77777777" w:rsidR="006A0BDB" w:rsidRPr="002B587E" w:rsidRDefault="006A0BDB" w:rsidP="001D2CEB">
      <w:pPr>
        <w:pStyle w:val="Item"/>
        <w:tabs>
          <w:tab w:val="clear" w:pos="1800"/>
        </w:tabs>
      </w:pPr>
      <w:r w:rsidRPr="002B587E">
        <w:t>(10)</w:t>
      </w:r>
      <w:r w:rsidRPr="002B587E">
        <w:tab/>
        <w:t>If an NPDES-permitted discharger or group of dischargers accepts wastewater from another NPDES-permitted treatment facility in the Neuse River Basin and that acceptance results in the elimination of the discharge from the treatment facility, the eliminated facility's total nitrogen estuary allocation shall be transferred and added to the accepting discharger's estuary allocation.</w:t>
      </w:r>
    </w:p>
    <w:p w14:paraId="14CFA33B" w14:textId="77777777" w:rsidR="006A0BDB" w:rsidRPr="002B587E" w:rsidRDefault="006A0BDB" w:rsidP="001D2CEB">
      <w:pPr>
        <w:pStyle w:val="Base"/>
      </w:pPr>
    </w:p>
    <w:p w14:paraId="7CB5D9E2" w14:textId="77777777" w:rsidR="006A0BDB" w:rsidRPr="002B587E" w:rsidRDefault="006A0BDB" w:rsidP="001D2CEB">
      <w:pPr>
        <w:pStyle w:val="History"/>
      </w:pPr>
      <w:r w:rsidRPr="002B587E">
        <w:t>History Note:</w:t>
      </w:r>
      <w:r w:rsidRPr="002B587E">
        <w:tab/>
        <w:t>Authority G.S. 143-214.1; 143-215; 143-215.1; 143-215.3(a)(1); S.L. 1995, c. 572;</w:t>
      </w:r>
    </w:p>
    <w:p w14:paraId="6774AFEE" w14:textId="77777777" w:rsidR="006A0BDB" w:rsidRPr="002B587E" w:rsidRDefault="006A0BDB" w:rsidP="001D2CEB">
      <w:pPr>
        <w:pStyle w:val="HistoryAfter"/>
      </w:pPr>
      <w:r w:rsidRPr="002B587E">
        <w:t xml:space="preserve">Temporary Adoption Eff. </w:t>
      </w:r>
      <w:smartTag w:uri="urn:schemas-microsoft-com:office:smarttags" w:element="date">
        <w:smartTagPr>
          <w:attr w:name="Month" w:val="1"/>
          <w:attr w:name="Day" w:val="22"/>
          <w:attr w:name="Year" w:val="1998"/>
        </w:smartTagPr>
        <w:r w:rsidRPr="002B587E">
          <w:t>January 22, 1998</w:t>
        </w:r>
      </w:smartTag>
      <w:r w:rsidRPr="002B587E">
        <w:t>;</w:t>
      </w:r>
    </w:p>
    <w:p w14:paraId="028E2EFB" w14:textId="77777777" w:rsidR="006A0BDB" w:rsidRPr="002B587E" w:rsidRDefault="006A0BDB" w:rsidP="001D2CEB">
      <w:pPr>
        <w:pStyle w:val="HistoryAfter"/>
      </w:pPr>
      <w:r w:rsidRPr="002B587E">
        <w:t xml:space="preserve">Eff. </w:t>
      </w:r>
      <w:smartTag w:uri="urn:schemas-microsoft-com:office:smarttags" w:element="date">
        <w:smartTagPr>
          <w:attr w:name="Month" w:val="8"/>
          <w:attr w:name="Day" w:val="1"/>
          <w:attr w:name="Year" w:val="1998"/>
        </w:smartTagPr>
        <w:r w:rsidRPr="002B587E">
          <w:t>August 1, 1998</w:t>
        </w:r>
      </w:smartTag>
      <w:r w:rsidRPr="002B587E">
        <w:t>;</w:t>
      </w:r>
    </w:p>
    <w:p w14:paraId="23AD0DC8" w14:textId="77777777" w:rsidR="006A0BDB" w:rsidRPr="002B587E" w:rsidRDefault="006A0BDB" w:rsidP="001D2CEB">
      <w:pPr>
        <w:pStyle w:val="HistoryAfter"/>
      </w:pPr>
      <w:r w:rsidRPr="002B587E">
        <w:t xml:space="preserve">Temporary Amendment Eff. </w:t>
      </w:r>
      <w:smartTag w:uri="urn:schemas-microsoft-com:office:smarttags" w:element="date">
        <w:smartTagPr>
          <w:attr w:name="Month" w:val="3"/>
          <w:attr w:name="Day" w:val="15"/>
          <w:attr w:name="Year" w:val="2000"/>
        </w:smartTagPr>
        <w:r w:rsidRPr="002B587E">
          <w:t>March 15, 2000</w:t>
        </w:r>
      </w:smartTag>
      <w:r w:rsidRPr="002B587E">
        <w:t>;</w:t>
      </w:r>
    </w:p>
    <w:p w14:paraId="40F666C8" w14:textId="77777777" w:rsidR="006A0BDB" w:rsidRPr="002B587E" w:rsidRDefault="006A0BDB" w:rsidP="001D2CEB">
      <w:pPr>
        <w:pStyle w:val="HistoryAfter"/>
      </w:pPr>
      <w:r w:rsidRPr="002B587E">
        <w:t xml:space="preserve">Temporary Amendment Expired on </w:t>
      </w:r>
      <w:smartTag w:uri="urn:schemas-microsoft-com:office:smarttags" w:element="date">
        <w:smartTagPr>
          <w:attr w:name="Month" w:val="12"/>
          <w:attr w:name="Day" w:val="10"/>
          <w:attr w:name="Year" w:val="2000"/>
        </w:smartTagPr>
        <w:r w:rsidRPr="002B587E">
          <w:t>December 10, 2000</w:t>
        </w:r>
      </w:smartTag>
      <w:r w:rsidRPr="002B587E">
        <w:t>;</w:t>
      </w:r>
    </w:p>
    <w:p w14:paraId="47D1EF2E" w14:textId="77777777" w:rsidR="006A0BDB" w:rsidRPr="002B587E" w:rsidRDefault="006A0BDB" w:rsidP="001D2CEB">
      <w:pPr>
        <w:pStyle w:val="HistoryAfter"/>
      </w:pPr>
      <w:r w:rsidRPr="002B587E">
        <w:t xml:space="preserve">Amended Eff. </w:t>
      </w:r>
      <w:smartTag w:uri="urn:schemas-microsoft-com:office:smarttags" w:element="date">
        <w:smartTagPr>
          <w:attr w:name="Month" w:val="4"/>
          <w:attr w:name="Day" w:val="1"/>
          <w:attr w:name="Year" w:val="2003"/>
        </w:smartTagPr>
        <w:r w:rsidRPr="002B587E">
          <w:t>April 1, 2003</w:t>
        </w:r>
      </w:smartTag>
      <w:r w:rsidRPr="002B587E">
        <w:t>;</w:t>
      </w:r>
    </w:p>
    <w:p w14:paraId="5BD1A076" w14:textId="77777777" w:rsidR="006A0BDB" w:rsidRPr="002B587E" w:rsidRDefault="006A0BDB" w:rsidP="001D2CEB">
      <w:pPr>
        <w:pStyle w:val="HistoryAfter"/>
      </w:pPr>
      <w:r w:rsidRPr="002B587E">
        <w:t xml:space="preserve">Readopted </w:t>
      </w:r>
      <w:r>
        <w:t>Pending Delayed Eff. Date</w:t>
      </w:r>
      <w:r w:rsidRPr="002B587E">
        <w:t>.</w:t>
      </w:r>
    </w:p>
    <w:p w14:paraId="1405A629" w14:textId="77777777" w:rsidR="006A0BDB" w:rsidRDefault="006A0BDB" w:rsidP="001D2CEB">
      <w:pPr>
        <w:pStyle w:val="Base"/>
      </w:pPr>
    </w:p>
    <w:p w14:paraId="37C43DD3" w14:textId="77777777" w:rsidR="006A0BDB" w:rsidRPr="00C41549" w:rsidRDefault="006A0BDB" w:rsidP="001D2CEB">
      <w:pPr>
        <w:pStyle w:val="Rule"/>
      </w:pPr>
      <w:r w:rsidRPr="00C41549">
        <w:t>15A NCAC 02B .0730</w:t>
      </w:r>
      <w:r w:rsidRPr="00C41549">
        <w:tab/>
        <w:t>Tar-Pamlico Nutrient Strategy: Purpose &amp; Scope</w:t>
      </w:r>
    </w:p>
    <w:p w14:paraId="7E8493B3" w14:textId="77777777" w:rsidR="006A0BDB" w:rsidRPr="00C41549" w:rsidRDefault="006A0BDB" w:rsidP="001D2CEB">
      <w:pPr>
        <w:pStyle w:val="Paragraph"/>
      </w:pPr>
      <w:r w:rsidRPr="00C41549">
        <w:t xml:space="preserve">PURPOSE. The purpose of this Rule and Rules 15A NCAC 02B .0731 through .0736 of this Section is to attain the designated uses of the Pamlico River estuary with respect to meeting nutrient-related water quality standards pursuant to the Environmental Management Commission's authority under the Clean Water Responsibility and Environmentally Sound Policy Act, S.L. 1997-458. The estuary and waters of the Tar-Pamlico River Basin are classified as Nutrient Sensitive Waters (NSW) pursuant to Rule 15A NCAC 02B .0223 of this Subchapter. The rules enumerated in Item (3) of this Rule together constitute the Tar-Pamlico nutrient </w:t>
      </w:r>
      <w:proofErr w:type="gramStart"/>
      <w:r w:rsidRPr="00C41549">
        <w:t>strategy, and</w:t>
      </w:r>
      <w:proofErr w:type="gramEnd"/>
      <w:r w:rsidRPr="00C41549">
        <w:t xml:space="preserve"> shall be implemented in accordance with Rule .0223 of the Subchapter. </w:t>
      </w:r>
    </w:p>
    <w:p w14:paraId="3F23483E" w14:textId="77777777" w:rsidR="006A0BDB" w:rsidRPr="00C41549" w:rsidRDefault="006A0BDB" w:rsidP="001D2CEB">
      <w:pPr>
        <w:pStyle w:val="Item"/>
        <w:tabs>
          <w:tab w:val="clear" w:pos="1800"/>
        </w:tabs>
      </w:pPr>
      <w:r w:rsidRPr="00C41549">
        <w:t>(1)</w:t>
      </w:r>
      <w:r w:rsidRPr="00C41549">
        <w:tab/>
        <w:t xml:space="preserve">SCOPE AND LIMITATION. The Tar-Pamlico nutrient strategy rules require controls to reduce nitrogen and phosphorus loads from significant sources of these nutrients throughout the Tar-Pamlico Basin. These Rules do not address sources for which there is insufficient scientific knowledge to base regulation. </w:t>
      </w:r>
    </w:p>
    <w:p w14:paraId="47974312" w14:textId="77777777" w:rsidR="006A0BDB" w:rsidRPr="00C41549" w:rsidRDefault="006A0BDB" w:rsidP="001D2CEB">
      <w:pPr>
        <w:pStyle w:val="Item"/>
        <w:tabs>
          <w:tab w:val="clear" w:pos="1800"/>
        </w:tabs>
      </w:pPr>
      <w:r w:rsidRPr="00C41549">
        <w:t>(2)</w:t>
      </w:r>
      <w:r w:rsidRPr="00C41549">
        <w:tab/>
        <w:t xml:space="preserve">GOALS. To achieve the purpose of the Tar-Pamlico nutrient strategy, the Commission established in the initial Tar-Pamlico nutrient rules, enacted in 2000 and 2001, goals of reducing the average annual load of nitrogen delivered to the Pamlico River Estuary from nutrient sources to a level 30 percent below a 1991 baseline, and thereafter maintaining it at or below that level, and of reducing average </w:t>
      </w:r>
      <w:r w:rsidRPr="00C41549">
        <w:lastRenderedPageBreak/>
        <w:t>annual phosphorus load to 1991 baseline level and thereafter maintaining it at or below that level. This Tar-Pamlico nutrient strategy continues these goals.</w:t>
      </w:r>
    </w:p>
    <w:p w14:paraId="10F4ED7F" w14:textId="77777777" w:rsidR="006A0BDB" w:rsidRPr="00C41549" w:rsidRDefault="006A0BDB" w:rsidP="001D2CEB">
      <w:pPr>
        <w:pStyle w:val="Item"/>
        <w:tabs>
          <w:tab w:val="clear" w:pos="1800"/>
        </w:tabs>
      </w:pPr>
      <w:r w:rsidRPr="00C41549">
        <w:t>(3)</w:t>
      </w:r>
      <w:r w:rsidRPr="00C41549">
        <w:tab/>
        <w:t>RULES ENUMERATED. The rules of the Tar-Pamlico nutrient strategy are titled as follows:</w:t>
      </w:r>
    </w:p>
    <w:p w14:paraId="1F47E074" w14:textId="77777777" w:rsidR="006A0BDB" w:rsidRPr="00C41549" w:rsidRDefault="006A0BDB" w:rsidP="001D2CEB">
      <w:pPr>
        <w:pStyle w:val="SubItemLvl1"/>
        <w:tabs>
          <w:tab w:val="clear" w:pos="2520"/>
        </w:tabs>
      </w:pPr>
      <w:r w:rsidRPr="00C41549">
        <w:t>(a)</w:t>
      </w:r>
      <w:r w:rsidRPr="00C41549">
        <w:tab/>
        <w:t>Rule .0730 Purpose and Scope;</w:t>
      </w:r>
    </w:p>
    <w:p w14:paraId="237A8847" w14:textId="77777777" w:rsidR="006A0BDB" w:rsidRPr="00C41549" w:rsidRDefault="006A0BDB" w:rsidP="001D2CEB">
      <w:pPr>
        <w:pStyle w:val="SubItemLvl1"/>
        <w:tabs>
          <w:tab w:val="clear" w:pos="2520"/>
        </w:tabs>
      </w:pPr>
      <w:r w:rsidRPr="00C41549">
        <w:t>(b)</w:t>
      </w:r>
      <w:r w:rsidRPr="00C41549">
        <w:tab/>
        <w:t>Rule .0731 Stormwater Management for New Development;</w:t>
      </w:r>
    </w:p>
    <w:p w14:paraId="2ECABFDF" w14:textId="77777777" w:rsidR="006A0BDB" w:rsidRPr="00C41549" w:rsidRDefault="006A0BDB" w:rsidP="001D2CEB">
      <w:pPr>
        <w:pStyle w:val="SubItemLvl1"/>
        <w:tabs>
          <w:tab w:val="clear" w:pos="2520"/>
        </w:tabs>
      </w:pPr>
      <w:r w:rsidRPr="00C41549">
        <w:t>(c)</w:t>
      </w:r>
      <w:r w:rsidRPr="00C41549">
        <w:tab/>
        <w:t>Rule .0732 Agriculture;</w:t>
      </w:r>
    </w:p>
    <w:p w14:paraId="332F8AB4" w14:textId="77777777" w:rsidR="006A0BDB" w:rsidRPr="00C41549" w:rsidRDefault="006A0BDB" w:rsidP="001D2CEB">
      <w:pPr>
        <w:pStyle w:val="SubItemLvl1"/>
        <w:tabs>
          <w:tab w:val="clear" w:pos="2520"/>
        </w:tabs>
      </w:pPr>
      <w:r w:rsidRPr="00C41549">
        <w:t>(d)</w:t>
      </w:r>
      <w:r w:rsidRPr="00C41549">
        <w:tab/>
        <w:t>Rule .0733 Non-Association Dischargers;</w:t>
      </w:r>
    </w:p>
    <w:p w14:paraId="41E8FA2D" w14:textId="77777777" w:rsidR="006A0BDB" w:rsidRPr="00C41549" w:rsidRDefault="006A0BDB" w:rsidP="001D2CEB">
      <w:pPr>
        <w:pStyle w:val="SubItemLvl1"/>
        <w:tabs>
          <w:tab w:val="clear" w:pos="2520"/>
        </w:tabs>
      </w:pPr>
      <w:r w:rsidRPr="00C41549">
        <w:t>(e)</w:t>
      </w:r>
      <w:r w:rsidRPr="00C41549">
        <w:tab/>
        <w:t>Rule .0259 Riparian Buffer Protection; and</w:t>
      </w:r>
    </w:p>
    <w:p w14:paraId="21D26192" w14:textId="77777777" w:rsidR="006A0BDB" w:rsidRPr="00C41549" w:rsidRDefault="006A0BDB" w:rsidP="001D2CEB">
      <w:pPr>
        <w:pStyle w:val="SubItemLvl1"/>
        <w:tabs>
          <w:tab w:val="clear" w:pos="2520"/>
        </w:tabs>
      </w:pPr>
      <w:r w:rsidRPr="00C41549">
        <w:t>(f)</w:t>
      </w:r>
      <w:r w:rsidRPr="00C41549">
        <w:tab/>
        <w:t>Rule .0261 Buffer Program Delegation.</w:t>
      </w:r>
    </w:p>
    <w:p w14:paraId="1EF5F3FC" w14:textId="77777777" w:rsidR="006A0BDB" w:rsidRPr="00C41549" w:rsidRDefault="006A0BDB" w:rsidP="001D2CEB">
      <w:pPr>
        <w:pStyle w:val="Item"/>
        <w:tabs>
          <w:tab w:val="clear" w:pos="1800"/>
        </w:tabs>
      </w:pPr>
      <w:r w:rsidRPr="00C41549">
        <w:t>(4)</w:t>
      </w:r>
      <w:r w:rsidRPr="00C41549">
        <w:tab/>
        <w:t xml:space="preserve">ADAPTIVE MANAGEMENT. The Division shall evaluate the basin's nutrient dynamics to inform and guide adaptive management. This evaluation shall utilize all sources of available information, including stakeholder input, and shall consider drivers, character, and shifts in the impairment with time, trends, and character of loading delivered to the estuary, and distribution and character of loading inputs to the basin and changes to those inputs over time. The evaluation shall address the extent to which the reduction goals identified in Item (2) of this Rule have been achieved and shall provide recommendations on management needs. The Division shall complete the evaluation within three years of the effective date of this Rule and shall distribute the findings upon completion. The Division shall also report biannually to the Water Quality Committee of the Commission on implementation progress and reductions achieved by sources subject to the Tar-Pamlico nutrient strategy. </w:t>
      </w:r>
    </w:p>
    <w:p w14:paraId="5C9DCB22" w14:textId="77777777" w:rsidR="006A0BDB" w:rsidRPr="00C41549" w:rsidRDefault="006A0BDB" w:rsidP="001D2CEB">
      <w:pPr>
        <w:pStyle w:val="Item"/>
        <w:tabs>
          <w:tab w:val="clear" w:pos="1800"/>
        </w:tabs>
      </w:pPr>
      <w:r w:rsidRPr="00C41549">
        <w:t>(5)</w:t>
      </w:r>
      <w:r w:rsidRPr="00C41549">
        <w:tab/>
        <w:t>GEOGRAPHIC APPLICABILITY. The Tar-Pamlico nutrient strategy shall apply in all areas draining to waters within hydrologic units 03020101, 03020102, 03020103, 03020104, and portions of 03020105 located on the Albemarle-Pamlico peninsula unless individual Tar-Pamlico strategy rules describe other boundaries.</w:t>
      </w:r>
    </w:p>
    <w:p w14:paraId="2C86C739" w14:textId="77777777" w:rsidR="006A0BDB" w:rsidRPr="00C41549" w:rsidRDefault="006A0BDB" w:rsidP="001D2CEB">
      <w:pPr>
        <w:pStyle w:val="Item"/>
        <w:tabs>
          <w:tab w:val="clear" w:pos="1800"/>
        </w:tabs>
      </w:pPr>
      <w:r w:rsidRPr="00C41549">
        <w:t>(6)</w:t>
      </w:r>
      <w:r w:rsidRPr="00C41549">
        <w:tab/>
        <w:t>PENALTIES. Failure to meet the requirements of the Tar-Pamlico nutrient strategy rules may result in imposition of enforcement measures as authorized by G.S. 143-215.6A, G.S. 143-215.6B, and G.S. 143-215.6C.</w:t>
      </w:r>
    </w:p>
    <w:p w14:paraId="49959073" w14:textId="77777777" w:rsidR="006A0BDB" w:rsidRPr="00C41549" w:rsidRDefault="006A0BDB" w:rsidP="001D2CEB">
      <w:pPr>
        <w:pStyle w:val="Base"/>
      </w:pPr>
    </w:p>
    <w:p w14:paraId="09D37535" w14:textId="77777777" w:rsidR="006A0BDB" w:rsidRPr="00C41549" w:rsidRDefault="006A0BDB" w:rsidP="001D2CEB">
      <w:pPr>
        <w:pStyle w:val="History"/>
      </w:pPr>
      <w:r w:rsidRPr="00C41549">
        <w:t>History Note:</w:t>
      </w:r>
      <w:r w:rsidRPr="00C41549">
        <w:tab/>
        <w:t xml:space="preserve">Authority G.S. 143-214.1; 143-214.7; 143-215.3(a)(1); 143-215.6A; 143-215.8B; 143B-282; </w:t>
      </w:r>
    </w:p>
    <w:p w14:paraId="1044152C" w14:textId="77777777" w:rsidR="006A0BDB" w:rsidRPr="00C41549" w:rsidRDefault="006A0BDB" w:rsidP="001D2CEB">
      <w:pPr>
        <w:pStyle w:val="HistoryAfter"/>
      </w:pPr>
      <w:r w:rsidRPr="00C41549">
        <w:t xml:space="preserve">Eff. </w:t>
      </w:r>
      <w:r>
        <w:t>Pending Delayed Eff. Date</w:t>
      </w:r>
      <w:r w:rsidRPr="00C41549">
        <w:t>.</w:t>
      </w:r>
    </w:p>
    <w:p w14:paraId="1EED0530" w14:textId="77777777" w:rsidR="006A0BDB" w:rsidRPr="00C41549" w:rsidRDefault="006A0BDB" w:rsidP="001D2CEB">
      <w:pPr>
        <w:pStyle w:val="Base"/>
      </w:pPr>
    </w:p>
    <w:p w14:paraId="05ECD1DE" w14:textId="77777777" w:rsidR="006A0BDB" w:rsidRPr="009E16FD" w:rsidRDefault="006A0BDB" w:rsidP="001D2CEB">
      <w:pPr>
        <w:pStyle w:val="Rule"/>
        <w:rPr>
          <w:bCs/>
        </w:rPr>
      </w:pPr>
      <w:bookmarkStart w:id="10" w:name="_Hlk15652472"/>
      <w:r w:rsidRPr="009E16FD">
        <w:t>15A ncac 02b</w:t>
      </w:r>
      <w:r>
        <w:t xml:space="preserve"> </w:t>
      </w:r>
      <w:r w:rsidRPr="000175FF">
        <w:rPr>
          <w:strike/>
        </w:rPr>
        <w:t>.0258</w:t>
      </w:r>
      <w:r>
        <w:t xml:space="preserve"> </w:t>
      </w:r>
      <w:r w:rsidRPr="008B5E6A">
        <w:rPr>
          <w:u w:val="single"/>
        </w:rPr>
        <w:t>.0731</w:t>
      </w:r>
      <w:r w:rsidRPr="009E16FD">
        <w:tab/>
        <w:t xml:space="preserve">TAR-PAMLICO NUTRIENT </w:t>
      </w:r>
      <w:r w:rsidRPr="009E16FD">
        <w:rPr>
          <w:bCs/>
        </w:rPr>
        <w:t xml:space="preserve">STRATEGY: STORMWATER </w:t>
      </w:r>
    </w:p>
    <w:p w14:paraId="693BD370" w14:textId="77777777" w:rsidR="006A0BDB" w:rsidRPr="009E16FD" w:rsidRDefault="006A0BDB" w:rsidP="001D2CEB">
      <w:pPr>
        <w:pStyle w:val="Paragraph"/>
      </w:pPr>
      <w:r w:rsidRPr="009E16FD">
        <w:t>(a)  PURPOSE. The purpose of this Rule is to achieve and maintain the nitrogen and phosphorus loading reduction goals for the Tar-Pamlico River Estuary set out in Rule .0730 of this Section from an undeveloped condition on lands in the Tar-Pamlico River Basin on which</w:t>
      </w:r>
      <w:r>
        <w:t xml:space="preserve"> </w:t>
      </w:r>
      <w:r w:rsidRPr="009E16FD">
        <w:t>development occurs. Nothing in this Rule preempts local governments from implementing requirements that are more restrictive than those set forth in this Rule.</w:t>
      </w:r>
    </w:p>
    <w:p w14:paraId="372B6CD2" w14:textId="77777777" w:rsidR="006A0BDB" w:rsidRPr="009E16FD" w:rsidRDefault="006A0BDB" w:rsidP="001D2CEB">
      <w:pPr>
        <w:pStyle w:val="Paragraph"/>
      </w:pPr>
      <w:r w:rsidRPr="009E16FD">
        <w:t>(b)  APPLICABILITY. The following local governments shall implement the stormwater management requirements of this</w:t>
      </w:r>
      <w:r>
        <w:t xml:space="preserve"> </w:t>
      </w:r>
      <w:r w:rsidRPr="009E16FD">
        <w:t xml:space="preserve">Rule, except as noted in Subparagraph (c)(1) of this Rule where the Department shall implement them. Municipalities shall implement this Rule throughout their corporate limits and extraterritorial jurisdictions within the basin, while counties shall implement throughout their territorial jurisdictions within the basin. Counties named in this Paragraph may implement this Rule within municipalities not named in accordance with G.S. 160A-360(d). </w:t>
      </w:r>
    </w:p>
    <w:p w14:paraId="17FA74CE" w14:textId="77777777" w:rsidR="006A0BDB" w:rsidRPr="009E16FD" w:rsidRDefault="006A0BDB" w:rsidP="001D2CEB">
      <w:pPr>
        <w:pStyle w:val="SubParagraph"/>
        <w:tabs>
          <w:tab w:val="clear" w:pos="1800"/>
        </w:tabs>
      </w:pPr>
      <w:r w:rsidRPr="009E16FD">
        <w:t>(1)</w:t>
      </w:r>
      <w:r w:rsidRPr="009E16FD">
        <w:tab/>
        <w:t>Local governments designated under</w:t>
      </w:r>
      <w:r>
        <w:t xml:space="preserve"> </w:t>
      </w:r>
      <w:r w:rsidRPr="009E16FD">
        <w:t xml:space="preserve">this Rule effective April 2001: </w:t>
      </w:r>
    </w:p>
    <w:p w14:paraId="7E5FC55E" w14:textId="77777777" w:rsidR="006A0BDB" w:rsidRPr="009E16FD" w:rsidRDefault="006A0BDB" w:rsidP="001D2CEB">
      <w:pPr>
        <w:pStyle w:val="Part"/>
        <w:tabs>
          <w:tab w:val="clear" w:pos="2520"/>
        </w:tabs>
      </w:pPr>
      <w:r w:rsidRPr="009E16FD">
        <w:t>(A)</w:t>
      </w:r>
      <w:r w:rsidRPr="009E16FD">
        <w:tab/>
        <w:t>Greenville;</w:t>
      </w:r>
    </w:p>
    <w:p w14:paraId="3B23B2BE" w14:textId="77777777" w:rsidR="006A0BDB" w:rsidRPr="009E16FD" w:rsidRDefault="006A0BDB" w:rsidP="001D2CEB">
      <w:pPr>
        <w:pStyle w:val="Part"/>
        <w:tabs>
          <w:tab w:val="clear" w:pos="2520"/>
        </w:tabs>
      </w:pPr>
      <w:r w:rsidRPr="009E16FD">
        <w:t>(B)</w:t>
      </w:r>
      <w:r w:rsidRPr="009E16FD">
        <w:tab/>
        <w:t>Henderson;</w:t>
      </w:r>
    </w:p>
    <w:p w14:paraId="638CE5C8" w14:textId="77777777" w:rsidR="006A0BDB" w:rsidRPr="009E16FD" w:rsidRDefault="006A0BDB" w:rsidP="001D2CEB">
      <w:pPr>
        <w:pStyle w:val="Part"/>
        <w:tabs>
          <w:tab w:val="clear" w:pos="2520"/>
        </w:tabs>
      </w:pPr>
      <w:r w:rsidRPr="009E16FD">
        <w:t>(C)</w:t>
      </w:r>
      <w:r w:rsidRPr="009E16FD">
        <w:tab/>
        <w:t>Oxford;</w:t>
      </w:r>
    </w:p>
    <w:p w14:paraId="2F5823CA" w14:textId="77777777" w:rsidR="006A0BDB" w:rsidRPr="009E16FD" w:rsidRDefault="006A0BDB" w:rsidP="001D2CEB">
      <w:pPr>
        <w:pStyle w:val="Part"/>
        <w:tabs>
          <w:tab w:val="clear" w:pos="2520"/>
        </w:tabs>
      </w:pPr>
      <w:r w:rsidRPr="009E16FD">
        <w:t>(D)</w:t>
      </w:r>
      <w:r w:rsidRPr="009E16FD">
        <w:tab/>
        <w:t>Rocky Mount;</w:t>
      </w:r>
    </w:p>
    <w:p w14:paraId="6361D911" w14:textId="77777777" w:rsidR="006A0BDB" w:rsidRPr="009E16FD" w:rsidRDefault="006A0BDB" w:rsidP="001D2CEB">
      <w:pPr>
        <w:pStyle w:val="Part"/>
        <w:tabs>
          <w:tab w:val="clear" w:pos="2520"/>
        </w:tabs>
      </w:pPr>
      <w:r w:rsidRPr="009E16FD">
        <w:t>(E)</w:t>
      </w:r>
      <w:r w:rsidRPr="009E16FD">
        <w:tab/>
        <w:t>Tarboro;</w:t>
      </w:r>
    </w:p>
    <w:p w14:paraId="3BD15577" w14:textId="77777777" w:rsidR="006A0BDB" w:rsidRPr="009E16FD" w:rsidRDefault="006A0BDB" w:rsidP="001D2CEB">
      <w:pPr>
        <w:pStyle w:val="Part"/>
        <w:tabs>
          <w:tab w:val="clear" w:pos="2520"/>
        </w:tabs>
      </w:pPr>
      <w:r w:rsidRPr="009E16FD">
        <w:t>(F)</w:t>
      </w:r>
      <w:r w:rsidRPr="009E16FD">
        <w:tab/>
        <w:t>Washington;</w:t>
      </w:r>
    </w:p>
    <w:p w14:paraId="68C88C79" w14:textId="77777777" w:rsidR="006A0BDB" w:rsidRPr="009E16FD" w:rsidRDefault="006A0BDB" w:rsidP="001D2CEB">
      <w:pPr>
        <w:pStyle w:val="Part"/>
        <w:tabs>
          <w:tab w:val="clear" w:pos="2520"/>
        </w:tabs>
      </w:pPr>
      <w:r w:rsidRPr="009E16FD">
        <w:t>(G)</w:t>
      </w:r>
      <w:r w:rsidRPr="009E16FD">
        <w:tab/>
        <w:t>Beaufort County;</w:t>
      </w:r>
    </w:p>
    <w:p w14:paraId="70C1DA6A" w14:textId="77777777" w:rsidR="006A0BDB" w:rsidRPr="009E16FD" w:rsidRDefault="006A0BDB" w:rsidP="001D2CEB">
      <w:pPr>
        <w:pStyle w:val="Part"/>
        <w:tabs>
          <w:tab w:val="clear" w:pos="2520"/>
        </w:tabs>
      </w:pPr>
      <w:r w:rsidRPr="009E16FD">
        <w:t>(H)</w:t>
      </w:r>
      <w:r w:rsidRPr="009E16FD">
        <w:tab/>
        <w:t>Edgecombe County;</w:t>
      </w:r>
    </w:p>
    <w:p w14:paraId="57E51A41" w14:textId="77777777" w:rsidR="006A0BDB" w:rsidRPr="009E16FD" w:rsidRDefault="006A0BDB" w:rsidP="001D2CEB">
      <w:pPr>
        <w:pStyle w:val="Part"/>
        <w:tabs>
          <w:tab w:val="clear" w:pos="2520"/>
        </w:tabs>
      </w:pPr>
      <w:r w:rsidRPr="009E16FD">
        <w:t>(I)</w:t>
      </w:r>
      <w:r w:rsidRPr="009E16FD">
        <w:tab/>
        <w:t>Franklin County;</w:t>
      </w:r>
    </w:p>
    <w:p w14:paraId="0B2D124C" w14:textId="77777777" w:rsidR="006A0BDB" w:rsidRPr="009E16FD" w:rsidRDefault="006A0BDB" w:rsidP="001D2CEB">
      <w:pPr>
        <w:pStyle w:val="Part"/>
        <w:tabs>
          <w:tab w:val="clear" w:pos="2520"/>
        </w:tabs>
      </w:pPr>
      <w:r w:rsidRPr="009E16FD">
        <w:t>(J)</w:t>
      </w:r>
      <w:r w:rsidRPr="009E16FD">
        <w:tab/>
        <w:t>Nash County; and</w:t>
      </w:r>
    </w:p>
    <w:p w14:paraId="5B23A98D" w14:textId="77777777" w:rsidR="006A0BDB" w:rsidRPr="009E16FD" w:rsidRDefault="006A0BDB" w:rsidP="001D2CEB">
      <w:pPr>
        <w:pStyle w:val="Part"/>
        <w:tabs>
          <w:tab w:val="clear" w:pos="2520"/>
        </w:tabs>
      </w:pPr>
      <w:r w:rsidRPr="009E16FD">
        <w:t>(K)</w:t>
      </w:r>
      <w:r w:rsidRPr="009E16FD">
        <w:tab/>
        <w:t>Pitt County.</w:t>
      </w:r>
    </w:p>
    <w:p w14:paraId="022C6C0E" w14:textId="77777777" w:rsidR="006A0BDB" w:rsidRPr="009E16FD" w:rsidRDefault="006A0BDB" w:rsidP="001D2CEB">
      <w:pPr>
        <w:pStyle w:val="SubParagraph"/>
        <w:tabs>
          <w:tab w:val="clear" w:pos="1800"/>
        </w:tabs>
      </w:pPr>
      <w:r w:rsidRPr="009E16FD">
        <w:t>(2)</w:t>
      </w:r>
      <w:r w:rsidRPr="009E16FD">
        <w:tab/>
        <w:t>As of the effective date of this readoption, Wilson County.</w:t>
      </w:r>
    </w:p>
    <w:p w14:paraId="7D3A02CA" w14:textId="77777777" w:rsidR="006A0BDB" w:rsidRPr="009E16FD" w:rsidRDefault="006A0BDB" w:rsidP="001D2CEB">
      <w:pPr>
        <w:pStyle w:val="Paragraph"/>
      </w:pPr>
      <w:r w:rsidRPr="009E16FD">
        <w:t>(c)  LOCAL PROGRAM IMPLEMENTATION REQUIREMENTS. All local governments subject to this Rule shall implement stormwater management programs approved by the Commission</w:t>
      </w:r>
      <w:r>
        <w:t xml:space="preserve"> </w:t>
      </w:r>
      <w:r w:rsidRPr="009E16FD">
        <w:t>following the timeframes set out in Paragraph</w:t>
      </w:r>
      <w:r>
        <w:t xml:space="preserve"> </w:t>
      </w:r>
      <w:r w:rsidRPr="009E16FD">
        <w:t>(f) of this Rule, or any subsequent modification to those plans approved by the Director, according to the following requirements and the standards contained in Paragraph (d) of this Rule:</w:t>
      </w:r>
    </w:p>
    <w:p w14:paraId="3589F7F2" w14:textId="77777777" w:rsidR="006A0BDB" w:rsidRPr="009E16FD" w:rsidRDefault="006A0BDB" w:rsidP="001D2CEB">
      <w:pPr>
        <w:pStyle w:val="SubParagraph"/>
        <w:tabs>
          <w:tab w:val="clear" w:pos="1800"/>
        </w:tabs>
      </w:pPr>
      <w:r w:rsidRPr="009E16FD">
        <w:t>(1)</w:t>
      </w:r>
      <w:r w:rsidRPr="009E16FD">
        <w:tab/>
        <w:t>The requirement for local government approval of a stormwater plan for all proposed</w:t>
      </w:r>
      <w:r>
        <w:t xml:space="preserve"> </w:t>
      </w:r>
      <w:r w:rsidRPr="009E16FD">
        <w:t>development projects not excluded under Paragraph (d) of this Rule. To the extent permitted by federal law, including 33 USC 26, and where pursuant to G.S. 153A-454 and G.S. 160A-459 a local government program does not review a development project proposed by a State or federal entity for the requirements of this Rule, the entity shall obtain Department review and approval.</w:t>
      </w:r>
    </w:p>
    <w:p w14:paraId="08F9D35D" w14:textId="77777777" w:rsidR="006A0BDB" w:rsidRPr="009E16FD" w:rsidRDefault="006A0BDB" w:rsidP="001D2CEB">
      <w:pPr>
        <w:pStyle w:val="SubParagraph"/>
        <w:tabs>
          <w:tab w:val="clear" w:pos="1800"/>
        </w:tabs>
      </w:pPr>
      <w:r w:rsidRPr="009E16FD">
        <w:t>(2)</w:t>
      </w:r>
      <w:r w:rsidRPr="009E16FD">
        <w:tab/>
        <w:t>A plan to ensure maintenance of</w:t>
      </w:r>
      <w:r>
        <w:t xml:space="preserve"> </w:t>
      </w:r>
      <w:r w:rsidRPr="009E16FD">
        <w:t>SCMs implemented to comply with this</w:t>
      </w:r>
      <w:r>
        <w:t xml:space="preserve"> </w:t>
      </w:r>
      <w:r w:rsidRPr="009E16FD">
        <w:t>Rule for the life of the development;</w:t>
      </w:r>
    </w:p>
    <w:p w14:paraId="732E3F18" w14:textId="77777777" w:rsidR="006A0BDB" w:rsidRPr="009E16FD" w:rsidRDefault="006A0BDB" w:rsidP="001D2CEB">
      <w:pPr>
        <w:pStyle w:val="SubParagraph"/>
        <w:tabs>
          <w:tab w:val="clear" w:pos="1800"/>
        </w:tabs>
      </w:pPr>
      <w:r w:rsidRPr="009E16FD">
        <w:t>(3)</w:t>
      </w:r>
      <w:r w:rsidRPr="009E16FD">
        <w:tab/>
        <w:t>A plan to ensure enforcement and compliance with the provisions in Paragraph (e) of this Rule for the life of the development;</w:t>
      </w:r>
    </w:p>
    <w:p w14:paraId="50377148" w14:textId="77777777" w:rsidR="006A0BDB" w:rsidRPr="009E16FD" w:rsidRDefault="006A0BDB" w:rsidP="001D2CEB">
      <w:pPr>
        <w:pStyle w:val="SubParagraph"/>
        <w:tabs>
          <w:tab w:val="clear" w:pos="1800"/>
        </w:tabs>
      </w:pPr>
      <w:r w:rsidRPr="009E16FD">
        <w:lastRenderedPageBreak/>
        <w:t>(4)</w:t>
      </w:r>
      <w:r w:rsidRPr="009E16FD">
        <w:tab/>
        <w:t>A public education program to inform citizens how to reduce nutrient pollution and to inform developers about the nutrient requirements set forth in Paragraph (e) of this Rule;</w:t>
      </w:r>
    </w:p>
    <w:p w14:paraId="7A01B0D8" w14:textId="77777777" w:rsidR="006A0BDB" w:rsidRPr="009E16FD" w:rsidRDefault="006A0BDB" w:rsidP="001D2CEB">
      <w:pPr>
        <w:pStyle w:val="SubParagraph"/>
        <w:tabs>
          <w:tab w:val="clear" w:pos="1800"/>
        </w:tabs>
      </w:pPr>
      <w:r w:rsidRPr="009E16FD">
        <w:t>(5)</w:t>
      </w:r>
      <w:r w:rsidRPr="009E16FD">
        <w:tab/>
        <w:t>A mapping program that includes major components of the municipal separate storm sewer system, waters of the State, land use types, and location of sanitary sewers; and</w:t>
      </w:r>
    </w:p>
    <w:p w14:paraId="2DEA3892" w14:textId="77777777" w:rsidR="006A0BDB" w:rsidRPr="009E16FD" w:rsidRDefault="006A0BDB" w:rsidP="001D2CEB">
      <w:pPr>
        <w:pStyle w:val="SubParagraph"/>
        <w:tabs>
          <w:tab w:val="clear" w:pos="1800"/>
        </w:tabs>
      </w:pPr>
      <w:r w:rsidRPr="009E16FD">
        <w:t>(6)</w:t>
      </w:r>
      <w:r w:rsidRPr="009E16FD">
        <w:tab/>
        <w:t>A program to identify and remove illegal discharges.</w:t>
      </w:r>
    </w:p>
    <w:p w14:paraId="0D88F450" w14:textId="77777777" w:rsidR="006A0BDB" w:rsidRPr="009E16FD" w:rsidRDefault="006A0BDB" w:rsidP="001D2CEB">
      <w:pPr>
        <w:pStyle w:val="Paragraph"/>
      </w:pPr>
      <w:r w:rsidRPr="009E16FD">
        <w:t>(d)  DEVELOPMENT EXCLUDED. The following development activities shall not be subject to this Rule:</w:t>
      </w:r>
    </w:p>
    <w:p w14:paraId="5A11482C" w14:textId="77777777" w:rsidR="006A0BDB" w:rsidRPr="009E16FD" w:rsidRDefault="006A0BDB" w:rsidP="001D2CEB">
      <w:pPr>
        <w:pStyle w:val="SubParagraph"/>
        <w:tabs>
          <w:tab w:val="clear" w:pos="1800"/>
        </w:tabs>
      </w:pPr>
      <w:r w:rsidRPr="009E16FD">
        <w:t>(1)</w:t>
      </w:r>
      <w:r w:rsidRPr="009E16FD">
        <w:tab/>
        <w:t>Projects disturbing less than:</w:t>
      </w:r>
    </w:p>
    <w:p w14:paraId="640AB924" w14:textId="77777777" w:rsidR="006A0BDB" w:rsidRPr="009E16FD" w:rsidRDefault="006A0BDB" w:rsidP="001D2CEB">
      <w:pPr>
        <w:pStyle w:val="Part"/>
        <w:tabs>
          <w:tab w:val="clear" w:pos="2520"/>
        </w:tabs>
      </w:pPr>
      <w:r w:rsidRPr="009E16FD">
        <w:t>(A)</w:t>
      </w:r>
      <w:r w:rsidRPr="009E16FD">
        <w:tab/>
        <w:t>one acre for single family and duplex residential property and recreational facilities; and</w:t>
      </w:r>
    </w:p>
    <w:p w14:paraId="0A6D8F45" w14:textId="77777777" w:rsidR="006A0BDB" w:rsidRPr="009E16FD" w:rsidRDefault="006A0BDB" w:rsidP="001D2CEB">
      <w:pPr>
        <w:pStyle w:val="Part"/>
        <w:tabs>
          <w:tab w:val="clear" w:pos="2520"/>
        </w:tabs>
      </w:pPr>
      <w:r w:rsidRPr="009E16FD">
        <w:t>(B)</w:t>
      </w:r>
      <w:r w:rsidRPr="009E16FD">
        <w:tab/>
        <w:t>one-half acre for commercial, industrial, institutional, multifamily residential, or local government land uses with the following exception: Projects below one-half acre that would replace or expand existing structures on a parcel, resulting in a cumulative built-upon area for the parcel exceeding twenty-four percent, shall be subject to Paragraph (e) of this Rule;</w:t>
      </w:r>
    </w:p>
    <w:p w14:paraId="281E00D7" w14:textId="77777777" w:rsidR="006A0BDB" w:rsidRPr="009E16FD" w:rsidRDefault="006A0BDB" w:rsidP="001D2CEB">
      <w:pPr>
        <w:pStyle w:val="SubParagraph"/>
        <w:tabs>
          <w:tab w:val="clear" w:pos="1800"/>
        </w:tabs>
      </w:pPr>
      <w:r w:rsidRPr="009E16FD">
        <w:t>(2)</w:t>
      </w:r>
      <w:r w:rsidRPr="009E16FD">
        <w:tab/>
        <w:t>Development of an individual single-family or duplex residential lot that:</w:t>
      </w:r>
    </w:p>
    <w:p w14:paraId="2213097B" w14:textId="77777777" w:rsidR="006A0BDB" w:rsidRPr="009E16FD" w:rsidRDefault="006A0BDB" w:rsidP="001D2CEB">
      <w:pPr>
        <w:pStyle w:val="Part"/>
        <w:tabs>
          <w:tab w:val="clear" w:pos="2520"/>
        </w:tabs>
      </w:pPr>
      <w:r w:rsidRPr="009E16FD">
        <w:t>(A)</w:t>
      </w:r>
      <w:r w:rsidRPr="009E16FD">
        <w:tab/>
        <w:t>Is not part of a larger common plan of development or sale as in 15A NCAC 02H .1002; and</w:t>
      </w:r>
    </w:p>
    <w:p w14:paraId="4F5F7133" w14:textId="77777777" w:rsidR="006A0BDB" w:rsidRPr="009E16FD" w:rsidRDefault="006A0BDB" w:rsidP="001D2CEB">
      <w:pPr>
        <w:pStyle w:val="Part"/>
        <w:tabs>
          <w:tab w:val="clear" w:pos="2520"/>
        </w:tabs>
      </w:pPr>
      <w:r w:rsidRPr="009E16FD">
        <w:t>(B)</w:t>
      </w:r>
      <w:r w:rsidRPr="009E16FD">
        <w:tab/>
        <w:t>Does not result in greater than five percent built upon area on the lot;</w:t>
      </w:r>
    </w:p>
    <w:p w14:paraId="1B86903D" w14:textId="77777777" w:rsidR="006A0BDB" w:rsidRPr="009E16FD" w:rsidRDefault="006A0BDB" w:rsidP="001D2CEB">
      <w:pPr>
        <w:pStyle w:val="SubParagraph"/>
        <w:tabs>
          <w:tab w:val="clear" w:pos="1800"/>
        </w:tabs>
      </w:pPr>
      <w:r w:rsidRPr="009E16FD">
        <w:t>(3)</w:t>
      </w:r>
      <w:r w:rsidRPr="009E16FD">
        <w:tab/>
        <w:t>Existing development as defined in rule 15A NCAC 02H .1002;</w:t>
      </w:r>
    </w:p>
    <w:p w14:paraId="14583E6B" w14:textId="77777777" w:rsidR="006A0BDB" w:rsidRPr="009E16FD" w:rsidRDefault="006A0BDB" w:rsidP="001D2CEB">
      <w:pPr>
        <w:pStyle w:val="SubParagraph"/>
        <w:tabs>
          <w:tab w:val="clear" w:pos="1800"/>
        </w:tabs>
      </w:pPr>
      <w:r w:rsidRPr="009E16FD">
        <w:t>(4)</w:t>
      </w:r>
      <w:r w:rsidRPr="009E16FD">
        <w:tab/>
        <w:t>Redevelopment as defined in G.S. 143-214.7(a</w:t>
      </w:r>
      <w:proofErr w:type="gramStart"/>
      <w:r w:rsidRPr="009E16FD">
        <w:t>1)(</w:t>
      </w:r>
      <w:proofErr w:type="gramEnd"/>
      <w:r w:rsidRPr="009E16FD">
        <w:t>2); and</w:t>
      </w:r>
    </w:p>
    <w:p w14:paraId="185F4293" w14:textId="77777777" w:rsidR="006A0BDB" w:rsidRPr="009E16FD" w:rsidRDefault="006A0BDB" w:rsidP="001D2CEB">
      <w:pPr>
        <w:pStyle w:val="SubParagraph"/>
        <w:tabs>
          <w:tab w:val="clear" w:pos="1800"/>
        </w:tabs>
      </w:pPr>
      <w:r w:rsidRPr="009E16FD">
        <w:t>(5)</w:t>
      </w:r>
      <w:r w:rsidRPr="009E16FD">
        <w:tab/>
        <w:t>Activities subject to requirements of the Tar-Pamlico Agriculture rule, 15A NCAC 02B .0732.</w:t>
      </w:r>
    </w:p>
    <w:p w14:paraId="1989C19E" w14:textId="77777777" w:rsidR="006A0BDB" w:rsidRPr="009E16FD" w:rsidRDefault="006A0BDB" w:rsidP="001D2CEB">
      <w:pPr>
        <w:pStyle w:val="Paragraph"/>
      </w:pPr>
      <w:r w:rsidRPr="009E16FD">
        <w:t>(e)  DEVELOPMENT PROJECT REQUIREMENTS. A proposed development project not excluded under Paragraph (d) of this Rule shall be approved by a subject local government for the purpose of this Rule when the applicable requirements of Paragraph (c) of this Rule and the following criteria are met:</w:t>
      </w:r>
    </w:p>
    <w:p w14:paraId="54D5976C" w14:textId="77777777" w:rsidR="006A0BDB" w:rsidRPr="009E16FD" w:rsidRDefault="006A0BDB" w:rsidP="001D2CEB">
      <w:pPr>
        <w:pStyle w:val="SubParagraph"/>
        <w:tabs>
          <w:tab w:val="clear" w:pos="1800"/>
        </w:tabs>
      </w:pPr>
      <w:r w:rsidRPr="009E16FD">
        <w:t>(1)</w:t>
      </w:r>
      <w:r w:rsidRPr="009E16FD">
        <w:tab/>
        <w:t>The</w:t>
      </w:r>
      <w:r>
        <w:t xml:space="preserve"> </w:t>
      </w:r>
      <w:r w:rsidRPr="009E16FD">
        <w:t>project, as defined in 15A NCAC 02H .1002, shall meet either a nitrogen loading rate target of 4.0 pounds/acre/year and a phosphorus loading rate target of 0.8 pounds/acre/year, or "runoff volume match" as defined in</w:t>
      </w:r>
      <w:r>
        <w:t xml:space="preserve"> </w:t>
      </w:r>
      <w:r w:rsidRPr="009E16FD">
        <w:t>that Rule. Proposed development projects that would replace or expand existing structures and result in a net increase in built-upon area shall meet one of these options for the project less any existing built-upon area.</w:t>
      </w:r>
    </w:p>
    <w:p w14:paraId="211EFFF3" w14:textId="77777777" w:rsidR="006A0BDB" w:rsidRPr="009E16FD" w:rsidRDefault="006A0BDB" w:rsidP="001D2CEB">
      <w:pPr>
        <w:pStyle w:val="SubParagraph"/>
        <w:tabs>
          <w:tab w:val="clear" w:pos="1800"/>
        </w:tabs>
      </w:pPr>
      <w:r w:rsidRPr="009E16FD">
        <w:t>(2)</w:t>
      </w:r>
      <w:r w:rsidRPr="009E16FD">
        <w:tab/>
        <w:t xml:space="preserve">Regarding stormwater treatment and other onsite post-construction elements, projects not subject to more stringent standards under one of </w:t>
      </w:r>
      <w:r w:rsidRPr="009E16FD">
        <w:t xml:space="preserve">the following State stormwater rules or a local ordinance shall meet 15A NCAC 02H .1003, which includes specifications for low- and high-density designs, vegetated setbacks, and stormwater outlets for all projects. Such projects shall use a high-density treatment threshold of </w:t>
      </w:r>
      <w:r>
        <w:t>24</w:t>
      </w:r>
      <w:r w:rsidRPr="009E16FD">
        <w:t xml:space="preserve"> percent or greater built-upon area and a storm depth of one inch for SCM design:</w:t>
      </w:r>
    </w:p>
    <w:p w14:paraId="3D4DCE77" w14:textId="77777777" w:rsidR="006A0BDB" w:rsidRPr="009E16FD" w:rsidRDefault="006A0BDB" w:rsidP="001D2CEB">
      <w:pPr>
        <w:pStyle w:val="Part"/>
        <w:tabs>
          <w:tab w:val="clear" w:pos="2520"/>
        </w:tabs>
      </w:pPr>
      <w:r w:rsidRPr="009E16FD">
        <w:t>(A)</w:t>
      </w:r>
      <w:r w:rsidRPr="009E16FD">
        <w:tab/>
        <w:t>Water Supply Watershed Protection rules, 15A NCAC 02B .0620 through .0624;</w:t>
      </w:r>
    </w:p>
    <w:p w14:paraId="6CF6861E" w14:textId="77777777" w:rsidR="006A0BDB" w:rsidRPr="009E16FD" w:rsidRDefault="006A0BDB" w:rsidP="001D2CEB">
      <w:pPr>
        <w:pStyle w:val="Part"/>
        <w:tabs>
          <w:tab w:val="clear" w:pos="2520"/>
        </w:tabs>
      </w:pPr>
      <w:r w:rsidRPr="009E16FD">
        <w:t>(B)</w:t>
      </w:r>
      <w:r w:rsidRPr="009E16FD">
        <w:tab/>
        <w:t>Coastal Counties stormwater rule 15A NCAC 02H .1019; or</w:t>
      </w:r>
    </w:p>
    <w:p w14:paraId="48841366" w14:textId="77777777" w:rsidR="006A0BDB" w:rsidRPr="009E16FD" w:rsidRDefault="006A0BDB" w:rsidP="001D2CEB">
      <w:pPr>
        <w:pStyle w:val="Part"/>
        <w:tabs>
          <w:tab w:val="clear" w:pos="2520"/>
        </w:tabs>
      </w:pPr>
      <w:r w:rsidRPr="009E16FD">
        <w:t>(C)</w:t>
      </w:r>
      <w:r w:rsidRPr="009E16FD">
        <w:tab/>
        <w:t>Non-Coastal County HWQs and ORWs rule 15A NCAC 02H .1021.</w:t>
      </w:r>
    </w:p>
    <w:p w14:paraId="0DE91C7B" w14:textId="77777777" w:rsidR="006A0BDB" w:rsidRPr="009E16FD" w:rsidRDefault="006A0BDB" w:rsidP="001D2CEB">
      <w:pPr>
        <w:pStyle w:val="SubParagraph"/>
        <w:tabs>
          <w:tab w:val="clear" w:pos="1800"/>
        </w:tabs>
      </w:pPr>
      <w:r w:rsidRPr="009E16FD">
        <w:t>(3)</w:t>
      </w:r>
      <w:r w:rsidRPr="009E16FD">
        <w:tab/>
        <w:t>The following are exceptions to the onsite requirements of Subparagraph (2) of this Paragraph:</w:t>
      </w:r>
    </w:p>
    <w:p w14:paraId="42F647CA" w14:textId="77777777" w:rsidR="006A0BDB" w:rsidRPr="009E16FD" w:rsidRDefault="006A0BDB" w:rsidP="001D2CEB">
      <w:pPr>
        <w:pStyle w:val="Part"/>
        <w:tabs>
          <w:tab w:val="clear" w:pos="2520"/>
          <w:tab w:val="left" w:pos="3240"/>
        </w:tabs>
      </w:pPr>
      <w:r w:rsidRPr="009E16FD">
        <w:t>(A)</w:t>
      </w:r>
      <w:r w:rsidRPr="009E16FD">
        <w:tab/>
        <w:t>Proposed development projects may utilize an offsite SCM that is dedicated to treating an area encompassing the project, provided the SCM is designed to meet all applicable requirements identified in Subparagraph (2) of this Paragraph; and</w:t>
      </w:r>
    </w:p>
    <w:p w14:paraId="7D2CF78E" w14:textId="77777777" w:rsidR="006A0BDB" w:rsidRPr="009E16FD" w:rsidRDefault="006A0BDB" w:rsidP="001D2CEB">
      <w:pPr>
        <w:pStyle w:val="Part"/>
        <w:tabs>
          <w:tab w:val="clear" w:pos="2520"/>
          <w:tab w:val="left" w:pos="3240"/>
        </w:tabs>
      </w:pPr>
      <w:r w:rsidRPr="009E16FD">
        <w:t>(B)</w:t>
      </w:r>
      <w:r w:rsidRPr="009E16FD">
        <w:tab/>
        <w:t>Proposed development undertaken by a local government solely as a public road expansion or public sidewalk project, or proposed development subject to the jurisdiction of the Surface Transportation Board, may meet the loading rate target of this Paragraph entirely through use of permanent nutrient offset credit pursuant to Rule .0703 of this Section.</w:t>
      </w:r>
    </w:p>
    <w:p w14:paraId="4122075C" w14:textId="77777777" w:rsidR="006A0BDB" w:rsidRPr="009E16FD" w:rsidRDefault="006A0BDB" w:rsidP="001D2CEB">
      <w:pPr>
        <w:pStyle w:val="SubParagraph"/>
        <w:tabs>
          <w:tab w:val="clear" w:pos="1800"/>
          <w:tab w:val="left" w:pos="3240"/>
        </w:tabs>
      </w:pPr>
      <w:r w:rsidRPr="009E16FD">
        <w:t>(4)</w:t>
      </w:r>
      <w:r w:rsidRPr="009E16FD">
        <w:tab/>
        <w:t>Where in satisfying the onsite requirements of Subparagraph (2) of this Paragraph, a project does not meet the loading rate target of this Paragraph, it may do so through use of permanent nutrient offset credit pursuant to Rule .0703 of this Section. Persons doing so shall provide proof of credit acquisition to the permitting authority prior to approval of the development plan.</w:t>
      </w:r>
    </w:p>
    <w:p w14:paraId="5181292A" w14:textId="77777777" w:rsidR="006A0BDB" w:rsidRPr="009E16FD" w:rsidRDefault="006A0BDB" w:rsidP="001D2CEB">
      <w:pPr>
        <w:pStyle w:val="SubParagraph"/>
      </w:pPr>
      <w:r w:rsidRPr="009E16FD">
        <w:t>(5)</w:t>
      </w:r>
      <w:r w:rsidRPr="009E16FD">
        <w:tab/>
        <w:t>Untreated nutrient loading rates from the project area shall be determined through the use of the tool most recently approved by the Division to have met the following criteria, or through an alternative method that meets or exceeds the following criteria,</w:t>
      </w:r>
      <w:r>
        <w:t xml:space="preserve"> </w:t>
      </w:r>
      <w:r w:rsidRPr="009E16FD">
        <w:t>as determined by the Division:</w:t>
      </w:r>
    </w:p>
    <w:p w14:paraId="63151ACE" w14:textId="77777777" w:rsidR="006A0BDB" w:rsidRPr="009E16FD" w:rsidRDefault="006A0BDB" w:rsidP="001D2CEB">
      <w:pPr>
        <w:pStyle w:val="Part"/>
        <w:tabs>
          <w:tab w:val="clear" w:pos="2520"/>
        </w:tabs>
      </w:pPr>
      <w:r w:rsidRPr="009E16FD">
        <w:t>(A)</w:t>
      </w:r>
      <w:r w:rsidRPr="009E16FD">
        <w:tab/>
        <w:t>Provides</w:t>
      </w:r>
      <w:r>
        <w:t xml:space="preserve"> </w:t>
      </w:r>
      <w:r w:rsidRPr="009E16FD">
        <w:t>site-scale estimates of annual precipitation-driven total nitrogen and total phosphorus load;</w:t>
      </w:r>
    </w:p>
    <w:p w14:paraId="3BB235EA" w14:textId="77777777" w:rsidR="006A0BDB" w:rsidRPr="009E16FD" w:rsidRDefault="006A0BDB" w:rsidP="001D2CEB">
      <w:pPr>
        <w:pStyle w:val="Part"/>
        <w:tabs>
          <w:tab w:val="clear" w:pos="2520"/>
        </w:tabs>
      </w:pPr>
      <w:r w:rsidRPr="009E16FD">
        <w:t>(B)</w:t>
      </w:r>
      <w:r w:rsidRPr="009E16FD">
        <w:tab/>
        <w:t>From all land cover types on a project site at build-out;</w:t>
      </w:r>
    </w:p>
    <w:p w14:paraId="3ECB2D1F" w14:textId="77777777" w:rsidR="006A0BDB" w:rsidRPr="009E16FD" w:rsidRDefault="006A0BDB" w:rsidP="001D2CEB">
      <w:pPr>
        <w:pStyle w:val="Part"/>
        <w:tabs>
          <w:tab w:val="clear" w:pos="2520"/>
        </w:tabs>
      </w:pPr>
      <w:r w:rsidRPr="009E16FD">
        <w:lastRenderedPageBreak/>
        <w:t>(C)</w:t>
      </w:r>
      <w:r w:rsidRPr="009E16FD">
        <w:tab/>
        <w:t>Based on land-cover-specific nitrogen and phosphorus loading coefficients and annual runoff volume; and</w:t>
      </w:r>
    </w:p>
    <w:p w14:paraId="138ED34F" w14:textId="77777777" w:rsidR="006A0BDB" w:rsidRPr="009E16FD" w:rsidRDefault="006A0BDB" w:rsidP="001D2CEB">
      <w:pPr>
        <w:pStyle w:val="Part"/>
        <w:tabs>
          <w:tab w:val="clear" w:pos="2520"/>
        </w:tabs>
      </w:pPr>
      <w:r w:rsidRPr="009E16FD">
        <w:t>(D)</w:t>
      </w:r>
      <w:r w:rsidRPr="009E16FD">
        <w:tab/>
        <w:t>Is supported by the weight of evidence from available, current, and applicable research.</w:t>
      </w:r>
    </w:p>
    <w:p w14:paraId="694D3764" w14:textId="77777777" w:rsidR="006A0BDB" w:rsidRPr="009E16FD" w:rsidRDefault="006A0BDB" w:rsidP="001D2CEB">
      <w:pPr>
        <w:pStyle w:val="SubParagraph"/>
        <w:tabs>
          <w:tab w:val="clear" w:pos="1800"/>
        </w:tabs>
      </w:pPr>
      <w:r w:rsidRPr="009E16FD">
        <w:t>(6)</w:t>
      </w:r>
      <w:r>
        <w:tab/>
      </w:r>
      <w:r w:rsidRPr="009E16FD">
        <w:t>Nutrient loading rate reductions resulting from the use of SCMs shall be determined through the use of the tool most recently approved by the Division to have met the following criteria, or through an alternative method that meets or exceeds the following criteria,</w:t>
      </w:r>
      <w:r>
        <w:t xml:space="preserve"> </w:t>
      </w:r>
      <w:r w:rsidRPr="009E16FD">
        <w:t>as determined by the Division:</w:t>
      </w:r>
    </w:p>
    <w:p w14:paraId="5252F249" w14:textId="77777777" w:rsidR="006A0BDB" w:rsidRPr="009E16FD" w:rsidRDefault="006A0BDB" w:rsidP="001D2CEB">
      <w:pPr>
        <w:pStyle w:val="Part"/>
        <w:tabs>
          <w:tab w:val="clear" w:pos="2520"/>
        </w:tabs>
      </w:pPr>
      <w:r w:rsidRPr="009E16FD">
        <w:t>(A)</w:t>
      </w:r>
      <w:r w:rsidRPr="009E16FD">
        <w:tab/>
        <w:t>Provides project site loading reduction estimates from the installation of DEMLR-approved SCMs;</w:t>
      </w:r>
    </w:p>
    <w:p w14:paraId="5325B721" w14:textId="77777777" w:rsidR="006A0BDB" w:rsidRPr="009E16FD" w:rsidRDefault="006A0BDB" w:rsidP="001D2CEB">
      <w:pPr>
        <w:pStyle w:val="Part"/>
        <w:tabs>
          <w:tab w:val="clear" w:pos="2520"/>
        </w:tabs>
      </w:pPr>
      <w:r w:rsidRPr="009E16FD">
        <w:t>(B)</w:t>
      </w:r>
      <w:r w:rsidRPr="009E16FD">
        <w:tab/>
        <w:t>Reductions apply to the portion of the</w:t>
      </w:r>
      <w:r>
        <w:t xml:space="preserve"> </w:t>
      </w:r>
      <w:r w:rsidRPr="009E16FD">
        <w:t>project's runoff volume that is directed to the SCMs;</w:t>
      </w:r>
    </w:p>
    <w:p w14:paraId="68EF5A4E" w14:textId="77777777" w:rsidR="006A0BDB" w:rsidRPr="009E16FD" w:rsidRDefault="006A0BDB" w:rsidP="001D2CEB">
      <w:pPr>
        <w:pStyle w:val="Part"/>
        <w:tabs>
          <w:tab w:val="clear" w:pos="2520"/>
        </w:tabs>
      </w:pPr>
      <w:r w:rsidRPr="009E16FD">
        <w:t>(C)</w:t>
      </w:r>
      <w:r w:rsidRPr="009E16FD">
        <w:tab/>
        <w:t>The method partitions the runoff volume processed by the SCM among hydrologic fates and assigns nutrient concentrations to each of those fates; and</w:t>
      </w:r>
    </w:p>
    <w:p w14:paraId="41686310" w14:textId="77777777" w:rsidR="006A0BDB" w:rsidRPr="009E16FD" w:rsidRDefault="006A0BDB" w:rsidP="001D2CEB">
      <w:pPr>
        <w:pStyle w:val="Part"/>
        <w:tabs>
          <w:tab w:val="clear" w:pos="2520"/>
        </w:tabs>
      </w:pPr>
      <w:r w:rsidRPr="009E16FD">
        <w:t>(D)</w:t>
      </w:r>
      <w:r w:rsidRPr="009E16FD">
        <w:tab/>
        <w:t>The method is supported by the weight of evidence from available, current, and applicable research.</w:t>
      </w:r>
    </w:p>
    <w:p w14:paraId="5CAD38E6" w14:textId="77777777" w:rsidR="006A0BDB" w:rsidRPr="009E16FD" w:rsidRDefault="006A0BDB" w:rsidP="001D2CEB">
      <w:pPr>
        <w:pStyle w:val="SubParagraph"/>
        <w:tabs>
          <w:tab w:val="clear" w:pos="1800"/>
        </w:tabs>
      </w:pPr>
      <w:r w:rsidRPr="009E16FD">
        <w:t>(7)</w:t>
      </w:r>
      <w:r w:rsidRPr="009E16FD">
        <w:tab/>
        <w:t>Proposed development projects shall demonstrate compliance with the riparian buffer protection requirements set forth in 15A NCAC 02B .0259.</w:t>
      </w:r>
    </w:p>
    <w:p w14:paraId="7C6CB275" w14:textId="77777777" w:rsidR="006A0BDB" w:rsidRPr="009E16FD" w:rsidRDefault="006A0BDB" w:rsidP="001D2CEB">
      <w:pPr>
        <w:pStyle w:val="Paragraph"/>
      </w:pPr>
      <w:r w:rsidRPr="009E16FD">
        <w:t>(f)  RULE IMPLEMENTATION</w:t>
      </w:r>
    </w:p>
    <w:p w14:paraId="710729B6" w14:textId="77777777" w:rsidR="006A0BDB" w:rsidRPr="009E16FD" w:rsidRDefault="006A0BDB" w:rsidP="001D2CEB">
      <w:pPr>
        <w:pStyle w:val="SubParagraph"/>
        <w:tabs>
          <w:tab w:val="clear" w:pos="1800"/>
        </w:tabs>
      </w:pPr>
      <w:r w:rsidRPr="009E16FD">
        <w:t>(1)</w:t>
      </w:r>
      <w:r w:rsidRPr="009E16FD">
        <w:tab/>
        <w:t>Within</w:t>
      </w:r>
      <w:r>
        <w:t xml:space="preserve"> </w:t>
      </w:r>
      <w:r w:rsidRPr="009E16FD">
        <w:t>eight months of the effective date of this Rule, the Division shall submit a model local stormwater program embodying the elements in Paragraphs (c)</w:t>
      </w:r>
      <w:r>
        <w:t xml:space="preserve"> </w:t>
      </w:r>
      <w:r w:rsidRPr="009E16FD">
        <w:t>through (e) of this Rule to the Commission for approval. The Division shall work</w:t>
      </w:r>
      <w:r>
        <w:t xml:space="preserve"> </w:t>
      </w:r>
      <w:r w:rsidRPr="009E16FD">
        <w:t>with subject local governments in developing this model program.</w:t>
      </w:r>
    </w:p>
    <w:p w14:paraId="3AD82B05" w14:textId="77777777" w:rsidR="006A0BDB" w:rsidRPr="009E16FD" w:rsidRDefault="006A0BDB" w:rsidP="001D2CEB">
      <w:pPr>
        <w:pStyle w:val="SubParagraph"/>
        <w:tabs>
          <w:tab w:val="clear" w:pos="1800"/>
        </w:tabs>
      </w:pPr>
      <w:r w:rsidRPr="009E16FD">
        <w:t>(2)</w:t>
      </w:r>
      <w:r w:rsidRPr="009E16FD">
        <w:tab/>
        <w:t>Local governments designated pursuant to Subparagraph (b)(1) of this Rule and additional local governments designated</w:t>
      </w:r>
      <w:r>
        <w:t xml:space="preserve"> </w:t>
      </w:r>
      <w:r w:rsidRPr="009E16FD">
        <w:t>pursuant to Subparagraph (b)(2) of this Rule shall submit a local stormwater program for approval by the Commission within six months and 12 months, respectively, of the Commission's approval of the model local program. These local programs shall meet or exceed the requirements in Paragraphs (c)</w:t>
      </w:r>
      <w:r>
        <w:t xml:space="preserve"> </w:t>
      </w:r>
      <w:r w:rsidRPr="009E16FD">
        <w:t>through (e) of this Rule.</w:t>
      </w:r>
    </w:p>
    <w:p w14:paraId="11F73B0E" w14:textId="77777777" w:rsidR="006A0BDB" w:rsidRPr="009E16FD" w:rsidRDefault="006A0BDB" w:rsidP="001D2CEB">
      <w:pPr>
        <w:pStyle w:val="SubParagraph"/>
        <w:tabs>
          <w:tab w:val="clear" w:pos="1800"/>
        </w:tabs>
      </w:pPr>
      <w:r w:rsidRPr="009E16FD">
        <w:t>(3)</w:t>
      </w:r>
      <w:r w:rsidRPr="009E16FD">
        <w:tab/>
        <w:t>The Division shall provide recommendations to the Commission regarding proposed local programs. The Commission shall approve programs or require changes based on the standards set out in Paragraphs (c)</w:t>
      </w:r>
      <w:r>
        <w:t xml:space="preserve"> </w:t>
      </w:r>
      <w:r w:rsidRPr="009E16FD">
        <w:t xml:space="preserve">through (e) of this Rule. Should the Commission require changes, the applicable local government shall have three months to submit revisions, and the Division shall provide follow-up </w:t>
      </w:r>
      <w:r w:rsidRPr="009E16FD">
        <w:t>recommendations to the Commission within two months after receiving</w:t>
      </w:r>
      <w:r>
        <w:t xml:space="preserve"> </w:t>
      </w:r>
      <w:r w:rsidRPr="009E16FD">
        <w:t>revisions.</w:t>
      </w:r>
    </w:p>
    <w:p w14:paraId="54A15290" w14:textId="77777777" w:rsidR="006A0BDB" w:rsidRPr="009E16FD" w:rsidRDefault="006A0BDB" w:rsidP="001D2CEB">
      <w:pPr>
        <w:pStyle w:val="SubParagraph"/>
        <w:tabs>
          <w:tab w:val="clear" w:pos="1800"/>
        </w:tabs>
      </w:pPr>
      <w:r w:rsidRPr="009E16FD">
        <w:t>(4)</w:t>
      </w:r>
      <w:r w:rsidRPr="009E16FD">
        <w:tab/>
        <w:t>Within six months after the Commission's approval of a local program, the</w:t>
      </w:r>
      <w:r>
        <w:t xml:space="preserve"> </w:t>
      </w:r>
      <w:r w:rsidRPr="009E16FD">
        <w:t>local government shall complete adoption of and implement its local stormwater program.</w:t>
      </w:r>
    </w:p>
    <w:p w14:paraId="4BE94D48" w14:textId="77777777" w:rsidR="006A0BDB" w:rsidRPr="009E16FD" w:rsidRDefault="006A0BDB" w:rsidP="001D2CEB">
      <w:pPr>
        <w:pStyle w:val="SubParagraph"/>
        <w:tabs>
          <w:tab w:val="clear" w:pos="1800"/>
        </w:tabs>
      </w:pPr>
      <w:r w:rsidRPr="009E16FD">
        <w:t>(5)</w:t>
      </w:r>
      <w:r w:rsidRPr="009E16FD">
        <w:tab/>
        <w:t>Local governments administering a stormwater program shall submit annual reports in electronic format to the Division documenting their progress regarding each implementation requirement in Paragraph (c) of this Rule and net changes to nitrogen load by October 30</w:t>
      </w:r>
      <w:r w:rsidRPr="009E16FD">
        <w:rPr>
          <w:vertAlign w:val="superscript"/>
        </w:rPr>
        <w:t>th</w:t>
      </w:r>
      <w:r w:rsidRPr="009E16FD">
        <w:t xml:space="preserve"> of each year. Annual reports shall also include as appendices all data utilized by nutrient calculation tools for each development stormwater plan approved in accordance with this Rule.</w:t>
      </w:r>
    </w:p>
    <w:p w14:paraId="50469D5F" w14:textId="77777777" w:rsidR="006A0BDB" w:rsidRPr="009E16FD" w:rsidRDefault="006A0BDB" w:rsidP="001D2CEB">
      <w:pPr>
        <w:pStyle w:val="SubParagraph"/>
        <w:tabs>
          <w:tab w:val="clear" w:pos="1800"/>
        </w:tabs>
      </w:pPr>
      <w:r w:rsidRPr="009E16FD">
        <w:t>(6)</w:t>
      </w:r>
      <w:r w:rsidRPr="009E16FD">
        <w:tab/>
        <w:t>Any significant modifications to a local government's program shall be submitted to the Director for approval.</w:t>
      </w:r>
    </w:p>
    <w:p w14:paraId="401013AA" w14:textId="77777777" w:rsidR="006A0BDB" w:rsidRPr="009E16FD" w:rsidRDefault="006A0BDB" w:rsidP="001D2CEB">
      <w:pPr>
        <w:pStyle w:val="Paragraph"/>
      </w:pPr>
      <w:r w:rsidRPr="009E16FD">
        <w:t>(g)  COMPLIANCE. A local government's authority to approve</w:t>
      </w:r>
      <w:r>
        <w:t xml:space="preserve"> </w:t>
      </w:r>
      <w:r w:rsidRPr="009E16FD">
        <w:t>development stormwater plans for compliance with this Rule pursuant to Paragraph</w:t>
      </w:r>
      <w:r>
        <w:t xml:space="preserve"> </w:t>
      </w:r>
      <w:r w:rsidRPr="009E16FD">
        <w:t>(e) of this Rule shall be contingent upon maintaining its own compliance with this Rule. A local government that fails to submit an acceptable local stormwater program within the timeframe established in this Rule, fails to implement an approved</w:t>
      </w:r>
      <w:r>
        <w:t xml:space="preserve"> </w:t>
      </w:r>
      <w:r w:rsidRPr="009E16FD">
        <w:t xml:space="preserve">program, or fails to comply with annual reporting requirements shall be in violation of this Rule. </w:t>
      </w:r>
    </w:p>
    <w:p w14:paraId="43CF258B" w14:textId="77777777" w:rsidR="006A0BDB" w:rsidRPr="009E16FD" w:rsidRDefault="006A0BDB" w:rsidP="001D2CEB">
      <w:pPr>
        <w:pStyle w:val="Base"/>
      </w:pPr>
    </w:p>
    <w:p w14:paraId="7CE01597" w14:textId="77777777" w:rsidR="006A0BDB" w:rsidRPr="009E16FD" w:rsidRDefault="006A0BDB" w:rsidP="001D2CEB">
      <w:pPr>
        <w:pStyle w:val="History"/>
      </w:pPr>
      <w:r w:rsidRPr="009E16FD">
        <w:t>History Note:</w:t>
      </w:r>
      <w:r w:rsidRPr="009E16FD">
        <w:tab/>
        <w:t>Authority G.S. 143-214.1; 143-214.7; 143-214.26; 143-215.1; 143-215.3(a)(1); 143-215.6A; 143-215.6B; 143-215.6C; 143 B -282(d); 143-215.8B; S.L. 1997-458; S.L. 2006-246;</w:t>
      </w:r>
    </w:p>
    <w:p w14:paraId="3BA948BA" w14:textId="77777777" w:rsidR="006A0BDB" w:rsidRPr="009E16FD" w:rsidRDefault="006A0BDB" w:rsidP="001D2CEB">
      <w:pPr>
        <w:pStyle w:val="HistoryAfter"/>
      </w:pPr>
      <w:r w:rsidRPr="009E16FD">
        <w:t>Eff. April 1, 2001</w:t>
      </w:r>
      <w:r>
        <w:t>;</w:t>
      </w:r>
    </w:p>
    <w:bookmarkEnd w:id="10"/>
    <w:p w14:paraId="6857DF9C" w14:textId="77777777" w:rsidR="006A0BDB" w:rsidRPr="009E16FD" w:rsidRDefault="006A0BDB" w:rsidP="001D2CEB">
      <w:pPr>
        <w:pStyle w:val="HistoryAfter"/>
      </w:pPr>
      <w:r w:rsidRPr="009E16FD">
        <w:t xml:space="preserve">Readopted </w:t>
      </w:r>
      <w:r>
        <w:t>Pending Delayed Eff. Date</w:t>
      </w:r>
      <w:r w:rsidRPr="009E16FD">
        <w:t>.</w:t>
      </w:r>
    </w:p>
    <w:p w14:paraId="0E2A4DEC" w14:textId="77777777" w:rsidR="006A0BDB" w:rsidRPr="009E16FD" w:rsidRDefault="006A0BDB" w:rsidP="001D2CEB">
      <w:pPr>
        <w:pStyle w:val="Base"/>
      </w:pPr>
    </w:p>
    <w:p w14:paraId="07FC1FF1" w14:textId="77777777" w:rsidR="006A0BDB" w:rsidRPr="00242957" w:rsidRDefault="006A0BDB" w:rsidP="001D2CEB">
      <w:pPr>
        <w:pStyle w:val="Rule"/>
      </w:pPr>
      <w:r w:rsidRPr="00242957">
        <w:t>15A NCAC 02B</w:t>
      </w:r>
      <w:r>
        <w:t xml:space="preserve"> </w:t>
      </w:r>
      <w:r w:rsidRPr="00564EE4">
        <w:rPr>
          <w:strike/>
        </w:rPr>
        <w:t>.0256</w:t>
      </w:r>
      <w:r>
        <w:t xml:space="preserve"> </w:t>
      </w:r>
      <w:r w:rsidRPr="00611C19">
        <w:rPr>
          <w:u w:val="single"/>
        </w:rPr>
        <w:t>.0732</w:t>
      </w:r>
      <w:r w:rsidRPr="00242957">
        <w:tab/>
        <w:t>TAR-PAMLICO NUTRIENT STRATEGY: AGRICULTURE</w:t>
      </w:r>
    </w:p>
    <w:p w14:paraId="6E6225C8" w14:textId="77777777" w:rsidR="006A0BDB" w:rsidRPr="00242957" w:rsidRDefault="006A0BDB" w:rsidP="001D2CEB">
      <w:pPr>
        <w:pStyle w:val="Paragraph"/>
      </w:pPr>
      <w:r w:rsidRPr="00242957">
        <w:t xml:space="preserve">(a)  PURPOSE. </w:t>
      </w:r>
      <w:r w:rsidRPr="00242957">
        <w:rPr>
          <w:snapToGrid w:val="0"/>
        </w:rPr>
        <w:t>The purpose of this Rule is to maintain or exceed the percentage reduction goals defined in Rule</w:t>
      </w:r>
      <w:r w:rsidRPr="00242957">
        <w:t xml:space="preserve"> .0730 of this Section for the collective agricultural loading of nitrogen and phosphorus from the 1991 baseline levels, to the extent that best available accounting practices will allow, </w:t>
      </w:r>
      <w:r w:rsidRPr="00242957">
        <w:rPr>
          <w:snapToGrid w:val="0"/>
        </w:rPr>
        <w:t>on</w:t>
      </w:r>
      <w:r>
        <w:rPr>
          <w:snapToGrid w:val="0"/>
        </w:rPr>
        <w:t xml:space="preserve"> </w:t>
      </w:r>
      <w:r w:rsidRPr="00242957">
        <w:t>agricultural operations</w:t>
      </w:r>
      <w:r w:rsidRPr="00242957">
        <w:rPr>
          <w:snapToGrid w:val="0"/>
        </w:rPr>
        <w:t xml:space="preserve"> as</w:t>
      </w:r>
      <w:r>
        <w:rPr>
          <w:snapToGrid w:val="0"/>
        </w:rPr>
        <w:t xml:space="preserve"> </w:t>
      </w:r>
      <w:r w:rsidRPr="00242957">
        <w:t>defined</w:t>
      </w:r>
      <w:r w:rsidRPr="00242957">
        <w:rPr>
          <w:snapToGrid w:val="0"/>
        </w:rPr>
        <w:t xml:space="preserve"> in Paragraph (b) of this</w:t>
      </w:r>
      <w:r>
        <w:rPr>
          <w:snapToGrid w:val="0"/>
        </w:rPr>
        <w:t xml:space="preserve"> </w:t>
      </w:r>
      <w:r w:rsidRPr="00242957">
        <w:rPr>
          <w:snapToGrid w:val="0"/>
        </w:rPr>
        <w:t xml:space="preserve">Rule. </w:t>
      </w:r>
      <w:r w:rsidRPr="00242957">
        <w:t>This Rule requires persons engaging in agricultural operations in the</w:t>
      </w:r>
      <w:r>
        <w:t xml:space="preserve"> </w:t>
      </w:r>
      <w:r w:rsidRPr="00242957">
        <w:t>basin to implement land management practices that will collectively, on a basin basis, achieve and maintain strategy nutrient reduction goals of a 30 percent reduction in nitrogen loading from 1991 levels and no increase in phosphorus loading from 1991 levels. Local committees and a Basin</w:t>
      </w:r>
      <w:r>
        <w:t xml:space="preserve"> </w:t>
      </w:r>
      <w:r w:rsidRPr="00242957">
        <w:t>Oversight Committee</w:t>
      </w:r>
      <w:r>
        <w:t xml:space="preserve"> </w:t>
      </w:r>
      <w:r w:rsidRPr="00242957">
        <w:t>shall coordinate activities and account for progress.</w:t>
      </w:r>
    </w:p>
    <w:p w14:paraId="46506391" w14:textId="77777777" w:rsidR="006A0BDB" w:rsidRPr="00242957" w:rsidRDefault="006A0BDB" w:rsidP="001D2CEB">
      <w:pPr>
        <w:pStyle w:val="SubParagraph"/>
        <w:tabs>
          <w:tab w:val="clear" w:pos="1800"/>
        </w:tabs>
      </w:pPr>
      <w:r w:rsidRPr="00242957">
        <w:t>(1)</w:t>
      </w:r>
      <w:r w:rsidRPr="00242957">
        <w:tab/>
        <w:t xml:space="preserve">PROCESS. This Rule requires agricultural producers in the basin to implement land management practices that collectively, on a basin-wide basis, will achieve the nutrient goals. </w:t>
      </w:r>
    </w:p>
    <w:p w14:paraId="15087989" w14:textId="77777777" w:rsidR="006A0BDB" w:rsidRPr="00242957" w:rsidRDefault="006A0BDB" w:rsidP="001D2CEB">
      <w:pPr>
        <w:pStyle w:val="SubParagraph"/>
        <w:tabs>
          <w:tab w:val="clear" w:pos="1800"/>
        </w:tabs>
      </w:pPr>
      <w:r w:rsidRPr="00242957">
        <w:t>(2)</w:t>
      </w:r>
      <w:r w:rsidRPr="00242957">
        <w:tab/>
        <w:t xml:space="preserve">LIMITATION. This Rule may not fully address the agricultural nitrogen reduction goal of the Tar-Pamlico Nutrient Sensitive Waters </w:t>
      </w:r>
      <w:r w:rsidRPr="00242957">
        <w:lastRenderedPageBreak/>
        <w:t xml:space="preserve">Strategy in that it does not address atmospheric sources of nitrogen to the Basin, including atmospheric emissions of ammonia from sources located both within and outside of the Basin, and the Commission may undertake separate rule making to address atmospheric sources at a later date. </w:t>
      </w:r>
    </w:p>
    <w:p w14:paraId="012B37AB" w14:textId="77777777" w:rsidR="006A0BDB" w:rsidRPr="00242957" w:rsidRDefault="006A0BDB" w:rsidP="001D2CEB">
      <w:pPr>
        <w:pStyle w:val="Paragraph"/>
      </w:pPr>
      <w:r w:rsidRPr="00242957">
        <w:t>(b)  APPLICABILITY. This Rule shall apply to all</w:t>
      </w:r>
      <w:r>
        <w:t xml:space="preserve"> </w:t>
      </w:r>
      <w:r w:rsidRPr="00242957">
        <w:t>agricultural producers engaging in agricultural</w:t>
      </w:r>
      <w:r>
        <w:t xml:space="preserve"> </w:t>
      </w:r>
      <w:r w:rsidRPr="00242957">
        <w:t>operations in the geographic area subject to the Tar-Pamlico nutrient strategy as described in Rule .0730 of this Section. This Rule applies to livestock and poultry operations</w:t>
      </w:r>
      <w:r>
        <w:t xml:space="preserve"> </w:t>
      </w:r>
      <w:r w:rsidRPr="00242957">
        <w:t>set forth in Subparagraph (b)(3) of this Rule in addition to requirements for animal operations set forth in general permits issued pursuant to G.S. 143-215.10C. Nothing in this Rule shall be deemed to allow the violation of any assigned surface water, groundwater, or air quality standard by any agricultural operation, including any livestock or poultry operation below the size thresholds in this Paragraph.</w:t>
      </w:r>
      <w:r>
        <w:t xml:space="preserve"> </w:t>
      </w:r>
      <w:r w:rsidRPr="00242957">
        <w:t>For the purposes of this Rule, "agricultural operations," are activities, and "agricultural producers" are persons engaging in those activities, that relate to any of the following pursuits:</w:t>
      </w:r>
    </w:p>
    <w:p w14:paraId="720345C1" w14:textId="77777777" w:rsidR="006A0BDB" w:rsidRPr="00242957" w:rsidRDefault="006A0BDB" w:rsidP="001D2CEB">
      <w:pPr>
        <w:pStyle w:val="SubParagraph"/>
        <w:tabs>
          <w:tab w:val="clear" w:pos="1800"/>
        </w:tabs>
      </w:pPr>
      <w:r w:rsidRPr="00242957">
        <w:t>(1)</w:t>
      </w:r>
      <w:r w:rsidRPr="00242957">
        <w:tab/>
        <w:t>The commercial production of crops or horticultural products other than trees. As used in this Rule, "commercial" shall mean activities conducted primarily for financial profit.</w:t>
      </w:r>
    </w:p>
    <w:p w14:paraId="0297E485" w14:textId="77777777" w:rsidR="006A0BDB" w:rsidRPr="00242957" w:rsidRDefault="006A0BDB" w:rsidP="001D2CEB">
      <w:pPr>
        <w:pStyle w:val="SubParagraph"/>
        <w:tabs>
          <w:tab w:val="clear" w:pos="1800"/>
        </w:tabs>
      </w:pPr>
      <w:r w:rsidRPr="00242957">
        <w:t>(2)</w:t>
      </w:r>
      <w:r w:rsidRPr="00242957">
        <w:tab/>
        <w:t>Research activities in support of commercial production.</w:t>
      </w:r>
    </w:p>
    <w:p w14:paraId="18267472" w14:textId="77777777" w:rsidR="006A0BDB" w:rsidRPr="00242957" w:rsidRDefault="006A0BDB" w:rsidP="001D2CEB">
      <w:pPr>
        <w:pStyle w:val="SubParagraph"/>
        <w:tabs>
          <w:tab w:val="clear" w:pos="1800"/>
        </w:tabs>
      </w:pPr>
      <w:r w:rsidRPr="00242957">
        <w:t>(3)</w:t>
      </w:r>
      <w:r w:rsidRPr="00242957">
        <w:tab/>
        <w:t>The production or management of any of the following number of livestock or poultry at any time, excluding nursing young:</w:t>
      </w:r>
    </w:p>
    <w:p w14:paraId="164E00C0" w14:textId="77777777" w:rsidR="006A0BDB" w:rsidRPr="00242957" w:rsidRDefault="006A0BDB" w:rsidP="001D2CEB">
      <w:pPr>
        <w:pStyle w:val="Part"/>
        <w:tabs>
          <w:tab w:val="clear" w:pos="2520"/>
        </w:tabs>
      </w:pPr>
      <w:r w:rsidRPr="00242957">
        <w:t>(A)</w:t>
      </w:r>
      <w:r w:rsidRPr="00242957">
        <w:tab/>
        <w:t>20 or more horses;</w:t>
      </w:r>
    </w:p>
    <w:p w14:paraId="497F8D3B" w14:textId="77777777" w:rsidR="006A0BDB" w:rsidRPr="00242957" w:rsidRDefault="006A0BDB" w:rsidP="001D2CEB">
      <w:pPr>
        <w:pStyle w:val="Part"/>
        <w:tabs>
          <w:tab w:val="clear" w:pos="2520"/>
        </w:tabs>
      </w:pPr>
      <w:r w:rsidRPr="00242957">
        <w:t>(B)</w:t>
      </w:r>
      <w:r w:rsidRPr="00242957">
        <w:tab/>
        <w:t>20 or more cattle;</w:t>
      </w:r>
    </w:p>
    <w:p w14:paraId="3D59F536" w14:textId="77777777" w:rsidR="006A0BDB" w:rsidRPr="00242957" w:rsidRDefault="006A0BDB" w:rsidP="001D2CEB">
      <w:pPr>
        <w:pStyle w:val="Part"/>
        <w:tabs>
          <w:tab w:val="clear" w:pos="2520"/>
        </w:tabs>
      </w:pPr>
      <w:r w:rsidRPr="00242957">
        <w:t>(C)</w:t>
      </w:r>
      <w:r w:rsidRPr="00242957">
        <w:tab/>
        <w:t>150 or more swine;</w:t>
      </w:r>
    </w:p>
    <w:p w14:paraId="3F20FE38" w14:textId="77777777" w:rsidR="006A0BDB" w:rsidRPr="00242957" w:rsidRDefault="006A0BDB" w:rsidP="001D2CEB">
      <w:pPr>
        <w:pStyle w:val="Part"/>
        <w:tabs>
          <w:tab w:val="clear" w:pos="2520"/>
        </w:tabs>
      </w:pPr>
      <w:r w:rsidRPr="00242957">
        <w:t>(D)</w:t>
      </w:r>
      <w:r w:rsidRPr="00242957">
        <w:tab/>
        <w:t>120 or more sheep;</w:t>
      </w:r>
    </w:p>
    <w:p w14:paraId="6FC58FDE" w14:textId="77777777" w:rsidR="006A0BDB" w:rsidRPr="00242957" w:rsidRDefault="006A0BDB" w:rsidP="001D2CEB">
      <w:pPr>
        <w:pStyle w:val="Part"/>
        <w:tabs>
          <w:tab w:val="clear" w:pos="2520"/>
        </w:tabs>
      </w:pPr>
      <w:r w:rsidRPr="00242957">
        <w:t>(E)</w:t>
      </w:r>
      <w:r w:rsidRPr="00242957">
        <w:tab/>
        <w:t>130 or more goats;</w:t>
      </w:r>
    </w:p>
    <w:p w14:paraId="092D3C93" w14:textId="77777777" w:rsidR="006A0BDB" w:rsidRPr="00242957" w:rsidRDefault="006A0BDB" w:rsidP="001D2CEB">
      <w:pPr>
        <w:pStyle w:val="Part"/>
        <w:tabs>
          <w:tab w:val="clear" w:pos="2520"/>
        </w:tabs>
      </w:pPr>
      <w:r w:rsidRPr="00242957">
        <w:t>(F)</w:t>
      </w:r>
      <w:r w:rsidRPr="00242957">
        <w:tab/>
        <w:t>650 or more turkeys;</w:t>
      </w:r>
    </w:p>
    <w:p w14:paraId="27798FDF" w14:textId="77777777" w:rsidR="006A0BDB" w:rsidRPr="00242957" w:rsidRDefault="006A0BDB" w:rsidP="001D2CEB">
      <w:pPr>
        <w:pStyle w:val="Part"/>
        <w:tabs>
          <w:tab w:val="clear" w:pos="2520"/>
        </w:tabs>
      </w:pPr>
      <w:r w:rsidRPr="00242957">
        <w:t>(G)</w:t>
      </w:r>
      <w:r w:rsidRPr="00242957">
        <w:tab/>
        <w:t>3,500 or more chickens; or</w:t>
      </w:r>
    </w:p>
    <w:p w14:paraId="7D9127E3" w14:textId="77777777" w:rsidR="006A0BDB" w:rsidRPr="00242957" w:rsidRDefault="006A0BDB" w:rsidP="001D2CEB">
      <w:pPr>
        <w:pStyle w:val="Part"/>
        <w:tabs>
          <w:tab w:val="clear" w:pos="2520"/>
        </w:tabs>
      </w:pPr>
      <w:r w:rsidRPr="00242957">
        <w:t>(H)</w:t>
      </w:r>
      <w:r w:rsidRPr="00242957">
        <w:tab/>
        <w:t>Any single species of any other livestock or poultry, or any combination of species of livestock or poultry that exceeds 20,000 pounds of live weight at any time.</w:t>
      </w:r>
    </w:p>
    <w:p w14:paraId="44B4336A" w14:textId="77777777" w:rsidR="006A0BDB" w:rsidRPr="00242957" w:rsidRDefault="006A0BDB" w:rsidP="001D2CEB">
      <w:pPr>
        <w:pStyle w:val="SubParagraph"/>
        <w:tabs>
          <w:tab w:val="clear" w:pos="1800"/>
        </w:tabs>
      </w:pPr>
      <w:r w:rsidRPr="00242957">
        <w:t>(4)</w:t>
      </w:r>
      <w:r w:rsidRPr="00242957">
        <w:tab/>
        <w:t>Certain tree-harvesting activities described and defined as follows.</w:t>
      </w:r>
    </w:p>
    <w:p w14:paraId="50253E67" w14:textId="77777777" w:rsidR="006A0BDB" w:rsidRPr="00242957" w:rsidRDefault="006A0BDB" w:rsidP="001D2CEB">
      <w:pPr>
        <w:pStyle w:val="Part"/>
        <w:tabs>
          <w:tab w:val="clear" w:pos="2520"/>
        </w:tabs>
      </w:pPr>
      <w:r w:rsidRPr="00242957">
        <w:t>(A)</w:t>
      </w:r>
      <w:r w:rsidRPr="00242957">
        <w:tab/>
        <w:t>The one-time harvest of trees on land within a riparian buffer described in Rule .0259 that was open farmland on September 1, 2001. This one-time harvest of trees may be conducted within one tree cropping interval only under a verifiable farm plan that received final approval from a local agricultural agency on or after September 1, 2001 and that expressly allowed the harvest of trees no earlier than 10 years after the trees are established and the return of the land to another agricultural pursuit.</w:t>
      </w:r>
    </w:p>
    <w:p w14:paraId="3FD7C78A" w14:textId="77777777" w:rsidR="006A0BDB" w:rsidRPr="00242957" w:rsidRDefault="006A0BDB" w:rsidP="001D2CEB">
      <w:pPr>
        <w:pStyle w:val="Part"/>
        <w:tabs>
          <w:tab w:val="clear" w:pos="2520"/>
        </w:tabs>
      </w:pPr>
      <w:r w:rsidRPr="00242957">
        <w:t>(B)</w:t>
      </w:r>
      <w:r w:rsidRPr="00242957">
        <w:tab/>
        <w:t>The one-time harvest of trees on land within a riparian buffer described in 15A NCAC 02B .0259</w:t>
      </w:r>
      <w:r>
        <w:t xml:space="preserve"> </w:t>
      </w:r>
      <w:r w:rsidRPr="00242957">
        <w:t>that had trees established under an agricultural incentive program as of September 1, 2001.</w:t>
      </w:r>
    </w:p>
    <w:p w14:paraId="540ED5F8" w14:textId="77777777" w:rsidR="006A0BDB" w:rsidRPr="00242957" w:rsidRDefault="006A0BDB" w:rsidP="001D2CEB">
      <w:pPr>
        <w:pStyle w:val="Part"/>
        <w:tabs>
          <w:tab w:val="clear" w:pos="2520"/>
        </w:tabs>
      </w:pPr>
      <w:r w:rsidRPr="00242957">
        <w:t>(C)</w:t>
      </w:r>
      <w:r w:rsidRPr="00242957">
        <w:tab/>
        <w:t>All tree harvesting described in Parts (A) and (B) of this Subparagraph shall comply with</w:t>
      </w:r>
      <w:r>
        <w:t xml:space="preserve"> </w:t>
      </w:r>
      <w:r w:rsidRPr="00242957">
        <w:t>02 NCAC 60C. The nutrient removal functions that were provided by trees prior to their harvest shall be replaced by other measures that are implemented by the owner of the land from which the trees are harvested.</w:t>
      </w:r>
    </w:p>
    <w:p w14:paraId="583366F4" w14:textId="77777777" w:rsidR="006A0BDB" w:rsidRPr="00242957" w:rsidRDefault="006A0BDB" w:rsidP="001D2CEB">
      <w:pPr>
        <w:pStyle w:val="Part"/>
        <w:tabs>
          <w:tab w:val="clear" w:pos="2520"/>
        </w:tabs>
      </w:pPr>
      <w:r w:rsidRPr="00242957">
        <w:t>(D)</w:t>
      </w:r>
      <w:r w:rsidRPr="00242957">
        <w:tab/>
        <w:t>The following definitions shall apply to terms used in Parts (A) and (B) of this Subparagraph</w:t>
      </w:r>
      <w:r>
        <w:t>:</w:t>
      </w:r>
    </w:p>
    <w:p w14:paraId="47019301" w14:textId="77777777" w:rsidR="006A0BDB" w:rsidRPr="00242957" w:rsidRDefault="006A0BDB" w:rsidP="001D2CEB">
      <w:pPr>
        <w:pStyle w:val="SubPart"/>
      </w:pPr>
      <w:r w:rsidRPr="00242957">
        <w:t>(i)</w:t>
      </w:r>
      <w:r w:rsidRPr="00242957">
        <w:tab/>
        <w:t>"Agricultural incentive program" means any of the following programs and any predecessor program to any of the following programs:</w:t>
      </w:r>
    </w:p>
    <w:p w14:paraId="22716A94" w14:textId="77777777" w:rsidR="006A0BDB" w:rsidRPr="00242957" w:rsidRDefault="006A0BDB" w:rsidP="001D2CEB">
      <w:pPr>
        <w:pStyle w:val="Subsubpart"/>
      </w:pPr>
      <w:r w:rsidRPr="00242957">
        <w:t>(I)</w:t>
      </w:r>
      <w:r w:rsidRPr="00242957">
        <w:tab/>
        <w:t>Agriculture Cost Share Program for Nonpoint Source Pollution Control established by G.S. 106-850.</w:t>
      </w:r>
    </w:p>
    <w:p w14:paraId="741261BD" w14:textId="77777777" w:rsidR="006A0BDB" w:rsidRPr="00242957" w:rsidRDefault="006A0BDB" w:rsidP="001D2CEB">
      <w:pPr>
        <w:pStyle w:val="Subsubpart"/>
      </w:pPr>
      <w:r w:rsidRPr="00242957">
        <w:t>(II)</w:t>
      </w:r>
      <w:r w:rsidRPr="00242957">
        <w:tab/>
        <w:t>Conservation Reserve Enhancement Program established by 7 C.F.R. Part 1410 (January 1, 2001 Edition) and 15A NCAC 06G .0101 through 15A NCAC 06G .0106.</w:t>
      </w:r>
    </w:p>
    <w:p w14:paraId="003C95C9" w14:textId="77777777" w:rsidR="006A0BDB" w:rsidRPr="00242957" w:rsidRDefault="006A0BDB" w:rsidP="001D2CEB">
      <w:pPr>
        <w:pStyle w:val="Subsubpart"/>
      </w:pPr>
      <w:r w:rsidRPr="00242957">
        <w:t>(III)</w:t>
      </w:r>
      <w:r w:rsidRPr="00242957">
        <w:tab/>
        <w:t>Conservation Reserve Program established by 7 C.F.R. Part 1410 (January 1, 2001 Edition).</w:t>
      </w:r>
    </w:p>
    <w:p w14:paraId="2F4AF8E4" w14:textId="77777777" w:rsidR="006A0BDB" w:rsidRPr="00242957" w:rsidRDefault="006A0BDB" w:rsidP="001D2CEB">
      <w:pPr>
        <w:pStyle w:val="Subsubpart"/>
      </w:pPr>
      <w:r w:rsidRPr="00242957">
        <w:t>(IV)</w:t>
      </w:r>
      <w:r w:rsidRPr="00242957">
        <w:tab/>
        <w:t>Environmental Quality Incentives Program established by 7 C.F.R. Part 1466 (January 1, 2001 Edition).</w:t>
      </w:r>
    </w:p>
    <w:p w14:paraId="6A3B177F" w14:textId="77777777" w:rsidR="006A0BDB" w:rsidRPr="00242957" w:rsidRDefault="006A0BDB" w:rsidP="001D2CEB">
      <w:pPr>
        <w:pStyle w:val="Subsubpart"/>
      </w:pPr>
      <w:r w:rsidRPr="00242957">
        <w:t>(V)</w:t>
      </w:r>
      <w:r w:rsidRPr="00242957">
        <w:tab/>
        <w:t>Wetlands Reserve Program established by 7 C.F.R. Part 1467 (January 1, 2001 Edition).</w:t>
      </w:r>
    </w:p>
    <w:p w14:paraId="78015519" w14:textId="77777777" w:rsidR="006A0BDB" w:rsidRPr="00242957" w:rsidRDefault="006A0BDB" w:rsidP="001D2CEB">
      <w:pPr>
        <w:pStyle w:val="Subsubpart"/>
      </w:pPr>
      <w:r w:rsidRPr="00242957">
        <w:t>(VI)</w:t>
      </w:r>
      <w:r w:rsidRPr="00242957">
        <w:tab/>
        <w:t xml:space="preserve">Wildlife Habitat Incentives Program established by 7 </w:t>
      </w:r>
      <w:r w:rsidRPr="00242957">
        <w:lastRenderedPageBreak/>
        <w:t>C.F.R. Part 636 (January 1, 2001 Edition).</w:t>
      </w:r>
    </w:p>
    <w:p w14:paraId="662AAAD9" w14:textId="77777777" w:rsidR="006A0BDB" w:rsidRPr="00242957" w:rsidRDefault="006A0BDB" w:rsidP="001D2CEB">
      <w:pPr>
        <w:pStyle w:val="Subsubpart"/>
      </w:pPr>
      <w:r w:rsidRPr="00242957">
        <w:t>(VII)</w:t>
      </w:r>
      <w:r w:rsidRPr="00242957">
        <w:tab/>
        <w:t>The CFRs in this Subparagraph are incorporated by reference, including subsequent amendments and editions, and may be accessed free of charge at www.gpo.gov.</w:t>
      </w:r>
    </w:p>
    <w:p w14:paraId="0DE92FF6" w14:textId="77777777" w:rsidR="006A0BDB" w:rsidRPr="00242957" w:rsidRDefault="006A0BDB" w:rsidP="001D2CEB">
      <w:pPr>
        <w:pStyle w:val="SubPart"/>
      </w:pPr>
      <w:r w:rsidRPr="00242957">
        <w:t>(ii)</w:t>
      </w:r>
      <w:r w:rsidRPr="00242957">
        <w:tab/>
        <w:t>"Local agricultural agency" means the North Carolina Cooperative Extension Service, the Farm Services Agency of the United States Department of Agriculture, the Natural Resources Conservation Service of the United States Department of Agriculture, a Soil and Water Conservation District created pursuant to G.S. 139-5, or their successor agencies.</w:t>
      </w:r>
    </w:p>
    <w:p w14:paraId="45E19DC6" w14:textId="77777777" w:rsidR="006A0BDB" w:rsidRPr="00242957" w:rsidRDefault="006A0BDB" w:rsidP="001D2CEB">
      <w:pPr>
        <w:pStyle w:val="SubPart"/>
      </w:pPr>
      <w:r w:rsidRPr="00242957">
        <w:t>(iii)</w:t>
      </w:r>
      <w:r w:rsidRPr="00242957">
        <w:tab/>
        <w:t>"Open farmland" means the footprint of land used for pasture or for crops or horticultural products other than trees. Open farmland may contain scattered trees if an open canopy existed on September 1, 2001 as determined from the most recent aerial photographs taken prior to September 1, 2001 for the Farm Services Agency of the United States Department of Agriculture.</w:t>
      </w:r>
    </w:p>
    <w:p w14:paraId="7B6E919D" w14:textId="77777777" w:rsidR="006A0BDB" w:rsidRPr="00242957" w:rsidRDefault="006A0BDB" w:rsidP="001D2CEB">
      <w:pPr>
        <w:pStyle w:val="SubPart"/>
      </w:pPr>
      <w:r w:rsidRPr="00242957">
        <w:t>(iv)</w:t>
      </w:r>
      <w:r w:rsidRPr="00242957">
        <w:tab/>
        <w:t>"Tree" means a woody plant with a diameter equal to or greater than five inches when measured at a height of four and one-half feet above the ground.</w:t>
      </w:r>
    </w:p>
    <w:p w14:paraId="5BD52853" w14:textId="77777777" w:rsidR="006A0BDB" w:rsidRPr="00242957" w:rsidRDefault="006A0BDB" w:rsidP="001D2CEB">
      <w:pPr>
        <w:pStyle w:val="SubPart"/>
      </w:pPr>
      <w:r w:rsidRPr="00242957">
        <w:t>(v)</w:t>
      </w:r>
      <w:r w:rsidRPr="00242957">
        <w:tab/>
        <w:t>"Tree cropping interval" means the time required to establish and grow trees that are suitable for harvesting. The tree-cropping interval shall be set out in the farm plan and shall be no less than 10 years after the trees are established.</w:t>
      </w:r>
    </w:p>
    <w:p w14:paraId="1B78CE66" w14:textId="77777777" w:rsidR="006A0BDB" w:rsidRPr="00242957" w:rsidRDefault="006A0BDB" w:rsidP="001D2CEB">
      <w:pPr>
        <w:pStyle w:val="Paragraph"/>
      </w:pPr>
      <w:r w:rsidRPr="00242957">
        <w:t>(c)  IMPLEMENTATION PROCESS.</w:t>
      </w:r>
      <w:r>
        <w:t xml:space="preserve"> </w:t>
      </w:r>
      <w:r w:rsidRPr="00242957">
        <w:t xml:space="preserve">A Basin Oversight Committee, as set forth in Paragraph (d) of this Rule, and county-level Local Advisory Committees, as set forth in Paragraph (e) of this Rule, shall coordinate activities and account for progress. </w:t>
      </w:r>
      <w:r w:rsidRPr="00242957">
        <w:t>Accounting for nutrient-reducing actions on</w:t>
      </w:r>
      <w:r>
        <w:t xml:space="preserve"> </w:t>
      </w:r>
      <w:r w:rsidRPr="00242957">
        <w:t>agricultural operations within the basin shall follow requirements set forth in Subparagraph (d)(3) of this Rule.</w:t>
      </w:r>
      <w:r>
        <w:t xml:space="preserve"> </w:t>
      </w:r>
      <w:r w:rsidRPr="00242957">
        <w:t>Agricultural producers may be eligible to obtain cost share and technical assistance from the NC Agriculture Cost Share Program and similar federal programs to contribute to their counties' ongoing nutrient reductions. Committee activity shall be guided by the following:</w:t>
      </w:r>
    </w:p>
    <w:p w14:paraId="0492D528" w14:textId="77777777" w:rsidR="006A0BDB" w:rsidRPr="00242957" w:rsidRDefault="006A0BDB" w:rsidP="001D2CEB">
      <w:pPr>
        <w:pStyle w:val="SubParagraph"/>
        <w:tabs>
          <w:tab w:val="clear" w:pos="1800"/>
        </w:tabs>
      </w:pPr>
      <w:r w:rsidRPr="00242957">
        <w:t>(1)</w:t>
      </w:r>
      <w:r w:rsidRPr="00242957">
        <w:tab/>
        <w:t>OPTIONS FOR INDIVIDUAL OPERATIONS.</w:t>
      </w:r>
      <w:r>
        <w:t xml:space="preserve"> </w:t>
      </w:r>
      <w:r w:rsidRPr="00242957">
        <w:t>Agricultural producers subject to this Rule may elect to implement practices meeting the standards identified in Paragraph (f) of this Rule that contribute to maintenance of collective local compliance with the goal identified in Paragraph (a) of this Rule, but are not required to implement any specific practices provided their basin collectively maintains compliance with the goal.</w:t>
      </w:r>
    </w:p>
    <w:p w14:paraId="1008188E" w14:textId="77777777" w:rsidR="006A0BDB" w:rsidRPr="00242957" w:rsidRDefault="006A0BDB" w:rsidP="001D2CEB">
      <w:pPr>
        <w:pStyle w:val="SubParagraph"/>
        <w:tabs>
          <w:tab w:val="clear" w:pos="1800"/>
        </w:tabs>
      </w:pPr>
      <w:r w:rsidRPr="00242957">
        <w:t>(2)</w:t>
      </w:r>
      <w:r w:rsidRPr="00242957">
        <w:tab/>
        <w:t>MAINTENANCE OF GOAL. Accounting shall annually demonstrate maintenance or exceedence of the nitrogen reduction goal for the basin. Where three sequential annual reports show that the</w:t>
      </w:r>
      <w:r>
        <w:t xml:space="preserve"> </w:t>
      </w:r>
      <w:r w:rsidRPr="00242957">
        <w:t>basin did not meet its nitrogen and phosphorus reduction goals, the Basin Oversight Committee shall work with the Division of Soil and Water Conservation and Local Advisory Committees, particularly those representing counties not meeting the goals, to seek reduction actions by operations to bring agriculture collectively back into compliance, and shall report on their efforts in subsequent annual reports. Should subsequent annual reports not reverse the trend of non-compliance, the Commission may conduct additional rulemaking to</w:t>
      </w:r>
      <w:r>
        <w:t xml:space="preserve"> </w:t>
      </w:r>
      <w:r w:rsidRPr="00242957">
        <w:t>require a more specific implementation plan from the Basin Oversight Committee, which may include an assessment of need for specific action by the Commission.</w:t>
      </w:r>
    </w:p>
    <w:p w14:paraId="21A2BBD5" w14:textId="77777777" w:rsidR="006A0BDB" w:rsidRPr="00242957" w:rsidRDefault="006A0BDB" w:rsidP="001D2CEB">
      <w:pPr>
        <w:pStyle w:val="Paragraph"/>
      </w:pPr>
      <w:r w:rsidRPr="00242957">
        <w:t>(d)  BASIN OVERSIGHT COMMITTEE. The Basin Oversight Committee shall have the following membership,</w:t>
      </w:r>
      <w:r>
        <w:t xml:space="preserve"> </w:t>
      </w:r>
      <w:r w:rsidRPr="00242957">
        <w:t>role, and responsibilities:</w:t>
      </w:r>
    </w:p>
    <w:p w14:paraId="7B0C8F5A" w14:textId="77777777" w:rsidR="006A0BDB" w:rsidRPr="00242957" w:rsidRDefault="006A0BDB" w:rsidP="001D2CEB">
      <w:pPr>
        <w:pStyle w:val="SubParagraph"/>
        <w:tabs>
          <w:tab w:val="clear" w:pos="1800"/>
        </w:tabs>
      </w:pPr>
      <w:r w:rsidRPr="00242957">
        <w:t>(1)</w:t>
      </w:r>
      <w:r w:rsidRPr="00242957">
        <w:tab/>
        <w:t>MEMBERSHIP.</w:t>
      </w:r>
      <w:r>
        <w:t xml:space="preserve"> </w:t>
      </w:r>
      <w:r w:rsidRPr="00242957">
        <w:rPr>
          <w:shd w:val="clear" w:color="auto" w:fill="FFFFFF"/>
        </w:rPr>
        <w:t xml:space="preserve">The Director of the Division of Water Resources shall be responsible for maintaining the following membership composition. Until such time as the Commission determines that long-term compliance with this Rule is assured, the Director shall solicit one nomination for membership on this Committee from each agency or interest in Parts </w:t>
      </w:r>
      <w:r>
        <w:rPr>
          <w:shd w:val="clear" w:color="auto" w:fill="FFFFFF"/>
        </w:rPr>
        <w:t>(A) through (J) of this Subparagraph. The Director shall confirm nominees in writing or request alternative nominations. The Director may appoint a replacement at any time for an interest in Parts (F) through (J) of this Subparagraph upon request of representatives of that interest or by the request of the Commissioner of Agriculture for Part (G):</w:t>
      </w:r>
    </w:p>
    <w:p w14:paraId="2BE459A5" w14:textId="77777777" w:rsidR="006A0BDB" w:rsidRPr="00242957" w:rsidRDefault="006A0BDB" w:rsidP="001D2CEB">
      <w:pPr>
        <w:pStyle w:val="Part"/>
        <w:tabs>
          <w:tab w:val="clear" w:pos="2520"/>
        </w:tabs>
      </w:pPr>
      <w:r w:rsidRPr="00242957">
        <w:t>(A)</w:t>
      </w:r>
      <w:r w:rsidRPr="00242957">
        <w:tab/>
        <w:t>Division of Soil and Water Conservation;</w:t>
      </w:r>
    </w:p>
    <w:p w14:paraId="724FE2C9" w14:textId="77777777" w:rsidR="006A0BDB" w:rsidRPr="00242957" w:rsidRDefault="006A0BDB" w:rsidP="001D2CEB">
      <w:pPr>
        <w:pStyle w:val="Part"/>
        <w:tabs>
          <w:tab w:val="clear" w:pos="2520"/>
        </w:tabs>
      </w:pPr>
      <w:r w:rsidRPr="00242957">
        <w:lastRenderedPageBreak/>
        <w:t>(B)</w:t>
      </w:r>
      <w:r w:rsidRPr="00242957">
        <w:tab/>
        <w:t>United States Department of Agriculture-Natural Resources Conservation Service (shall serve in an "ex-officio" non-voting capacity and shall function as a technical program advisor to the Committee);</w:t>
      </w:r>
    </w:p>
    <w:p w14:paraId="7DBC1CAC" w14:textId="77777777" w:rsidR="006A0BDB" w:rsidRPr="00242957" w:rsidRDefault="006A0BDB" w:rsidP="001D2CEB">
      <w:pPr>
        <w:pStyle w:val="Part"/>
        <w:tabs>
          <w:tab w:val="clear" w:pos="2520"/>
        </w:tabs>
      </w:pPr>
      <w:r w:rsidRPr="00242957">
        <w:t>(C)</w:t>
      </w:r>
      <w:r w:rsidRPr="00242957">
        <w:tab/>
        <w:t>North Carolina Department of Agriculture and Consumer Services;</w:t>
      </w:r>
    </w:p>
    <w:p w14:paraId="34A4E2CE" w14:textId="77777777" w:rsidR="006A0BDB" w:rsidRPr="00242957" w:rsidRDefault="006A0BDB" w:rsidP="001D2CEB">
      <w:pPr>
        <w:pStyle w:val="Part"/>
        <w:tabs>
          <w:tab w:val="clear" w:pos="2520"/>
        </w:tabs>
      </w:pPr>
      <w:r w:rsidRPr="00242957">
        <w:t>(D)</w:t>
      </w:r>
      <w:r w:rsidRPr="00242957">
        <w:tab/>
        <w:t>North Carolina Cooperative Extension Service;</w:t>
      </w:r>
    </w:p>
    <w:p w14:paraId="349DB71A" w14:textId="77777777" w:rsidR="006A0BDB" w:rsidRPr="00242957" w:rsidRDefault="006A0BDB" w:rsidP="001D2CEB">
      <w:pPr>
        <w:pStyle w:val="Part"/>
        <w:tabs>
          <w:tab w:val="clear" w:pos="2520"/>
        </w:tabs>
      </w:pPr>
      <w:r w:rsidRPr="00242957">
        <w:t>(E)</w:t>
      </w:r>
      <w:r w:rsidRPr="00242957">
        <w:tab/>
        <w:t>Division of Water</w:t>
      </w:r>
      <w:r>
        <w:t xml:space="preserve"> </w:t>
      </w:r>
      <w:r w:rsidRPr="00242957">
        <w:t>Resources;</w:t>
      </w:r>
    </w:p>
    <w:p w14:paraId="2186381D" w14:textId="77777777" w:rsidR="006A0BDB" w:rsidRPr="00242957" w:rsidRDefault="006A0BDB" w:rsidP="001D2CEB">
      <w:pPr>
        <w:pStyle w:val="Part"/>
        <w:tabs>
          <w:tab w:val="clear" w:pos="2520"/>
        </w:tabs>
      </w:pPr>
      <w:r w:rsidRPr="00242957">
        <w:t>(F)</w:t>
      </w:r>
      <w:r w:rsidRPr="00242957">
        <w:tab/>
        <w:t>Up to two environmental interests;</w:t>
      </w:r>
    </w:p>
    <w:p w14:paraId="352377F1" w14:textId="77777777" w:rsidR="006A0BDB" w:rsidRPr="00242957" w:rsidRDefault="006A0BDB" w:rsidP="001D2CEB">
      <w:pPr>
        <w:pStyle w:val="Part"/>
        <w:tabs>
          <w:tab w:val="clear" w:pos="2520"/>
        </w:tabs>
      </w:pPr>
      <w:r w:rsidRPr="00242957">
        <w:t>(G)</w:t>
      </w:r>
      <w:r w:rsidRPr="00242957">
        <w:tab/>
        <w:t>Basinwide farming interests;</w:t>
      </w:r>
    </w:p>
    <w:p w14:paraId="2CBD365D" w14:textId="77777777" w:rsidR="006A0BDB" w:rsidRPr="00242957" w:rsidRDefault="006A0BDB" w:rsidP="001D2CEB">
      <w:pPr>
        <w:pStyle w:val="Part"/>
        <w:tabs>
          <w:tab w:val="clear" w:pos="2520"/>
        </w:tabs>
      </w:pPr>
      <w:r w:rsidRPr="00242957">
        <w:t>(H)</w:t>
      </w:r>
      <w:r w:rsidRPr="00242957">
        <w:tab/>
        <w:t xml:space="preserve">Pasture-based livestock interests; </w:t>
      </w:r>
    </w:p>
    <w:p w14:paraId="71DB5125" w14:textId="77777777" w:rsidR="006A0BDB" w:rsidRPr="00242957" w:rsidRDefault="006A0BDB" w:rsidP="001D2CEB">
      <w:pPr>
        <w:pStyle w:val="Part"/>
        <w:tabs>
          <w:tab w:val="clear" w:pos="2520"/>
        </w:tabs>
      </w:pPr>
      <w:r w:rsidRPr="00242957">
        <w:t>(I)</w:t>
      </w:r>
      <w:r w:rsidRPr="00242957">
        <w:tab/>
        <w:t>General farming interests; and</w:t>
      </w:r>
    </w:p>
    <w:p w14:paraId="05C4DD99" w14:textId="77777777" w:rsidR="006A0BDB" w:rsidRPr="00242957" w:rsidRDefault="006A0BDB" w:rsidP="001D2CEB">
      <w:pPr>
        <w:pStyle w:val="Part"/>
        <w:tabs>
          <w:tab w:val="clear" w:pos="2520"/>
        </w:tabs>
      </w:pPr>
      <w:r w:rsidRPr="00242957">
        <w:t>(J)</w:t>
      </w:r>
      <w:r w:rsidRPr="00242957">
        <w:tab/>
        <w:t>The scientific community with experience related to water quality problems in the Tar-Pamlico River Basin.</w:t>
      </w:r>
    </w:p>
    <w:p w14:paraId="6C75F273" w14:textId="77777777" w:rsidR="006A0BDB" w:rsidRPr="00242957" w:rsidRDefault="006A0BDB" w:rsidP="001D2CEB">
      <w:pPr>
        <w:pStyle w:val="SubParagraph"/>
        <w:tabs>
          <w:tab w:val="clear" w:pos="1800"/>
        </w:tabs>
      </w:pPr>
      <w:r w:rsidRPr="00242957">
        <w:t>(2)</w:t>
      </w:r>
      <w:r w:rsidRPr="00242957">
        <w:tab/>
        <w:t>ROLE. The Basin Oversight Committee shall:</w:t>
      </w:r>
    </w:p>
    <w:p w14:paraId="03E304A4" w14:textId="77777777" w:rsidR="006A0BDB" w:rsidRPr="00242957" w:rsidRDefault="006A0BDB" w:rsidP="001D2CEB">
      <w:pPr>
        <w:pStyle w:val="Part"/>
        <w:tabs>
          <w:tab w:val="clear" w:pos="2520"/>
        </w:tabs>
      </w:pPr>
      <w:r w:rsidRPr="00242957">
        <w:t>(A)</w:t>
      </w:r>
      <w:r w:rsidRPr="00242957">
        <w:tab/>
        <w:t>Continue to review,</w:t>
      </w:r>
      <w:r>
        <w:t xml:space="preserve"> </w:t>
      </w:r>
      <w:r w:rsidRPr="00242957">
        <w:t>approve, and summarize local nitrogen and phosphorus reduction annual reports to ensure ongoing implementation of the accounting methods approved by the Commission under the original version of this Rule in October 2002 for nitrogen and November 2005 for phosphorus as conforming to the requirements of Subparagraph (3) of this Paragraph.</w:t>
      </w:r>
      <w:r>
        <w:t xml:space="preserve"> </w:t>
      </w:r>
      <w:r w:rsidRPr="00242957">
        <w:t>The Committee shall present these reports as initiated in 2002, to the</w:t>
      </w:r>
      <w:r>
        <w:t xml:space="preserve"> </w:t>
      </w:r>
      <w:r w:rsidRPr="00242957">
        <w:t>Director;</w:t>
      </w:r>
    </w:p>
    <w:p w14:paraId="3735B98E" w14:textId="77777777" w:rsidR="006A0BDB" w:rsidRPr="00242957" w:rsidRDefault="006A0BDB" w:rsidP="001D2CEB">
      <w:pPr>
        <w:pStyle w:val="Part"/>
        <w:tabs>
          <w:tab w:val="clear" w:pos="2520"/>
        </w:tabs>
      </w:pPr>
      <w:r w:rsidRPr="00242957">
        <w:t>(B)</w:t>
      </w:r>
      <w:r w:rsidRPr="00242957">
        <w:tab/>
        <w:t>Take actions</w:t>
      </w:r>
      <w:r>
        <w:t xml:space="preserve"> </w:t>
      </w:r>
      <w:r w:rsidRPr="00242957">
        <w:t>set forth</w:t>
      </w:r>
      <w:r>
        <w:t xml:space="preserve"> </w:t>
      </w:r>
      <w:r w:rsidRPr="00242957">
        <w:t>in Subparagraph (c)(2) of this Rule</w:t>
      </w:r>
      <w:r>
        <w:t xml:space="preserve"> </w:t>
      </w:r>
      <w:r w:rsidRPr="00242957">
        <w:t>to address maintenance of the nitrogen and phosphorus reductions goals;</w:t>
      </w:r>
    </w:p>
    <w:p w14:paraId="231C5C59" w14:textId="77777777" w:rsidR="006A0BDB" w:rsidRPr="00242957" w:rsidRDefault="006A0BDB" w:rsidP="001D2CEB">
      <w:pPr>
        <w:pStyle w:val="Part"/>
        <w:tabs>
          <w:tab w:val="clear" w:pos="2520"/>
        </w:tabs>
      </w:pPr>
      <w:r w:rsidRPr="00242957">
        <w:t>(C)</w:t>
      </w:r>
      <w:r w:rsidRPr="00242957">
        <w:tab/>
        <w:t>Identify and implement future refinements to the accounting methodology</w:t>
      </w:r>
      <w:r>
        <w:t xml:space="preserve"> </w:t>
      </w:r>
      <w:r w:rsidRPr="00242957">
        <w:t>to reflect advances in scientific understanding, including establishment of nutrient reduction efficiencies for BMPS;</w:t>
      </w:r>
    </w:p>
    <w:p w14:paraId="120F7B0E" w14:textId="77777777" w:rsidR="006A0BDB" w:rsidRPr="00242957" w:rsidRDefault="006A0BDB" w:rsidP="001D2CEB">
      <w:pPr>
        <w:pStyle w:val="Part"/>
        <w:tabs>
          <w:tab w:val="clear" w:pos="2520"/>
        </w:tabs>
      </w:pPr>
      <w:r w:rsidRPr="00242957">
        <w:t>(D)</w:t>
      </w:r>
      <w:r w:rsidRPr="00242957">
        <w:tab/>
        <w:t xml:space="preserve">Reassemble as needed a phosphorus technical advisory committee to update the qualitative phosphorus method approved by the Commission in October 2005, titled Accounting Method for Tracking Relative Changes in Agricultural Phosphorus Loading to the Tar-Pamlico River, in order to revise phosphorus baseline values and annual changes in factors affecting agricultural phosphorus loss. </w:t>
      </w:r>
    </w:p>
    <w:p w14:paraId="76F08ED1" w14:textId="77777777" w:rsidR="006A0BDB" w:rsidRPr="00242957" w:rsidRDefault="006A0BDB" w:rsidP="001D2CEB">
      <w:pPr>
        <w:pStyle w:val="SubParagraph"/>
        <w:tabs>
          <w:tab w:val="clear" w:pos="1800"/>
        </w:tabs>
      </w:pPr>
      <w:r w:rsidRPr="00242957">
        <w:t>(3)</w:t>
      </w:r>
      <w:r w:rsidRPr="00242957">
        <w:tab/>
        <w:t xml:space="preserve">ACCOUNTING METHODOLOGY. </w:t>
      </w:r>
      <w:r>
        <w:t>T</w:t>
      </w:r>
      <w:r w:rsidRPr="00242957">
        <w:t>he requirements of Paragraph (a) of this Rule shall be gauged by estimating percentage changes in nitrogen loss from agricultural</w:t>
      </w:r>
      <w:r>
        <w:t xml:space="preserve"> </w:t>
      </w:r>
      <w:r w:rsidRPr="00242957">
        <w:t xml:space="preserve">operations in the Tar-Pamlico Basin and by evaluating broader </w:t>
      </w:r>
      <w:r w:rsidRPr="00242957">
        <w:t>trends in indicators of phosphorus loss from agricultural lands in the Tar-Pamlico Basin. The Basin Oversight Committee shall</w:t>
      </w:r>
      <w:r>
        <w:t xml:space="preserve"> </w:t>
      </w:r>
      <w:r w:rsidRPr="00242957">
        <w:t>develop, maintain, and update as</w:t>
      </w:r>
      <w:r>
        <w:t xml:space="preserve"> </w:t>
      </w:r>
      <w:r w:rsidRPr="00242957">
        <w:t>set forth in this Paragraph, accounting methods that meet the following requirements:</w:t>
      </w:r>
    </w:p>
    <w:p w14:paraId="05A3D3C0" w14:textId="77777777" w:rsidR="006A0BDB" w:rsidRPr="00242957" w:rsidRDefault="006A0BDB" w:rsidP="001D2CEB">
      <w:pPr>
        <w:pStyle w:val="Part"/>
        <w:tabs>
          <w:tab w:val="clear" w:pos="2520"/>
          <w:tab w:val="left" w:pos="3240"/>
        </w:tabs>
      </w:pPr>
      <w:r w:rsidRPr="00242957">
        <w:t>(A)</w:t>
      </w:r>
      <w:r w:rsidRPr="00242957">
        <w:tab/>
        <w:t xml:space="preserve">The nitrogen method shall estimate baseline and annual total nitrogen losses from agricultural operations in each county and for the entire Tar-Pamlico Basin; </w:t>
      </w:r>
    </w:p>
    <w:p w14:paraId="78FF2EE9" w14:textId="77777777" w:rsidR="006A0BDB" w:rsidRPr="00242957" w:rsidRDefault="006A0BDB" w:rsidP="001D2CEB">
      <w:pPr>
        <w:pStyle w:val="Part"/>
        <w:tabs>
          <w:tab w:val="clear" w:pos="2520"/>
          <w:tab w:val="left" w:pos="3240"/>
        </w:tabs>
      </w:pPr>
      <w:r w:rsidRPr="00242957">
        <w:t>(B)</w:t>
      </w:r>
      <w:r w:rsidRPr="00242957">
        <w:tab/>
        <w:t>The nitrogen and phosphorus methods shall include a means of tracking implementation of BMPs, including number, type, and area affected;</w:t>
      </w:r>
    </w:p>
    <w:p w14:paraId="70B78964" w14:textId="77777777" w:rsidR="006A0BDB" w:rsidRPr="00242957" w:rsidRDefault="006A0BDB" w:rsidP="001D2CEB">
      <w:pPr>
        <w:pStyle w:val="Part"/>
        <w:tabs>
          <w:tab w:val="clear" w:pos="2520"/>
          <w:tab w:val="left" w:pos="3240"/>
        </w:tabs>
      </w:pPr>
      <w:r w:rsidRPr="00242957">
        <w:t>(C)</w:t>
      </w:r>
      <w:r w:rsidRPr="00242957">
        <w:tab/>
        <w:t>The nitrogen method shall include a means of estimating incremental nitrogen loss reductions from implementation of BMPs that conform to requirements of Paragraph (f) of this Rule and of evaluating progress toward and maintenance of the nutrient</w:t>
      </w:r>
      <w:r>
        <w:t xml:space="preserve"> </w:t>
      </w:r>
      <w:r w:rsidRPr="00242957">
        <w:t>goals from changes in BMP implementation, fertilization, and changes in individual crop acres;</w:t>
      </w:r>
    </w:p>
    <w:p w14:paraId="4C1EBF22" w14:textId="77777777" w:rsidR="006A0BDB" w:rsidRPr="00242957" w:rsidRDefault="006A0BDB" w:rsidP="001D2CEB">
      <w:pPr>
        <w:pStyle w:val="Part"/>
        <w:tabs>
          <w:tab w:val="clear" w:pos="2520"/>
          <w:tab w:val="left" w:pos="3240"/>
        </w:tabs>
      </w:pPr>
      <w:r w:rsidRPr="00242957">
        <w:t>(D)</w:t>
      </w:r>
      <w:r w:rsidRPr="00242957">
        <w:tab/>
        <w:t>The nitrogen and phosphorus methods shall be refined as research and technical advances allow; and</w:t>
      </w:r>
    </w:p>
    <w:p w14:paraId="5297544A" w14:textId="77777777" w:rsidR="006A0BDB" w:rsidRPr="00242957" w:rsidRDefault="006A0BDB" w:rsidP="001D2CEB">
      <w:pPr>
        <w:pStyle w:val="Part"/>
        <w:tabs>
          <w:tab w:val="clear" w:pos="2520"/>
          <w:tab w:val="left" w:pos="3240"/>
        </w:tabs>
      </w:pPr>
      <w:r w:rsidRPr="00242957">
        <w:t>(E)</w:t>
      </w:r>
      <w:r w:rsidRPr="00242957">
        <w:tab/>
        <w:t>The phosphorus method shall quantify baseline values for and annual changes in factors affecting agricultural phosphorus loss as identified in the report by the phosphorus technical advisory committee described</w:t>
      </w:r>
      <w:r>
        <w:t xml:space="preserve"> </w:t>
      </w:r>
      <w:r w:rsidRPr="00242957">
        <w:t>in</w:t>
      </w:r>
      <w:r>
        <w:t xml:space="preserve"> Part</w:t>
      </w:r>
      <w:r w:rsidRPr="00242957">
        <w:t xml:space="preserve"> (d)(2)(D).</w:t>
      </w:r>
    </w:p>
    <w:p w14:paraId="12898C07" w14:textId="77777777" w:rsidR="006A0BDB" w:rsidRPr="00242957" w:rsidRDefault="006A0BDB" w:rsidP="001D2CEB">
      <w:pPr>
        <w:pStyle w:val="Paragraph"/>
      </w:pPr>
      <w:r w:rsidRPr="00242957">
        <w:t>(e)  LOCAL ADVISORY COMMITTEES. The Local Advisory Committees shall have the following membership, roles, and responsibilities:</w:t>
      </w:r>
    </w:p>
    <w:p w14:paraId="41CDA6A9" w14:textId="77777777" w:rsidR="006A0BDB" w:rsidRPr="00242957" w:rsidRDefault="006A0BDB" w:rsidP="001D2CEB">
      <w:pPr>
        <w:pStyle w:val="SubParagraph"/>
        <w:tabs>
          <w:tab w:val="clear" w:pos="1800"/>
        </w:tabs>
      </w:pPr>
      <w:r w:rsidRPr="00242957">
        <w:t>(1)</w:t>
      </w:r>
      <w:r w:rsidRPr="00242957">
        <w:tab/>
        <w:t>MEMBERSHIP.</w:t>
      </w:r>
      <w:r>
        <w:t xml:space="preserve"> </w:t>
      </w:r>
      <w:r w:rsidRPr="00242957">
        <w:t>Per S.L. 2001-355, a Local Advisory Committee shall be maintained as provided in this Paragraph in each county or watershed as specified by the Basin Oversight Committee, within the Tar-Pamlico River Basin.</w:t>
      </w:r>
      <w:r>
        <w:t xml:space="preserve"> </w:t>
      </w:r>
      <w:r w:rsidRPr="00242957">
        <w:t>The Committee shall terminate upon a finding by the Commission that the long-term maintenance of nutrient loads in the Tar-Pamlico River Basin is assured. Each Local Advisory Committee shall consist of:</w:t>
      </w:r>
    </w:p>
    <w:p w14:paraId="097F6B21" w14:textId="77777777" w:rsidR="006A0BDB" w:rsidRPr="00242957" w:rsidRDefault="006A0BDB" w:rsidP="001D2CEB">
      <w:pPr>
        <w:pStyle w:val="Part"/>
        <w:tabs>
          <w:tab w:val="clear" w:pos="2520"/>
        </w:tabs>
      </w:pPr>
      <w:r w:rsidRPr="00242957">
        <w:t>(A)</w:t>
      </w:r>
      <w:r w:rsidRPr="00242957">
        <w:tab/>
        <w:t>One representative of the local Soil and Water Conservation District;</w:t>
      </w:r>
    </w:p>
    <w:p w14:paraId="783D7A45" w14:textId="77777777" w:rsidR="006A0BDB" w:rsidRPr="00242957" w:rsidRDefault="006A0BDB" w:rsidP="001D2CEB">
      <w:pPr>
        <w:pStyle w:val="Part"/>
        <w:tabs>
          <w:tab w:val="clear" w:pos="2520"/>
        </w:tabs>
      </w:pPr>
      <w:r w:rsidRPr="00242957">
        <w:t>(B)</w:t>
      </w:r>
      <w:r w:rsidRPr="00242957">
        <w:tab/>
        <w:t>One local representative of the United States Department of Agriculture- Natural Resources Conservation Service;</w:t>
      </w:r>
    </w:p>
    <w:p w14:paraId="6988AC7D" w14:textId="77777777" w:rsidR="006A0BDB" w:rsidRPr="00242957" w:rsidRDefault="006A0BDB" w:rsidP="001D2CEB">
      <w:pPr>
        <w:pStyle w:val="Part"/>
        <w:tabs>
          <w:tab w:val="clear" w:pos="2520"/>
        </w:tabs>
      </w:pPr>
      <w:r w:rsidRPr="00242957">
        <w:t>(C)</w:t>
      </w:r>
      <w:r w:rsidRPr="00242957">
        <w:tab/>
        <w:t>One local representative of the North Carolina Department of Agriculture and Consumer Services;</w:t>
      </w:r>
    </w:p>
    <w:p w14:paraId="3B4E2854" w14:textId="77777777" w:rsidR="006A0BDB" w:rsidRPr="00242957" w:rsidRDefault="006A0BDB" w:rsidP="001D2CEB">
      <w:pPr>
        <w:pStyle w:val="Part"/>
        <w:tabs>
          <w:tab w:val="clear" w:pos="2520"/>
        </w:tabs>
      </w:pPr>
      <w:r w:rsidRPr="00242957">
        <w:lastRenderedPageBreak/>
        <w:t>(D)</w:t>
      </w:r>
      <w:r w:rsidRPr="00242957">
        <w:tab/>
        <w:t>One local representative of the North Carolina Cooperative Extension Service;</w:t>
      </w:r>
    </w:p>
    <w:p w14:paraId="406DEE17" w14:textId="77777777" w:rsidR="006A0BDB" w:rsidRPr="00242957" w:rsidRDefault="006A0BDB" w:rsidP="001D2CEB">
      <w:pPr>
        <w:pStyle w:val="Part"/>
        <w:tabs>
          <w:tab w:val="clear" w:pos="2520"/>
        </w:tabs>
      </w:pPr>
      <w:r w:rsidRPr="00242957">
        <w:t>(E)</w:t>
      </w:r>
      <w:r w:rsidRPr="00242957">
        <w:tab/>
        <w:t>One local representative of the North Carolina Division of Soil and Water Conservation; and</w:t>
      </w:r>
    </w:p>
    <w:p w14:paraId="5453BE72" w14:textId="77777777" w:rsidR="006A0BDB" w:rsidRPr="00242957" w:rsidRDefault="006A0BDB" w:rsidP="001D2CEB">
      <w:pPr>
        <w:pStyle w:val="Part"/>
        <w:tabs>
          <w:tab w:val="clear" w:pos="2520"/>
        </w:tabs>
      </w:pPr>
      <w:r w:rsidRPr="00242957">
        <w:t>(F)</w:t>
      </w:r>
      <w:r w:rsidRPr="00242957">
        <w:tab/>
        <w:t>At least two</w:t>
      </w:r>
      <w:r>
        <w:t xml:space="preserve"> </w:t>
      </w:r>
      <w:r w:rsidRPr="00242957">
        <w:t>agricultural producers that reside in the county.</w:t>
      </w:r>
    </w:p>
    <w:p w14:paraId="2BBE104E" w14:textId="77777777" w:rsidR="006A0BDB" w:rsidRPr="00242957" w:rsidRDefault="006A0BDB" w:rsidP="001D2CEB">
      <w:pPr>
        <w:pStyle w:val="SubParagraph"/>
        <w:tabs>
          <w:tab w:val="clear" w:pos="1800"/>
        </w:tabs>
      </w:pPr>
      <w:r w:rsidRPr="00242957">
        <w:t>(2)</w:t>
      </w:r>
      <w:r w:rsidRPr="00242957">
        <w:tab/>
        <w:t>APPOINTMENT OF MEMBERS.</w:t>
      </w:r>
      <w:r>
        <w:t xml:space="preserve"> </w:t>
      </w:r>
      <w:r w:rsidRPr="00242957">
        <w:t>Per S.L. 2001-355, the Director of the Division of Water Resources and the Director of the Division of Soil and Water Conservation of the Department of Agriculture and Consumer Services shall jointly appoint members described in Parts (1)(A), (1)(B), (1)(D), and (1)(E) of this Subparagraph.</w:t>
      </w:r>
      <w:r>
        <w:t xml:space="preserve"> </w:t>
      </w:r>
      <w:r w:rsidRPr="00242957">
        <w:t>As directed by S.L. 2001-355, the Commissioner of Agriculture shall appoint the members described in</w:t>
      </w:r>
      <w:r>
        <w:t xml:space="preserve"> </w:t>
      </w:r>
      <w:r w:rsidRPr="00242957">
        <w:t xml:space="preserve">Part (1)(F) of this Subparagraph from persons nominated by nongovernmental organizations whose members produce or manage significant agricultural commodities in each county or watershed. </w:t>
      </w:r>
    </w:p>
    <w:p w14:paraId="35844199" w14:textId="77777777" w:rsidR="006A0BDB" w:rsidRPr="00242957" w:rsidRDefault="006A0BDB" w:rsidP="001D2CEB">
      <w:pPr>
        <w:pStyle w:val="SubParagraph"/>
        <w:tabs>
          <w:tab w:val="clear" w:pos="1800"/>
        </w:tabs>
      </w:pPr>
      <w:r w:rsidRPr="00242957">
        <w:t>(3)</w:t>
      </w:r>
      <w:r w:rsidRPr="00242957">
        <w:tab/>
        <w:t>ROLE. The Local Advisory Committees shall:</w:t>
      </w:r>
    </w:p>
    <w:p w14:paraId="2DD56C71" w14:textId="77777777" w:rsidR="006A0BDB" w:rsidRPr="00242957" w:rsidRDefault="006A0BDB" w:rsidP="001D2CEB">
      <w:pPr>
        <w:pStyle w:val="Part"/>
        <w:tabs>
          <w:tab w:val="clear" w:pos="2520"/>
        </w:tabs>
      </w:pPr>
      <w:r w:rsidRPr="00242957">
        <w:t>(A)</w:t>
      </w:r>
      <w:r w:rsidRPr="00242957">
        <w:tab/>
        <w:t>Continue to submit annual reports to the Basin Oversight Committee estimating total crop production on agricultural operations for the preceding calendar year, summarizing land use changes in the</w:t>
      </w:r>
      <w:r>
        <w:t xml:space="preserve"> </w:t>
      </w:r>
      <w:r w:rsidRPr="00242957">
        <w:t>county, and making recommendations to the Basin Oversight Committee on the need for updates to the accounting methodology. Reports shall include documentation on the BMPs implemented, including type and location, that satisfy the requirements</w:t>
      </w:r>
      <w:r>
        <w:t xml:space="preserve"> </w:t>
      </w:r>
      <w:r w:rsidRPr="00242957">
        <w:t>in Paragraph (f) of this Rule and documentation of any expired contracts for BMPs; and</w:t>
      </w:r>
    </w:p>
    <w:p w14:paraId="6FADE711" w14:textId="77777777" w:rsidR="006A0BDB" w:rsidRPr="00242957" w:rsidRDefault="006A0BDB" w:rsidP="001D2CEB">
      <w:pPr>
        <w:pStyle w:val="Part"/>
        <w:tabs>
          <w:tab w:val="clear" w:pos="2520"/>
        </w:tabs>
      </w:pPr>
      <w:r w:rsidRPr="00242957">
        <w:t>(B)</w:t>
      </w:r>
      <w:r w:rsidRPr="00242957">
        <w:tab/>
        <w:t>Take actions called for under Subparagraph (c)(2) of this Rule as needed to address maintenance of the nitrogen and phosphorus reduction goals.</w:t>
      </w:r>
    </w:p>
    <w:p w14:paraId="7D8663F8" w14:textId="77777777" w:rsidR="006A0BDB" w:rsidRPr="00242957" w:rsidRDefault="006A0BDB" w:rsidP="001D2CEB">
      <w:pPr>
        <w:pStyle w:val="Paragraph"/>
      </w:pPr>
      <w:r w:rsidRPr="00242957">
        <w:t>(f)  PRACTICE STANDARDS. To receive nutrient reduction credit,</w:t>
      </w:r>
      <w:r>
        <w:t xml:space="preserve"> </w:t>
      </w:r>
      <w:r w:rsidRPr="00242957">
        <w:t>a BMP shall be included in the accounting method set forth in Subparagraph (d)(3) of this Rule, or in a subsequent revision to that method identified in annual reporting, and it shall be implemented according to applicable nutrient-related standards identified by the</w:t>
      </w:r>
      <w:r>
        <w:t xml:space="preserve"> </w:t>
      </w:r>
      <w:r w:rsidRPr="00242957">
        <w:t>Basin Oversight Committee and established by the NC Soil and Water Conservation Commission or the USDA-Natural Resources Conservation Service in North Carolina.</w:t>
      </w:r>
    </w:p>
    <w:p w14:paraId="27B61768" w14:textId="77777777" w:rsidR="006A0BDB" w:rsidRPr="00242957" w:rsidRDefault="006A0BDB" w:rsidP="001D2CEB">
      <w:pPr>
        <w:pStyle w:val="Base"/>
      </w:pPr>
    </w:p>
    <w:p w14:paraId="0FACC36E" w14:textId="77777777" w:rsidR="006A0BDB" w:rsidRPr="00242957" w:rsidRDefault="006A0BDB" w:rsidP="001D2CEB">
      <w:pPr>
        <w:pStyle w:val="History"/>
      </w:pPr>
      <w:r w:rsidRPr="00242957">
        <w:t>History Note:</w:t>
      </w:r>
      <w:r w:rsidRPr="00242957">
        <w:tab/>
        <w:t xml:space="preserve">Authority G.S. 143-214.1; 143-214.7; 143-215.3(a)(1); </w:t>
      </w:r>
    </w:p>
    <w:p w14:paraId="71D213D9" w14:textId="77777777" w:rsidR="006A0BDB" w:rsidRPr="00242957" w:rsidRDefault="006A0BDB" w:rsidP="001D2CEB">
      <w:pPr>
        <w:pStyle w:val="HistoryAfter"/>
      </w:pPr>
      <w:r w:rsidRPr="00242957">
        <w:t>Eff. September 1, 2001;</w:t>
      </w:r>
    </w:p>
    <w:p w14:paraId="23505136" w14:textId="77777777" w:rsidR="006A0BDB" w:rsidRPr="00242957" w:rsidRDefault="006A0BDB" w:rsidP="001D2CEB">
      <w:pPr>
        <w:pStyle w:val="HistoryAfter"/>
      </w:pPr>
      <w:r w:rsidRPr="00242957">
        <w:t>Temporary Amendment Eff. January 1, 2002 (exempt from 270 day requirement-S.L. 2001-355)</w:t>
      </w:r>
      <w:r>
        <w:t>;</w:t>
      </w:r>
    </w:p>
    <w:p w14:paraId="5B485550" w14:textId="77777777" w:rsidR="006A0BDB" w:rsidRPr="00242957" w:rsidRDefault="006A0BDB" w:rsidP="001D2CEB">
      <w:pPr>
        <w:pStyle w:val="HistoryAfter"/>
      </w:pPr>
      <w:r w:rsidRPr="00242957">
        <w:t xml:space="preserve">Readopted Eff. </w:t>
      </w:r>
      <w:r>
        <w:t>Pending Delayed Eff. Date</w:t>
      </w:r>
      <w:r w:rsidRPr="00242957">
        <w:t>.</w:t>
      </w:r>
    </w:p>
    <w:p w14:paraId="00FDCFF5" w14:textId="77777777" w:rsidR="006A0BDB" w:rsidRDefault="006A0BDB" w:rsidP="001D2CEB"/>
    <w:p w14:paraId="241FA114" w14:textId="77777777" w:rsidR="006A0BDB" w:rsidRPr="00DA48EC" w:rsidRDefault="006A0BDB" w:rsidP="001D2CEB">
      <w:pPr>
        <w:pStyle w:val="Rule"/>
      </w:pPr>
      <w:r w:rsidRPr="00DA48EC">
        <w:t xml:space="preserve">15A NCAC 02B </w:t>
      </w:r>
      <w:r w:rsidRPr="00DA48EC">
        <w:rPr>
          <w:strike/>
        </w:rPr>
        <w:t>.0229</w:t>
      </w:r>
      <w:r w:rsidRPr="00DA48EC">
        <w:t xml:space="preserve"> </w:t>
      </w:r>
      <w:r w:rsidRPr="00DA48EC">
        <w:rPr>
          <w:u w:val="single"/>
        </w:rPr>
        <w:t>.0733</w:t>
      </w:r>
      <w:r w:rsidRPr="00DA48EC">
        <w:tab/>
        <w:t xml:space="preserve">TAR-PAMLICO Nutrient Strategy: New and expanding wastewAter discharger requirements </w:t>
      </w:r>
    </w:p>
    <w:p w14:paraId="6C734326" w14:textId="77777777" w:rsidR="006A0BDB" w:rsidRPr="009D0ACC" w:rsidRDefault="006A0BDB" w:rsidP="001D2CEB">
      <w:pPr>
        <w:pStyle w:val="Paragraph"/>
      </w:pPr>
      <w:r w:rsidRPr="009D0ACC">
        <w:t>The following is the management strategy for new and expanding wastewater dischargers in the Tar-Pamlico River basin:</w:t>
      </w:r>
    </w:p>
    <w:p w14:paraId="1CE3E7B4" w14:textId="77777777" w:rsidR="006A0BDB" w:rsidRPr="009D0ACC" w:rsidRDefault="006A0BDB" w:rsidP="001D2CEB">
      <w:pPr>
        <w:pStyle w:val="Item"/>
        <w:tabs>
          <w:tab w:val="clear" w:pos="1800"/>
        </w:tabs>
      </w:pPr>
      <w:r w:rsidRPr="009D0ACC">
        <w:t>(1)</w:t>
      </w:r>
      <w:r w:rsidRPr="009D0ACC">
        <w:tab/>
        <w:t>Purpose. The purpose of this Rule is to establish minimum nutrient control requirements for new and expanding point source discharges in the Tar-Pamlico River Basin in order to maintain or restore water quality in the Pamlico Estuary and protect its designated uses.</w:t>
      </w:r>
    </w:p>
    <w:p w14:paraId="6E3CACFE" w14:textId="77777777" w:rsidR="006A0BDB" w:rsidRPr="009D0ACC" w:rsidRDefault="006A0BDB" w:rsidP="001D2CEB">
      <w:pPr>
        <w:pStyle w:val="Item"/>
        <w:tabs>
          <w:tab w:val="clear" w:pos="1800"/>
        </w:tabs>
      </w:pPr>
      <w:r w:rsidRPr="009D0ACC">
        <w:t>(2)</w:t>
      </w:r>
      <w:r w:rsidRPr="009D0ACC">
        <w:tab/>
        <w:t>Applicability. This Rule applies to all discharges from wastewater treatment facilities in the Tar-Pamlico River Basin that receive nitrogen- or phosphorus-bearing wastewater and are required to obtain individual NPDES permits. This Rule applies to Tar-Pamlico Basin Association member facilities on or after June 1, 2025. This Rule applies to other facilities upon this Rule's effective date.</w:t>
      </w:r>
    </w:p>
    <w:p w14:paraId="28C58CDA" w14:textId="77777777" w:rsidR="006A0BDB" w:rsidRPr="009D0ACC" w:rsidRDefault="006A0BDB" w:rsidP="001D2CEB">
      <w:pPr>
        <w:pStyle w:val="Item"/>
        <w:tabs>
          <w:tab w:val="clear" w:pos="1800"/>
        </w:tabs>
      </w:pPr>
      <w:r w:rsidRPr="009D0ACC">
        <w:t>(3)</w:t>
      </w:r>
      <w:r w:rsidRPr="009D0ACC">
        <w:tab/>
        <w:t>Definitions. The terms used in this Rule, in regard to point source dischargers, treatment facilities, wastewater flows or discharges, or like matters, shall be as defined in Rule .0701 of this Section and as follows:</w:t>
      </w:r>
    </w:p>
    <w:p w14:paraId="3DB95559" w14:textId="77777777" w:rsidR="006A0BDB" w:rsidRPr="009D0ACC" w:rsidRDefault="006A0BDB" w:rsidP="001D2CEB">
      <w:pPr>
        <w:pStyle w:val="SubItemLvl1"/>
        <w:tabs>
          <w:tab w:val="clear" w:pos="2520"/>
        </w:tabs>
      </w:pPr>
      <w:r w:rsidRPr="009D0ACC">
        <w:t>(a)</w:t>
      </w:r>
      <w:r w:rsidRPr="009D0ACC">
        <w:tab/>
        <w:t>"Existing" means that which obtained an NPDES permit on or before December 8, 1994.</w:t>
      </w:r>
    </w:p>
    <w:p w14:paraId="0A0BFC1F" w14:textId="77777777" w:rsidR="006A0BDB" w:rsidRPr="009D0ACC" w:rsidRDefault="006A0BDB" w:rsidP="001D2CEB">
      <w:pPr>
        <w:pStyle w:val="SubItemLvl1"/>
        <w:tabs>
          <w:tab w:val="clear" w:pos="2520"/>
        </w:tabs>
      </w:pPr>
      <w:r w:rsidRPr="009D0ACC">
        <w:t>(b)</w:t>
      </w:r>
      <w:r w:rsidRPr="009D0ACC">
        <w:tab/>
        <w:t>"Expanding" means that which increases beyond its permitted flow as defined in Item (4) of this Rule.</w:t>
      </w:r>
    </w:p>
    <w:p w14:paraId="08D3DB00" w14:textId="77777777" w:rsidR="006A0BDB" w:rsidRPr="009D0ACC" w:rsidRDefault="006A0BDB" w:rsidP="001D2CEB">
      <w:pPr>
        <w:pStyle w:val="SubItemLvl1"/>
        <w:tabs>
          <w:tab w:val="clear" w:pos="2520"/>
        </w:tabs>
      </w:pPr>
      <w:r w:rsidRPr="009D0ACC">
        <w:t>(c)</w:t>
      </w:r>
      <w:r w:rsidRPr="009D0ACC">
        <w:tab/>
        <w:t>"New" means that which had not obtained an NPDES permit on or before December 8, 1994.</w:t>
      </w:r>
    </w:p>
    <w:p w14:paraId="42854925" w14:textId="77777777" w:rsidR="006A0BDB" w:rsidRPr="009D0ACC" w:rsidRDefault="006A0BDB" w:rsidP="001D2CEB">
      <w:pPr>
        <w:pStyle w:val="Item"/>
        <w:tabs>
          <w:tab w:val="clear" w:pos="1800"/>
        </w:tabs>
      </w:pPr>
      <w:r w:rsidRPr="009D0ACC">
        <w:t>(4)</w:t>
      </w:r>
      <w:r w:rsidRPr="009D0ACC">
        <w:tab/>
        <w:t>"Permitted flow" means the maximum monthly average flow authorized in a facility's NPDES permit as of December 8, 1994.</w:t>
      </w:r>
    </w:p>
    <w:p w14:paraId="0E53E87C" w14:textId="77777777" w:rsidR="006A0BDB" w:rsidRPr="009D0ACC" w:rsidRDefault="006A0BDB" w:rsidP="001D2CEB">
      <w:pPr>
        <w:pStyle w:val="Item"/>
        <w:tabs>
          <w:tab w:val="clear" w:pos="1800"/>
        </w:tabs>
      </w:pPr>
      <w:r w:rsidRPr="009D0ACC">
        <w:t>(5)</w:t>
      </w:r>
      <w:r>
        <w:tab/>
      </w:r>
      <w:r w:rsidRPr="009D0ACC">
        <w:t>This Item specifies nutrient controls for new facilities.</w:t>
      </w:r>
    </w:p>
    <w:p w14:paraId="440AA0EF" w14:textId="77777777" w:rsidR="006A0BDB" w:rsidRPr="009D0ACC" w:rsidRDefault="006A0BDB" w:rsidP="001D2CEB">
      <w:pPr>
        <w:pStyle w:val="SubItemLvl1"/>
        <w:tabs>
          <w:tab w:val="clear" w:pos="2520"/>
        </w:tabs>
      </w:pPr>
      <w:r w:rsidRPr="009D0ACC">
        <w:t>(a)</w:t>
      </w:r>
      <w:r w:rsidRPr="009D0ACC">
        <w:tab/>
        <w:t>Proposed new wastewater dischargers shall evaluate all practical alternatives to surface water discharge</w:t>
      </w:r>
      <w:r>
        <w:t xml:space="preserve"> </w:t>
      </w:r>
      <w:r w:rsidRPr="009D0ACC">
        <w:t>pursuant to 15A NCAC 02H</w:t>
      </w:r>
      <w:r>
        <w:t xml:space="preserve"> </w:t>
      </w:r>
      <w:r w:rsidRPr="009D0ACC">
        <w:t>.0105(c)(2) prior to submitting an application to discharge.</w:t>
      </w:r>
    </w:p>
    <w:p w14:paraId="66CCBA07" w14:textId="77777777" w:rsidR="006A0BDB" w:rsidRPr="009D0ACC" w:rsidRDefault="006A0BDB" w:rsidP="001D2CEB">
      <w:pPr>
        <w:pStyle w:val="SubItemLvl1"/>
        <w:tabs>
          <w:tab w:val="clear" w:pos="2520"/>
        </w:tabs>
      </w:pPr>
      <w:r w:rsidRPr="009D0ACC">
        <w:t>(b)</w:t>
      </w:r>
      <w:r w:rsidRPr="009D0ACC">
        <w:tab/>
        <w:t>The technology-based nitrogen and phosphorus discharge limits for a new facility shall not</w:t>
      </w:r>
      <w:r>
        <w:t xml:space="preserve"> </w:t>
      </w:r>
      <w:r w:rsidRPr="009D0ACC">
        <w:t>exceed:</w:t>
      </w:r>
    </w:p>
    <w:p w14:paraId="57098A24" w14:textId="77777777" w:rsidR="006A0BDB" w:rsidRPr="009D0ACC" w:rsidRDefault="006A0BDB" w:rsidP="001D2CEB">
      <w:pPr>
        <w:pStyle w:val="SubItemLvl2"/>
      </w:pPr>
      <w:r w:rsidRPr="009D0ACC">
        <w:t>(i)</w:t>
      </w:r>
      <w:r w:rsidRPr="009D0ACC">
        <w:tab/>
        <w:t>For facilities treating municipal or domestic wastewater, the mass load equivalent to a concentration of</w:t>
      </w:r>
      <w:r>
        <w:t xml:space="preserve"> </w:t>
      </w:r>
      <w:r w:rsidRPr="009D0ACC">
        <w:t>3.5 mg/L TN and 0.5 mg/L TP at the monthly average flow limit in the facility's NPDES permit; and</w:t>
      </w:r>
    </w:p>
    <w:p w14:paraId="24055AA0" w14:textId="77777777" w:rsidR="006A0BDB" w:rsidRPr="009D0ACC" w:rsidRDefault="006A0BDB" w:rsidP="001D2CEB">
      <w:pPr>
        <w:pStyle w:val="SubItemLvl2"/>
      </w:pPr>
      <w:r w:rsidRPr="009D0ACC">
        <w:t>(ii)</w:t>
      </w:r>
      <w:r w:rsidRPr="009D0ACC">
        <w:tab/>
        <w:t xml:space="preserve">For facilities treating industrial wastewater, the </w:t>
      </w:r>
      <w:r w:rsidRPr="009D0ACC">
        <w:lastRenderedPageBreak/>
        <w:t>mass load equivalent to the best available technology economically</w:t>
      </w:r>
      <w:r>
        <w:t xml:space="preserve"> </w:t>
      </w:r>
      <w:r w:rsidRPr="009D0ACC">
        <w:t>achievable, calculated at the monthly average flow limit in the facility's NPDES</w:t>
      </w:r>
      <w:r>
        <w:t xml:space="preserve"> </w:t>
      </w:r>
      <w:r w:rsidRPr="009D0ACC">
        <w:t>permit.</w:t>
      </w:r>
    </w:p>
    <w:p w14:paraId="7C7273E7" w14:textId="77777777" w:rsidR="006A0BDB" w:rsidRPr="009D0ACC" w:rsidRDefault="006A0BDB" w:rsidP="001D2CEB">
      <w:pPr>
        <w:pStyle w:val="SubItemLvl1"/>
        <w:tabs>
          <w:tab w:val="clear" w:pos="2520"/>
        </w:tabs>
      </w:pPr>
      <w:r w:rsidRPr="009D0ACC">
        <w:t>(c)</w:t>
      </w:r>
      <w:r w:rsidRPr="009D0ACC">
        <w:tab/>
        <w:t>Proposed new dischargers submitting an application shall acquire nutrient allocation from existing dischargers or nutrient offset credits pursuant to Rule .0703 of this Section</w:t>
      </w:r>
      <w:r>
        <w:t xml:space="preserve"> </w:t>
      </w:r>
      <w:r w:rsidRPr="009D0ACC">
        <w:t>for the mass load dictated by this Item. The allocation and offset credits shall be sufficient for</w:t>
      </w:r>
      <w:r>
        <w:t xml:space="preserve"> </w:t>
      </w:r>
      <w:r w:rsidRPr="009D0ACC">
        <w:t>any partial calendar year in which the permit becomes effective plus 10 subsequent years of discharge at the proposed design flow rate in accordance with 15A NCAC 02H .0112(c).</w:t>
      </w:r>
    </w:p>
    <w:p w14:paraId="4DD56592" w14:textId="77777777" w:rsidR="006A0BDB" w:rsidRPr="009D0ACC" w:rsidRDefault="006A0BDB" w:rsidP="001D2CEB">
      <w:pPr>
        <w:pStyle w:val="SubItemLvl1"/>
        <w:tabs>
          <w:tab w:val="clear" w:pos="2520"/>
        </w:tabs>
      </w:pPr>
      <w:r w:rsidRPr="009D0ACC">
        <w:t>(d)</w:t>
      </w:r>
      <w:r w:rsidRPr="009D0ACC">
        <w:tab/>
        <w:t>The Director shall not issue a permit authorizing discharge from a new facility unless the applicant has satisfied the requirements of Sub-Items (a), (c), and (e) of this Item. If a facility's permit contains tiered flow limits for expansion, the Director shall not authorize an increased discharge unless the applicant has satisfied the requirements of Sub-Items (a), (c), and (e) of this Item.</w:t>
      </w:r>
    </w:p>
    <w:p w14:paraId="0EA6673C" w14:textId="77777777" w:rsidR="006A0BDB" w:rsidRPr="009D0ACC" w:rsidRDefault="006A0BDB" w:rsidP="001D2CEB">
      <w:pPr>
        <w:pStyle w:val="SubItemLvl1"/>
        <w:tabs>
          <w:tab w:val="clear" w:pos="2520"/>
        </w:tabs>
      </w:pPr>
      <w:r w:rsidRPr="009D0ACC">
        <w:t>(e)</w:t>
      </w:r>
      <w:r w:rsidRPr="009D0ACC">
        <w:tab/>
        <w:t>Subsequent applications for permit renewal shall demonstrate that the facility has sufficient nitrogen allocation or offset credits to meet its effluent nutrient limitations for</w:t>
      </w:r>
      <w:r>
        <w:t xml:space="preserve"> </w:t>
      </w:r>
      <w:r w:rsidRPr="009D0ACC">
        <w:t>any partial calendar year in which the permit becomes effective plus 10 subsequent years of discharge at the proposed design flow rate in accordance with 15A NCAC 02H .0112(c).</w:t>
      </w:r>
    </w:p>
    <w:p w14:paraId="20D3306E" w14:textId="77777777" w:rsidR="006A0BDB" w:rsidRPr="009D0ACC" w:rsidRDefault="006A0BDB" w:rsidP="001D2CEB">
      <w:pPr>
        <w:pStyle w:val="SubItemLvl1"/>
        <w:tabs>
          <w:tab w:val="clear" w:pos="2520"/>
        </w:tabs>
      </w:pPr>
      <w:r w:rsidRPr="009D0ACC">
        <w:t>(f)</w:t>
      </w:r>
      <w:r w:rsidRPr="009D0ACC">
        <w:tab/>
        <w:t>The</w:t>
      </w:r>
      <w:r>
        <w:t xml:space="preserve"> </w:t>
      </w:r>
      <w:r w:rsidRPr="009D0ACC">
        <w:t>Director shall establish more stringent limits for nitrogen or phosphorus upon finding that such limits are necessary to protect water quality standards in localized areas.</w:t>
      </w:r>
    </w:p>
    <w:p w14:paraId="60F5B850" w14:textId="77777777" w:rsidR="006A0BDB" w:rsidRPr="009D0ACC" w:rsidRDefault="006A0BDB" w:rsidP="001D2CEB">
      <w:pPr>
        <w:pStyle w:val="Item"/>
        <w:tabs>
          <w:tab w:val="clear" w:pos="1800"/>
        </w:tabs>
      </w:pPr>
      <w:bookmarkStart w:id="11" w:name="_Hlk513121135"/>
      <w:r w:rsidRPr="009D0ACC">
        <w:t>(6)</w:t>
      </w:r>
      <w:r>
        <w:tab/>
      </w:r>
      <w:r w:rsidRPr="009D0ACC">
        <w:t>This Item specifies nutrient controls for expanding facilities.</w:t>
      </w:r>
    </w:p>
    <w:p w14:paraId="4DACB26C" w14:textId="77777777" w:rsidR="006A0BDB" w:rsidRPr="009D0ACC" w:rsidRDefault="006A0BDB" w:rsidP="001D2CEB">
      <w:pPr>
        <w:pStyle w:val="SubItemLvl1"/>
        <w:tabs>
          <w:tab w:val="clear" w:pos="2520"/>
        </w:tabs>
      </w:pPr>
      <w:r w:rsidRPr="009D0ACC">
        <w:t>(a)</w:t>
      </w:r>
      <w:r w:rsidRPr="009D0ACC">
        <w:tab/>
        <w:t>Expanding facilities shall evaluate all practical alternatives to surface water discharge</w:t>
      </w:r>
      <w:r>
        <w:t xml:space="preserve"> </w:t>
      </w:r>
      <w:r w:rsidRPr="009D0ACC">
        <w:t>pursuant to 15A NCAC 02H .0105(c)(2) prior to submitting an application to discharge.</w:t>
      </w:r>
      <w:r>
        <w:t xml:space="preserve"> </w:t>
      </w:r>
    </w:p>
    <w:p w14:paraId="7545BF82" w14:textId="77777777" w:rsidR="006A0BDB" w:rsidRPr="009D0ACC" w:rsidRDefault="006A0BDB" w:rsidP="001D2CEB">
      <w:pPr>
        <w:pStyle w:val="SubItemLvl1"/>
        <w:tabs>
          <w:tab w:val="clear" w:pos="2520"/>
        </w:tabs>
      </w:pPr>
      <w:r w:rsidRPr="009D0ACC">
        <w:t>(b)</w:t>
      </w:r>
      <w:r w:rsidRPr="009D0ACC">
        <w:tab/>
        <w:t>The nitrogen and phosphorus discharge limits for an</w:t>
      </w:r>
      <w:r>
        <w:t xml:space="preserve"> </w:t>
      </w:r>
      <w:r w:rsidRPr="009D0ACC">
        <w:t>expanding facility shall not exceed the greater of loads equivalent to its active allocation and offset credit, or the</w:t>
      </w:r>
      <w:r>
        <w:t xml:space="preserve"> </w:t>
      </w:r>
      <w:r w:rsidRPr="009D0ACC">
        <w:t>following technology-based mass</w:t>
      </w:r>
      <w:r>
        <w:t xml:space="preserve"> </w:t>
      </w:r>
      <w:r w:rsidRPr="009D0ACC">
        <w:t>limits:</w:t>
      </w:r>
    </w:p>
    <w:p w14:paraId="0FD0DC1C" w14:textId="77777777" w:rsidR="006A0BDB" w:rsidRPr="009D0ACC" w:rsidRDefault="006A0BDB" w:rsidP="001D2CEB">
      <w:pPr>
        <w:pStyle w:val="SubItemLvl2"/>
      </w:pPr>
      <w:r w:rsidRPr="009D0ACC">
        <w:t>(i)</w:t>
      </w:r>
      <w:r w:rsidRPr="009D0ACC">
        <w:tab/>
        <w:t>For facilities treating municipal or domestic</w:t>
      </w:r>
      <w:r>
        <w:t xml:space="preserve"> </w:t>
      </w:r>
      <w:r w:rsidRPr="009D0ACC">
        <w:t>wastewater, the mass equivalent to a concentration of</w:t>
      </w:r>
      <w:r>
        <w:t xml:space="preserve"> </w:t>
      </w:r>
      <w:r w:rsidRPr="009D0ACC">
        <w:t>3.5 mg/L TN and 0.5 mg/L TP at the monthly average flow limit in the NPDES permit; and</w:t>
      </w:r>
    </w:p>
    <w:p w14:paraId="5A98D7A4" w14:textId="77777777" w:rsidR="006A0BDB" w:rsidRPr="009D0ACC" w:rsidRDefault="006A0BDB" w:rsidP="001D2CEB">
      <w:pPr>
        <w:pStyle w:val="SubItemLvl2"/>
      </w:pPr>
      <w:r w:rsidRPr="009D0ACC">
        <w:t>(ii)</w:t>
      </w:r>
      <w:r w:rsidRPr="009D0ACC">
        <w:tab/>
        <w:t>For facilities treating industrial wastewater, the mass load equivalent to the best available technology economically</w:t>
      </w:r>
      <w:r>
        <w:t xml:space="preserve"> </w:t>
      </w:r>
      <w:r w:rsidRPr="009D0ACC">
        <w:t>achievable, calculated at the monthly average flow limit in the facility's NPDES</w:t>
      </w:r>
      <w:r>
        <w:t xml:space="preserve"> </w:t>
      </w:r>
      <w:r w:rsidRPr="009D0ACC">
        <w:t>permit.</w:t>
      </w:r>
    </w:p>
    <w:bookmarkEnd w:id="11"/>
    <w:p w14:paraId="349594A2" w14:textId="77777777" w:rsidR="006A0BDB" w:rsidRPr="009D0ACC" w:rsidRDefault="006A0BDB" w:rsidP="001D2CEB">
      <w:pPr>
        <w:pStyle w:val="SubItemLvl1"/>
        <w:tabs>
          <w:tab w:val="clear" w:pos="2520"/>
        </w:tabs>
      </w:pPr>
      <w:r w:rsidRPr="009D0ACC">
        <w:t>(c)</w:t>
      </w:r>
      <w:r w:rsidRPr="009D0ACC">
        <w:tab/>
        <w:t>Facilities submitting application for increased discharge or, where an existing permit contains tiered flow limits, for authorization to</w:t>
      </w:r>
      <w:r>
        <w:t xml:space="preserve"> </w:t>
      </w:r>
      <w:r w:rsidRPr="009D0ACC">
        <w:t>discharge at an increased flow, shall acquire or demonstrate contractual agreement to acquire, prior to authorization to discharge at the increased flow, nutrient</w:t>
      </w:r>
      <w:r>
        <w:t xml:space="preserve"> </w:t>
      </w:r>
      <w:r w:rsidRPr="009D0ACC">
        <w:t>allocation from existing dischargers or</w:t>
      </w:r>
      <w:r>
        <w:t xml:space="preserve"> </w:t>
      </w:r>
      <w:r w:rsidRPr="009D0ACC">
        <w:t>nutrient offset credits pursuant to Rule .0703 of this Section</w:t>
      </w:r>
      <w:r>
        <w:t xml:space="preserve"> </w:t>
      </w:r>
      <w:r w:rsidRPr="009D0ACC">
        <w:t>for the proposed discharge above 0.5 million gallons per day (MGD). The allocation and offset credits shall be sufficient to meet its effluent nutrient limitations for</w:t>
      </w:r>
      <w:r>
        <w:t xml:space="preserve"> </w:t>
      </w:r>
      <w:r w:rsidRPr="009D0ACC">
        <w:t>any partial calendar year in which the permit becomes effective plus 10 subsequent years of discharge at the proposed design flow</w:t>
      </w:r>
      <w:r>
        <w:t xml:space="preserve"> </w:t>
      </w:r>
      <w:r w:rsidRPr="009D0ACC">
        <w:t>rate in accordance with 15A NCAC 02H .0112(c).</w:t>
      </w:r>
      <w:r>
        <w:t xml:space="preserve"> </w:t>
      </w:r>
    </w:p>
    <w:p w14:paraId="6973CD76" w14:textId="77777777" w:rsidR="006A0BDB" w:rsidRPr="009D0ACC" w:rsidRDefault="006A0BDB" w:rsidP="001D2CEB">
      <w:pPr>
        <w:pStyle w:val="SubItemLvl1"/>
        <w:tabs>
          <w:tab w:val="clear" w:pos="2520"/>
        </w:tabs>
      </w:pPr>
      <w:r w:rsidRPr="009D0ACC">
        <w:t>(d)</w:t>
      </w:r>
      <w:r w:rsidRPr="009D0ACC">
        <w:tab/>
        <w:t>The</w:t>
      </w:r>
      <w:r>
        <w:t xml:space="preserve"> </w:t>
      </w:r>
      <w:r w:rsidRPr="009D0ACC">
        <w:t>Director shall not issue a permit authorizing</w:t>
      </w:r>
      <w:r>
        <w:t xml:space="preserve"> </w:t>
      </w:r>
      <w:r w:rsidRPr="009D0ACC">
        <w:t>increased discharge from an existing facility unless the applicant has satisfied the requirements of</w:t>
      </w:r>
      <w:r>
        <w:t xml:space="preserve"> </w:t>
      </w:r>
      <w:r w:rsidRPr="009D0ACC">
        <w:t>Sub-Items (a), (c), and (e) of this Item. If a facility's permit contains tiered flow limits for expansion, the</w:t>
      </w:r>
      <w:r>
        <w:t xml:space="preserve"> </w:t>
      </w:r>
      <w:r w:rsidRPr="009D0ACC">
        <w:t>Director shall not</w:t>
      </w:r>
      <w:r>
        <w:t xml:space="preserve"> </w:t>
      </w:r>
      <w:r w:rsidRPr="009D0ACC">
        <w:t>authorize discharge at an increased flow unless the applicant has satisfied the requirements of</w:t>
      </w:r>
      <w:r>
        <w:t xml:space="preserve"> </w:t>
      </w:r>
      <w:r w:rsidRPr="009D0ACC">
        <w:t>Sub-Items (a), (c), and (e) of this Item.</w:t>
      </w:r>
    </w:p>
    <w:p w14:paraId="1A9E1411" w14:textId="77777777" w:rsidR="006A0BDB" w:rsidRPr="009D0ACC" w:rsidRDefault="006A0BDB" w:rsidP="001D2CEB">
      <w:pPr>
        <w:pStyle w:val="SubItemLvl1"/>
        <w:tabs>
          <w:tab w:val="clear" w:pos="2520"/>
        </w:tabs>
      </w:pPr>
      <w:r w:rsidRPr="009D0ACC">
        <w:t>(e)</w:t>
      </w:r>
      <w:r w:rsidRPr="009D0ACC">
        <w:tab/>
        <w:t>Subsequent applications for permit renewal shall</w:t>
      </w:r>
      <w:r>
        <w:t xml:space="preserve"> </w:t>
      </w:r>
      <w:r w:rsidRPr="009D0ACC">
        <w:t>demonstrate that the facility has sufficient</w:t>
      </w:r>
      <w:r>
        <w:t xml:space="preserve"> </w:t>
      </w:r>
      <w:r w:rsidRPr="009D0ACC">
        <w:t>nitrogen allocation or offset credits to meet its effluent nutrient limitations for</w:t>
      </w:r>
      <w:r>
        <w:t xml:space="preserve"> </w:t>
      </w:r>
      <w:r w:rsidRPr="009D0ACC">
        <w:t>any partial calendar year in which the permit becomes effective plus 10 subsequent years</w:t>
      </w:r>
      <w:r>
        <w:t xml:space="preserve"> </w:t>
      </w:r>
      <w:r w:rsidRPr="009D0ACC">
        <w:t>of discharge at the proposed design flow rate in accordance with 15A NCAC 02H .0112(c).</w:t>
      </w:r>
    </w:p>
    <w:p w14:paraId="3D748EBE" w14:textId="77777777" w:rsidR="006A0BDB" w:rsidRPr="009D0ACC" w:rsidRDefault="006A0BDB" w:rsidP="001D2CEB">
      <w:pPr>
        <w:pStyle w:val="SubItemLvl1"/>
        <w:tabs>
          <w:tab w:val="clear" w:pos="2520"/>
        </w:tabs>
      </w:pPr>
      <w:r w:rsidRPr="009D0ACC">
        <w:lastRenderedPageBreak/>
        <w:t>(f)</w:t>
      </w:r>
      <w:r w:rsidRPr="009D0ACC">
        <w:tab/>
        <w:t>The</w:t>
      </w:r>
      <w:r>
        <w:t xml:space="preserve"> </w:t>
      </w:r>
      <w:r w:rsidRPr="009D0ACC">
        <w:t>Director shall modify an expanding facility's permit to establish more stringent limits for nitrogen or phosphorus upon finding that such limits are necessary to protect water quality standards in localized areas.</w:t>
      </w:r>
    </w:p>
    <w:p w14:paraId="3B94DC33" w14:textId="77777777" w:rsidR="006A0BDB" w:rsidRPr="009D0ACC" w:rsidRDefault="006A0BDB" w:rsidP="001D2CEB">
      <w:pPr>
        <w:pStyle w:val="SubItemLvl1"/>
        <w:tabs>
          <w:tab w:val="clear" w:pos="2520"/>
        </w:tabs>
      </w:pPr>
      <w:r w:rsidRPr="009D0ACC">
        <w:t>(g)</w:t>
      </w:r>
      <w:r w:rsidRPr="009D0ACC">
        <w:tab/>
        <w:t>Existing wastewater dischargers expanding to greater than 0.5 MGD design capacity may petition the</w:t>
      </w:r>
      <w:r>
        <w:t xml:space="preserve"> </w:t>
      </w:r>
      <w:r w:rsidRPr="009D0ACC">
        <w:t>Director for an exemption from Sub-Items</w:t>
      </w:r>
      <w:r>
        <w:t xml:space="preserve"> </w:t>
      </w:r>
      <w:r w:rsidRPr="009D0ACC">
        <w:t>(a) through (c) and (e) of this Item upon meeting and maintaining all of the following conditions:</w:t>
      </w:r>
    </w:p>
    <w:p w14:paraId="58D06DD0" w14:textId="77777777" w:rsidR="006A0BDB" w:rsidRPr="009D0ACC" w:rsidRDefault="006A0BDB" w:rsidP="001D2CEB">
      <w:pPr>
        <w:pStyle w:val="SubItemLvl2"/>
      </w:pPr>
      <w:r w:rsidRPr="009D0ACC">
        <w:t>(i)</w:t>
      </w:r>
      <w:r w:rsidRPr="009D0ACC">
        <w:tab/>
        <w:t>The facility has reduced its annual average TN and TP loading by 30 percent from its annual average 1991 TN and TP loading. Industrial facilities may alternatively demonstrate that nitrogen and phosphorus are not part of the waste stream above background levels.</w:t>
      </w:r>
    </w:p>
    <w:p w14:paraId="4F11A3DF" w14:textId="77777777" w:rsidR="006A0BDB" w:rsidRPr="009D0ACC" w:rsidRDefault="006A0BDB" w:rsidP="001D2CEB">
      <w:pPr>
        <w:pStyle w:val="SubItemLvl2"/>
      </w:pPr>
      <w:r w:rsidRPr="009D0ACC">
        <w:t>(ii)</w:t>
      </w:r>
      <w:r w:rsidRPr="009D0ACC">
        <w:tab/>
        <w:t>The expansion does not result in annual average TN or TP loading greater than 70 percent of the 1991 annual average TN or TP load. Permit limits</w:t>
      </w:r>
      <w:r>
        <w:t xml:space="preserve"> </w:t>
      </w:r>
      <w:r w:rsidRPr="009D0ACC">
        <w:t>shall be established to ensure that the 70 percent load is not exceeded.</w:t>
      </w:r>
    </w:p>
    <w:p w14:paraId="72C87DA5" w14:textId="77777777" w:rsidR="006A0BDB" w:rsidRPr="009D0ACC" w:rsidRDefault="006A0BDB" w:rsidP="001D2CEB">
      <w:pPr>
        <w:pStyle w:val="Base"/>
      </w:pPr>
    </w:p>
    <w:p w14:paraId="108928C4" w14:textId="77777777" w:rsidR="006A0BDB" w:rsidRPr="009D0ACC" w:rsidRDefault="006A0BDB" w:rsidP="001D2CEB">
      <w:pPr>
        <w:pStyle w:val="History"/>
      </w:pPr>
      <w:r w:rsidRPr="009D0ACC">
        <w:t>History Note:</w:t>
      </w:r>
      <w:r w:rsidRPr="009D0ACC">
        <w:tab/>
        <w:t>Authority G.S. 143</w:t>
      </w:r>
      <w:r w:rsidRPr="009D0ACC">
        <w:noBreakHyphen/>
        <w:t xml:space="preserve">214.1; 143-215.1; 143-215.3(a)(1); 143-215.8B; 143B-282; </w:t>
      </w:r>
    </w:p>
    <w:p w14:paraId="78EDAA8F" w14:textId="77777777" w:rsidR="006A0BDB" w:rsidRPr="009D0ACC" w:rsidRDefault="006A0BDB" w:rsidP="001D2CEB">
      <w:pPr>
        <w:pStyle w:val="HistoryAfter"/>
      </w:pPr>
      <w:r w:rsidRPr="009D0ACC">
        <w:t>Eff. April 1, 1997;</w:t>
      </w:r>
    </w:p>
    <w:p w14:paraId="50B53B77" w14:textId="77777777" w:rsidR="006A0BDB" w:rsidRPr="009D0ACC" w:rsidRDefault="006A0BDB" w:rsidP="001D2CEB">
      <w:pPr>
        <w:pStyle w:val="HistoryAfter"/>
      </w:pPr>
      <w:r w:rsidRPr="009D0ACC">
        <w:t xml:space="preserve">Readopted </w:t>
      </w:r>
      <w:r>
        <w:t>Pending Delayed Eff. Date</w:t>
      </w:r>
      <w:r w:rsidRPr="009D0ACC">
        <w:t>.</w:t>
      </w:r>
    </w:p>
    <w:p w14:paraId="53B72676" w14:textId="77777777" w:rsidR="006A0BDB" w:rsidRPr="009D0ACC" w:rsidRDefault="006A0BDB" w:rsidP="001D2CEB">
      <w:pPr>
        <w:pStyle w:val="Base"/>
      </w:pPr>
    </w:p>
    <w:p w14:paraId="344B5BBA" w14:textId="77777777" w:rsidR="006A0BDB" w:rsidRDefault="006A0BDB" w:rsidP="001D2CEB">
      <w:pPr>
        <w:pBdr>
          <w:top w:val="single" w:sz="18" w:space="1" w:color="auto"/>
        </w:pBdr>
      </w:pPr>
    </w:p>
    <w:p w14:paraId="4A0AC6C3" w14:textId="77777777" w:rsidR="006A0BDB" w:rsidRDefault="006A0BDB" w:rsidP="001D2CEB">
      <w:pPr>
        <w:pStyle w:val="DepartmentTitle"/>
      </w:pPr>
      <w:r>
        <w:t>TITLE 21 - Occupational Licensing Boards and Commissions</w:t>
      </w:r>
    </w:p>
    <w:p w14:paraId="1A77F8AA" w14:textId="77777777" w:rsidR="006A0BDB" w:rsidRDefault="006A0BDB" w:rsidP="001D2CEB"/>
    <w:p w14:paraId="078B52B9" w14:textId="77777777" w:rsidR="006A0BDB" w:rsidRDefault="006A0BDB" w:rsidP="001D2CEB">
      <w:pPr>
        <w:pStyle w:val="Chapter"/>
      </w:pPr>
      <w:r>
        <w:t>Chapter 08 – board of Certified Public Accountant Examiners</w:t>
      </w:r>
    </w:p>
    <w:p w14:paraId="06F14932" w14:textId="77777777" w:rsidR="006A0BDB" w:rsidRDefault="006A0BDB" w:rsidP="001D2CEB"/>
    <w:p w14:paraId="7191A94D" w14:textId="77777777" w:rsidR="006A0BDB" w:rsidRPr="00CB694E" w:rsidRDefault="006A0BDB" w:rsidP="001D2CEB">
      <w:pPr>
        <w:pStyle w:val="Rule"/>
      </w:pPr>
      <w:r w:rsidRPr="00CB694E">
        <w:t>21 NCAC 08G .0401</w:t>
      </w:r>
      <w:r w:rsidRPr="00CB694E">
        <w:tab/>
        <w:t>CPE REQUIREMENTS FOR CPAS</w:t>
      </w:r>
    </w:p>
    <w:p w14:paraId="7C18DA44" w14:textId="77777777" w:rsidR="006A0BDB" w:rsidRPr="00CB694E" w:rsidRDefault="006A0BDB" w:rsidP="001D2CEB">
      <w:pPr>
        <w:pStyle w:val="Paragraph"/>
      </w:pPr>
      <w:r w:rsidRPr="00CB694E">
        <w:t>(a)  In order for a CPA to receive credit for CPE activities:</w:t>
      </w:r>
    </w:p>
    <w:p w14:paraId="607A671A" w14:textId="77777777" w:rsidR="006A0BDB" w:rsidRPr="00CB694E" w:rsidRDefault="006A0BDB" w:rsidP="001D2CEB">
      <w:pPr>
        <w:pStyle w:val="SubParagraph"/>
        <w:tabs>
          <w:tab w:val="clear" w:pos="1800"/>
        </w:tabs>
      </w:pPr>
      <w:r w:rsidRPr="00CB694E">
        <w:t>(1)</w:t>
      </w:r>
      <w:r w:rsidRPr="00CB694E">
        <w:tab/>
        <w:t>the CPA shall attend or complete the activity and receive a certificate of completion as set forth in the Standards for CPE Program Sponsors in the NASBA/AICPA Statement on Standards for Continuing Professional Education (CPE) Programs, including subsequent amendments and editions, are hereby incorporated by reference. Copies of the Standards for CPE Program Sponsors can be found at no cost on the NASBA website at www.nasbaregistry.org/the-standards;</w:t>
      </w:r>
    </w:p>
    <w:p w14:paraId="52D228C9" w14:textId="77777777" w:rsidR="006A0BDB" w:rsidRPr="00CB694E" w:rsidRDefault="006A0BDB" w:rsidP="001D2CEB">
      <w:pPr>
        <w:pStyle w:val="SubParagraph"/>
        <w:tabs>
          <w:tab w:val="clear" w:pos="1800"/>
        </w:tabs>
      </w:pPr>
      <w:r w:rsidRPr="00CB694E">
        <w:t>(2)</w:t>
      </w:r>
      <w:r w:rsidRPr="00CB694E">
        <w:tab/>
        <w:t>the activity shall meet the requirements set out in Rule .0404 of this Section; and</w:t>
      </w:r>
    </w:p>
    <w:p w14:paraId="637386C7" w14:textId="77777777" w:rsidR="006A0BDB" w:rsidRPr="00CB694E" w:rsidRDefault="006A0BDB" w:rsidP="001D2CEB">
      <w:pPr>
        <w:pStyle w:val="SubParagraph"/>
        <w:tabs>
          <w:tab w:val="clear" w:pos="1800"/>
        </w:tabs>
      </w:pPr>
      <w:r w:rsidRPr="00CB694E">
        <w:t>(3)</w:t>
      </w:r>
      <w:r w:rsidRPr="00CB694E">
        <w:tab/>
        <w:t>the activity shall increase the professional competency of the CPA.</w:t>
      </w:r>
    </w:p>
    <w:p w14:paraId="62065F60" w14:textId="77777777" w:rsidR="006A0BDB" w:rsidRPr="00CB694E" w:rsidRDefault="006A0BDB" w:rsidP="001D2CEB">
      <w:pPr>
        <w:pStyle w:val="Paragraph"/>
      </w:pPr>
      <w:r w:rsidRPr="00CB694E">
        <w:t>(b)  An activity that increases the professional competency of a CPA shall be an activity in an area of the profession in which the CPA practices or is planning to practice, or in the area of professional ethics.</w:t>
      </w:r>
    </w:p>
    <w:p w14:paraId="2985D2F9" w14:textId="77777777" w:rsidR="006A0BDB" w:rsidRPr="00CB694E" w:rsidRDefault="006A0BDB" w:rsidP="001D2CEB">
      <w:pPr>
        <w:pStyle w:val="Paragraph"/>
      </w:pPr>
      <w:r w:rsidRPr="00CB694E">
        <w:t>(c)  Because of differences in the education and experience of CPAs, an activity may contribute to the professional competence of one CPA but not another. Each CPA shall therefore exercise judgment in selecting activities for which CPE credit is claimed and choose only those that contribute to that CPA's professional competence.</w:t>
      </w:r>
    </w:p>
    <w:p w14:paraId="0DFB5FEB" w14:textId="77777777" w:rsidR="006A0BDB" w:rsidRPr="00CB694E" w:rsidRDefault="006A0BDB" w:rsidP="001D2CEB">
      <w:pPr>
        <w:pStyle w:val="Paragraph"/>
      </w:pPr>
      <w:r w:rsidRPr="00CB694E">
        <w:t>(d)  Active CPAs shall complete 2,000 CPE minutes computed in accordance with Rule .0409 of this Section by December 31 of each year, except as follows:</w:t>
      </w:r>
    </w:p>
    <w:p w14:paraId="7F9B7C74" w14:textId="77777777" w:rsidR="006A0BDB" w:rsidRPr="00CB694E" w:rsidRDefault="006A0BDB" w:rsidP="001D2CEB">
      <w:pPr>
        <w:pStyle w:val="SubParagraph"/>
        <w:tabs>
          <w:tab w:val="clear" w:pos="1800"/>
        </w:tabs>
      </w:pPr>
      <w:r w:rsidRPr="00CB694E">
        <w:t>(1)</w:t>
      </w:r>
      <w:r w:rsidRPr="00CB694E">
        <w:tab/>
        <w:t>CPAs having certificate applications approved by the Board in April to June shall complete 1,500 CPE minutes during the same calendar year;</w:t>
      </w:r>
    </w:p>
    <w:p w14:paraId="0B02764A" w14:textId="77777777" w:rsidR="006A0BDB" w:rsidRPr="00CB694E" w:rsidRDefault="006A0BDB" w:rsidP="001D2CEB">
      <w:pPr>
        <w:pStyle w:val="SubParagraph"/>
        <w:tabs>
          <w:tab w:val="clear" w:pos="1800"/>
        </w:tabs>
      </w:pPr>
      <w:r w:rsidRPr="00CB694E">
        <w:t>(2)</w:t>
      </w:r>
      <w:r w:rsidRPr="00CB694E">
        <w:tab/>
        <w:t>CPAs having certificate applications approved by the Board in July to September shall complete 1,000 CPE minutes during the same calendar year; or</w:t>
      </w:r>
    </w:p>
    <w:p w14:paraId="7880AA01" w14:textId="77777777" w:rsidR="006A0BDB" w:rsidRPr="00CB694E" w:rsidRDefault="006A0BDB" w:rsidP="001D2CEB">
      <w:pPr>
        <w:pStyle w:val="SubParagraph"/>
        <w:tabs>
          <w:tab w:val="clear" w:pos="1800"/>
        </w:tabs>
      </w:pPr>
      <w:r w:rsidRPr="00CB694E">
        <w:t>(3)</w:t>
      </w:r>
      <w:r w:rsidRPr="00CB694E">
        <w:tab/>
        <w:t>CPAs having certificate applications approved by the Board in October to December shall complete 500 CPE minutes during the same calendar year; and</w:t>
      </w:r>
    </w:p>
    <w:p w14:paraId="7B06E03F" w14:textId="77777777" w:rsidR="006A0BDB" w:rsidRPr="00CB694E" w:rsidRDefault="006A0BDB" w:rsidP="001D2CEB">
      <w:pPr>
        <w:pStyle w:val="Paragraph"/>
      </w:pPr>
      <w:r w:rsidRPr="00CB694E">
        <w:t>Any CPE minutes completed during the calendar year in which the certificate application is approved may be used for that year's requirement even if the minutes were completed before the certificate was granted.</w:t>
      </w:r>
    </w:p>
    <w:p w14:paraId="51D5C2B4" w14:textId="77777777" w:rsidR="006A0BDB" w:rsidRPr="00CB694E" w:rsidRDefault="006A0BDB" w:rsidP="001D2CEB">
      <w:pPr>
        <w:pStyle w:val="Paragraph"/>
      </w:pPr>
      <w:r w:rsidRPr="00CB694E">
        <w:t xml:space="preserve">(e)  A CPA shall complete a minimum of 50 CPE minutes annually in activities on regulatory or behavioral professional ethics and conduct. Ethics CPE shall be offered by a CPE sponsor registered with NASBA pursuant to </w:t>
      </w:r>
      <w:r>
        <w:t xml:space="preserve">Rule </w:t>
      </w:r>
      <w:r w:rsidRPr="00CB694E">
        <w:t>.0403(c) of this Section.</w:t>
      </w:r>
    </w:p>
    <w:p w14:paraId="109B49F0" w14:textId="77777777" w:rsidR="006A0BDB" w:rsidRPr="00CB694E" w:rsidRDefault="006A0BDB" w:rsidP="001D2CEB">
      <w:pPr>
        <w:pStyle w:val="Paragraph"/>
      </w:pPr>
      <w:r w:rsidRPr="00CB694E">
        <w:t>(f)  There shall be no CPE requirements for inactive CPAs.</w:t>
      </w:r>
    </w:p>
    <w:p w14:paraId="307027CC" w14:textId="77777777" w:rsidR="006A0BDB" w:rsidRPr="00CB694E" w:rsidRDefault="006A0BDB" w:rsidP="001D2CEB">
      <w:pPr>
        <w:pStyle w:val="Paragraph"/>
      </w:pPr>
      <w:r w:rsidRPr="00CB694E">
        <w:t>(g)  When a CPA has completed more than the required number of minutes of CPE in any one calendar year, up to 1,000 minutes shall be carried forward and treated as minutes earned in the following year. Ethics CPE minutes may not be included in any carry forward minutes to meet the requirement of Paragraph (e) of this Rule. A CPA shall not claim CPE credit for activities taken in any year prior to the year of certification.</w:t>
      </w:r>
    </w:p>
    <w:p w14:paraId="59B38C02" w14:textId="77777777" w:rsidR="006A0BDB" w:rsidRPr="00CB694E" w:rsidRDefault="006A0BDB" w:rsidP="001D2CEB">
      <w:pPr>
        <w:pStyle w:val="Paragraph"/>
      </w:pPr>
      <w:r w:rsidRPr="00CB694E">
        <w:t>(h)  Any CPE minutes used to satisfy the requirements for change of status as set forth in 21 NCAC 08J .0105, for reissuance as set forth in 21 NCAC 08J .0106, or for application for a new certificate as set forth in Rule 08I .0104 of this Chapter may be used to satisfy the annual CPE requirement set forth in Paragraph (d) of this Rule.</w:t>
      </w:r>
    </w:p>
    <w:p w14:paraId="580F0CD4" w14:textId="77777777" w:rsidR="006A0BDB" w:rsidRPr="00CB694E" w:rsidRDefault="006A0BDB" w:rsidP="001D2CEB">
      <w:pPr>
        <w:pStyle w:val="Paragraph"/>
      </w:pPr>
      <w:r w:rsidRPr="00CB694E">
        <w:t>(i)  It shall be the CPA's responsibility to maintain records substantiating the CPE credits claimed for the current year and for each of the four calendar years prior to the current year.</w:t>
      </w:r>
    </w:p>
    <w:p w14:paraId="546C14A1" w14:textId="77777777" w:rsidR="006A0BDB" w:rsidRPr="00CB694E" w:rsidRDefault="006A0BDB" w:rsidP="001D2CEB">
      <w:pPr>
        <w:pStyle w:val="Paragraph"/>
      </w:pPr>
      <w:r w:rsidRPr="00CB694E">
        <w:t xml:space="preserve">(j)  A non-resident licensee may satisfy the annual CPE requirements in the jurisdiction where the CPA is licensed and currently works or resides. If there is no annual CPE requirement in the jurisdiction where the CPA is licensed and currently works or resides, the CPA shall comply with Paragraph (d) of this Rule. </w:t>
      </w:r>
      <w:r w:rsidRPr="00CB694E">
        <w:lastRenderedPageBreak/>
        <w:t>A non-resident licensee whose office is in North Carolina shall comply with Paragraph (e) of this Rule. All other non-resident licensees may satisfy Paragraph (e) of this Rule by completing the ethics requirements in the jurisdiction in which the non-resident licensee is licensed as a CPA and works or resides. If there is no ethics CPE requirement in the jurisdiction where the non-resident licensee is licensed and currently works or resides, the non-resident licensee shall comply with Paragraph (e) of this Rule.</w:t>
      </w:r>
    </w:p>
    <w:p w14:paraId="516048BE" w14:textId="77777777" w:rsidR="006A0BDB" w:rsidRPr="00CB694E" w:rsidRDefault="006A0BDB" w:rsidP="001D2CEB">
      <w:pPr>
        <w:pStyle w:val="Base"/>
      </w:pPr>
    </w:p>
    <w:p w14:paraId="75D37C35" w14:textId="77777777" w:rsidR="006A0BDB" w:rsidRPr="00CB694E" w:rsidRDefault="006A0BDB" w:rsidP="001D2CEB">
      <w:pPr>
        <w:pStyle w:val="History"/>
      </w:pPr>
      <w:r w:rsidRPr="00CB694E">
        <w:t>History Note:</w:t>
      </w:r>
      <w:r w:rsidRPr="00CB694E">
        <w:tab/>
        <w:t>Authority G.S. 93-12(3); 93</w:t>
      </w:r>
      <w:r w:rsidRPr="00CB694E">
        <w:noBreakHyphen/>
        <w:t>12(8b);</w:t>
      </w:r>
    </w:p>
    <w:p w14:paraId="4D50FFA1" w14:textId="77777777" w:rsidR="006A0BDB" w:rsidRPr="00CB694E" w:rsidRDefault="006A0BDB" w:rsidP="001D2CEB">
      <w:pPr>
        <w:pStyle w:val="HistoryAfter"/>
      </w:pPr>
      <w:r w:rsidRPr="00CB694E">
        <w:t>Eff. May 1, 1981;</w:t>
      </w:r>
    </w:p>
    <w:p w14:paraId="376B9F6D" w14:textId="77777777" w:rsidR="006A0BDB" w:rsidRPr="00CB694E" w:rsidRDefault="006A0BDB" w:rsidP="001D2CEB">
      <w:pPr>
        <w:pStyle w:val="HistoryAfter"/>
      </w:pPr>
      <w:r w:rsidRPr="00CB694E">
        <w:t>Amended Eff. January 1, 2014; January 1, 2007; January 1, 2004; August 1, 1995; April 1, 1994; May 1, 1989; September 1, 1988;</w:t>
      </w:r>
    </w:p>
    <w:p w14:paraId="36CFED91" w14:textId="77777777" w:rsidR="006A0BDB" w:rsidRPr="00CB694E" w:rsidRDefault="006A0BDB" w:rsidP="001D2CEB">
      <w:pPr>
        <w:pStyle w:val="HistoryAfter"/>
      </w:pPr>
      <w:r w:rsidRPr="00CB694E">
        <w:t>Readopted Eff. February 1, 2016</w:t>
      </w:r>
      <w:r>
        <w:t>;</w:t>
      </w:r>
    </w:p>
    <w:p w14:paraId="61D9ACC4" w14:textId="77777777" w:rsidR="006A0BDB" w:rsidRPr="00CB694E" w:rsidRDefault="006A0BDB" w:rsidP="001D2CEB">
      <w:pPr>
        <w:pStyle w:val="HistoryAfter"/>
      </w:pPr>
      <w:r w:rsidRPr="00CB694E">
        <w:t>Amended Eff. January 1, 2020.</w:t>
      </w:r>
    </w:p>
    <w:p w14:paraId="76C5B3EA" w14:textId="77777777" w:rsidR="006A0BDB" w:rsidRPr="00CB694E" w:rsidRDefault="006A0BDB" w:rsidP="001D2CEB">
      <w:pPr>
        <w:pStyle w:val="Base"/>
      </w:pPr>
    </w:p>
    <w:p w14:paraId="19941A9C" w14:textId="77777777" w:rsidR="006A0BDB" w:rsidRPr="00640C4C" w:rsidRDefault="006A0BDB" w:rsidP="001D2CEB">
      <w:pPr>
        <w:pStyle w:val="Rule"/>
      </w:pPr>
      <w:r w:rsidRPr="00640C4C">
        <w:t>21 NCAC 08G .0403</w:t>
      </w:r>
      <w:r w:rsidRPr="00640C4C">
        <w:tab/>
        <w:t>QUALIFICATION OF CPE SPONSORS</w:t>
      </w:r>
    </w:p>
    <w:p w14:paraId="61CD9D39" w14:textId="77777777" w:rsidR="006A0BDB" w:rsidRPr="00640C4C" w:rsidRDefault="006A0BDB" w:rsidP="001D2CEB">
      <w:pPr>
        <w:pStyle w:val="Paragraph"/>
      </w:pPr>
      <w:r w:rsidRPr="00640C4C">
        <w:t>(a)  The Board shall not register CPE activities nor sponsors or providers of CPE activities.</w:t>
      </w:r>
    </w:p>
    <w:p w14:paraId="281589A5" w14:textId="77777777" w:rsidR="006A0BDB" w:rsidRPr="00640C4C" w:rsidRDefault="006A0BDB" w:rsidP="001D2CEB">
      <w:pPr>
        <w:pStyle w:val="Paragraph"/>
      </w:pPr>
      <w:r w:rsidRPr="00640C4C">
        <w:t>(b)  CPE providers not in good standing on the NASBA National Registry of CPE Sponsors shall comply with the Standards for CPE Program Sponsors in the NASBA/AICPA Statement on Standards for Continuing Professional Education (CPE) Programs found on the NASBA website at www.nasbaregistry.org.</w:t>
      </w:r>
    </w:p>
    <w:p w14:paraId="5D4E5508" w14:textId="77777777" w:rsidR="006A0BDB" w:rsidRPr="00640C4C" w:rsidRDefault="006A0BDB" w:rsidP="001D2CEB">
      <w:pPr>
        <w:pStyle w:val="Paragraph"/>
      </w:pPr>
      <w:r w:rsidRPr="00640C4C">
        <w:t>(c)  Sponsors of continuing education activities that are listed in good standing on the NASBA National Registry of CPE Sponsors shall be considered by the Board as compliant with the Standards for CPE Program Sponsors in the NASBA/AICPA Statement on Standards for Continuing Profession Education (CPE) Programs found on the NASBA website at www.nasbaregistry.org.</w:t>
      </w:r>
    </w:p>
    <w:p w14:paraId="212108CC" w14:textId="77777777" w:rsidR="006A0BDB" w:rsidRPr="00640C4C" w:rsidRDefault="006A0BDB" w:rsidP="001D2CEB">
      <w:pPr>
        <w:pStyle w:val="Paragraph"/>
      </w:pPr>
      <w:r w:rsidRPr="00640C4C">
        <w:t>(d)  Failure of a National Registry of CPE Sponsor to comply with this Rule shall be grounds for the Board to disqualify the sponsor as a CPE sponsor with this Board and to notify NASBA and the public of this action.</w:t>
      </w:r>
    </w:p>
    <w:p w14:paraId="0B5B3B60" w14:textId="77777777" w:rsidR="006A0BDB" w:rsidRPr="00640C4C" w:rsidRDefault="006A0BDB" w:rsidP="001D2CEB">
      <w:pPr>
        <w:pStyle w:val="Base"/>
      </w:pPr>
    </w:p>
    <w:p w14:paraId="46018D5E" w14:textId="77777777" w:rsidR="006A0BDB" w:rsidRPr="00640C4C" w:rsidRDefault="006A0BDB" w:rsidP="001D2CEB">
      <w:pPr>
        <w:pStyle w:val="History"/>
      </w:pPr>
      <w:r w:rsidRPr="00640C4C">
        <w:t>History Note:</w:t>
      </w:r>
      <w:r w:rsidRPr="00640C4C">
        <w:tab/>
        <w:t>Authority G.S. 93-12(3); 93</w:t>
      </w:r>
      <w:r w:rsidRPr="00640C4C">
        <w:noBreakHyphen/>
        <w:t>12(8b);</w:t>
      </w:r>
    </w:p>
    <w:p w14:paraId="44993188" w14:textId="77777777" w:rsidR="006A0BDB" w:rsidRPr="00640C4C" w:rsidRDefault="006A0BDB" w:rsidP="001D2CEB">
      <w:pPr>
        <w:pStyle w:val="HistoryAfter"/>
      </w:pPr>
      <w:r w:rsidRPr="00640C4C">
        <w:t>Eff. May 1, 1981;</w:t>
      </w:r>
    </w:p>
    <w:p w14:paraId="440DF4D7" w14:textId="77777777" w:rsidR="006A0BDB" w:rsidRPr="00640C4C" w:rsidRDefault="006A0BDB" w:rsidP="001D2CEB">
      <w:pPr>
        <w:pStyle w:val="HistoryAfter"/>
      </w:pPr>
      <w:r w:rsidRPr="00640C4C">
        <w:t>Amended Eff. January 1, 2014; January 1, 2007; January 1, 2004; March 1, 1990; May 1, 1989; August 1, 1988; February 1, 1983;</w:t>
      </w:r>
    </w:p>
    <w:p w14:paraId="6676AC0D" w14:textId="77777777" w:rsidR="006A0BDB" w:rsidRPr="00640C4C" w:rsidRDefault="006A0BDB" w:rsidP="001D2CEB">
      <w:pPr>
        <w:pStyle w:val="HistoryAfter"/>
      </w:pPr>
      <w:r w:rsidRPr="00640C4C">
        <w:t>Readopted Eff. February 1, 2016</w:t>
      </w:r>
      <w:r>
        <w:t>;</w:t>
      </w:r>
    </w:p>
    <w:p w14:paraId="71B367A7" w14:textId="77777777" w:rsidR="006A0BDB" w:rsidRPr="00640C4C" w:rsidRDefault="006A0BDB" w:rsidP="001D2CEB">
      <w:pPr>
        <w:pStyle w:val="HistoryAfter"/>
      </w:pPr>
      <w:r w:rsidRPr="00640C4C">
        <w:t>Amended Eff. January 1, 2020.</w:t>
      </w:r>
    </w:p>
    <w:p w14:paraId="0A9C7851" w14:textId="77777777" w:rsidR="006A0BDB" w:rsidRPr="00640C4C" w:rsidRDefault="006A0BDB" w:rsidP="001D2CEB">
      <w:pPr>
        <w:pStyle w:val="Base"/>
      </w:pPr>
    </w:p>
    <w:p w14:paraId="2FC07EA3" w14:textId="77777777" w:rsidR="006A0BDB" w:rsidRPr="00F2286F" w:rsidRDefault="006A0BDB" w:rsidP="001D2CEB">
      <w:pPr>
        <w:pStyle w:val="Rule"/>
      </w:pPr>
      <w:r w:rsidRPr="00F2286F">
        <w:t>21 NCAC 08G .0404</w:t>
      </w:r>
      <w:r w:rsidRPr="00F2286F">
        <w:tab/>
        <w:t>REQUIREMENTS FOR CPE CREDIT</w:t>
      </w:r>
    </w:p>
    <w:p w14:paraId="06C70A6F" w14:textId="77777777" w:rsidR="006A0BDB" w:rsidRPr="00F2286F" w:rsidRDefault="006A0BDB" w:rsidP="001D2CEB">
      <w:pPr>
        <w:pStyle w:val="Paragraph"/>
      </w:pPr>
      <w:r w:rsidRPr="00F2286F">
        <w:t>(a)  A CPA shall not be granted CPE credit for an activity unless the activity is in one of the fields of study listed in the NASBA Fields of Study, including subsequent amendments and editions, which are hereby incorporated by reference. Copies of the NASBA Fields of Study can be found at no cost on the NASBA website at www.nasbaregistry.org/the-standards.</w:t>
      </w:r>
    </w:p>
    <w:p w14:paraId="1CE80849" w14:textId="77777777" w:rsidR="006A0BDB" w:rsidRPr="00F2286F" w:rsidRDefault="006A0BDB" w:rsidP="001D2CEB">
      <w:pPr>
        <w:pStyle w:val="Paragraph"/>
      </w:pPr>
      <w:r w:rsidRPr="00F2286F">
        <w:t xml:space="preserve">(b)  The following shall qualify as acceptable types of CPE activities, provided the activities comply with the requirements set forth in </w:t>
      </w:r>
      <w:r>
        <w:t>Rule .0403(b) or (c)</w:t>
      </w:r>
      <w:r w:rsidRPr="00F2286F">
        <w:t xml:space="preserve"> of this Section:</w:t>
      </w:r>
    </w:p>
    <w:p w14:paraId="0C92A8B2" w14:textId="77777777" w:rsidR="006A0BDB" w:rsidRPr="00F2286F" w:rsidRDefault="006A0BDB" w:rsidP="001D2CEB">
      <w:pPr>
        <w:pStyle w:val="SubParagraph"/>
        <w:tabs>
          <w:tab w:val="clear" w:pos="1800"/>
        </w:tabs>
      </w:pPr>
      <w:r w:rsidRPr="00F2286F">
        <w:t>(1)</w:t>
      </w:r>
      <w:r w:rsidRPr="00F2286F">
        <w:tab/>
        <w:t>professional development activities of national and state accounting organizations;</w:t>
      </w:r>
    </w:p>
    <w:p w14:paraId="715E75C6" w14:textId="77777777" w:rsidR="006A0BDB" w:rsidRPr="00F2286F" w:rsidRDefault="006A0BDB" w:rsidP="001D2CEB">
      <w:pPr>
        <w:pStyle w:val="SubParagraph"/>
        <w:tabs>
          <w:tab w:val="clear" w:pos="1800"/>
        </w:tabs>
      </w:pPr>
      <w:r w:rsidRPr="00F2286F">
        <w:t>(2)</w:t>
      </w:r>
      <w:r w:rsidRPr="00F2286F">
        <w:tab/>
        <w:t>technical sessions at meetings of national and state accounting organizations and their chapters;</w:t>
      </w:r>
    </w:p>
    <w:p w14:paraId="4FD92736" w14:textId="77777777" w:rsidR="006A0BDB" w:rsidRPr="00F2286F" w:rsidRDefault="006A0BDB" w:rsidP="001D2CEB">
      <w:pPr>
        <w:pStyle w:val="SubParagraph"/>
        <w:tabs>
          <w:tab w:val="clear" w:pos="1800"/>
        </w:tabs>
      </w:pPr>
      <w:r w:rsidRPr="00F2286F">
        <w:t>(3)</w:t>
      </w:r>
      <w:r w:rsidRPr="00F2286F">
        <w:tab/>
        <w:t>courses taken at regionally accredited colleges and universities;</w:t>
      </w:r>
    </w:p>
    <w:p w14:paraId="58C22D3D" w14:textId="77777777" w:rsidR="006A0BDB" w:rsidRPr="00F2286F" w:rsidRDefault="006A0BDB" w:rsidP="001D2CEB">
      <w:pPr>
        <w:pStyle w:val="SubParagraph"/>
        <w:tabs>
          <w:tab w:val="clear" w:pos="1800"/>
        </w:tabs>
      </w:pPr>
      <w:r w:rsidRPr="00F2286F">
        <w:t>(4)</w:t>
      </w:r>
      <w:r w:rsidRPr="00F2286F">
        <w:tab/>
        <w:t>educational activities that are designed and intended for continuing professional education activity conducted within a business, accounting firm, or an association of accounting firms; or</w:t>
      </w:r>
    </w:p>
    <w:p w14:paraId="2C4E6935" w14:textId="77777777" w:rsidR="006A0BDB" w:rsidRPr="00F2286F" w:rsidRDefault="006A0BDB" w:rsidP="001D2CEB">
      <w:pPr>
        <w:pStyle w:val="SubParagraph"/>
        <w:tabs>
          <w:tab w:val="clear" w:pos="1800"/>
        </w:tabs>
      </w:pPr>
      <w:r w:rsidRPr="00F2286F">
        <w:t>(5)</w:t>
      </w:r>
      <w:r w:rsidRPr="00F2286F">
        <w:tab/>
        <w:t>correspondence activities that are designed and intended for continuing professional education.</w:t>
      </w:r>
    </w:p>
    <w:p w14:paraId="5726ED3F" w14:textId="77777777" w:rsidR="006A0BDB" w:rsidRPr="00F2286F" w:rsidRDefault="006A0BDB" w:rsidP="001D2CEB">
      <w:pPr>
        <w:pStyle w:val="Paragraph"/>
      </w:pPr>
      <w:r w:rsidRPr="00F2286F">
        <w:t>(c)  CPE credit shall be granted for instructing or authoring a CPE activity as long as the CPA's professional competency was increased and was in one of the fields of study recognized by the Board, as set forth in Paragraph (a) of this Rule.</w:t>
      </w:r>
    </w:p>
    <w:p w14:paraId="0B685F4F" w14:textId="77777777" w:rsidR="006A0BDB" w:rsidRPr="00F2286F" w:rsidRDefault="006A0BDB" w:rsidP="001D2CEB">
      <w:pPr>
        <w:pStyle w:val="Paragraph"/>
      </w:pPr>
      <w:r w:rsidRPr="00F2286F">
        <w:t>(d)  CPE credit shall not be granted for a self-study activity if the material that the CPA must study to take the examination is not designed for CPE purposes. This includes periodicals, guides, magazines, subscription services, books, reference manuals, and supplements that contain an examination to test the comprehension of the material read.</w:t>
      </w:r>
    </w:p>
    <w:p w14:paraId="3E1D0FDF" w14:textId="77777777" w:rsidR="006A0BDB" w:rsidRPr="00F2286F" w:rsidRDefault="006A0BDB" w:rsidP="001D2CEB">
      <w:pPr>
        <w:pStyle w:val="Paragraph"/>
      </w:pPr>
      <w:r w:rsidRPr="00F2286F">
        <w:t>(e)  A CPA may claim credit for an activity offered by a provider if the activity meets the requirements of this Rule and Rule .0409 of this Section. The CPA shall maintain documentation proving the activity met these standards.</w:t>
      </w:r>
    </w:p>
    <w:p w14:paraId="7BF6C45C" w14:textId="77777777" w:rsidR="006A0BDB" w:rsidRPr="00F2286F" w:rsidRDefault="006A0BDB" w:rsidP="001D2CEB">
      <w:pPr>
        <w:pStyle w:val="Base"/>
      </w:pPr>
    </w:p>
    <w:p w14:paraId="44D80245" w14:textId="77777777" w:rsidR="006A0BDB" w:rsidRPr="00F2286F" w:rsidRDefault="006A0BDB" w:rsidP="001D2CEB">
      <w:pPr>
        <w:pStyle w:val="History"/>
      </w:pPr>
      <w:r w:rsidRPr="00F2286F">
        <w:t>History Note:</w:t>
      </w:r>
      <w:r w:rsidRPr="00F2286F">
        <w:tab/>
        <w:t>Authority G.S. 93</w:t>
      </w:r>
      <w:r w:rsidRPr="00F2286F">
        <w:noBreakHyphen/>
        <w:t>12(8b);</w:t>
      </w:r>
    </w:p>
    <w:p w14:paraId="2DDBECDB" w14:textId="77777777" w:rsidR="006A0BDB" w:rsidRPr="00F2286F" w:rsidRDefault="006A0BDB" w:rsidP="001D2CEB">
      <w:pPr>
        <w:pStyle w:val="HistoryAfter"/>
      </w:pPr>
      <w:r w:rsidRPr="00F2286F">
        <w:t>Eff. May 1, 1981;</w:t>
      </w:r>
    </w:p>
    <w:p w14:paraId="691A5497" w14:textId="77777777" w:rsidR="006A0BDB" w:rsidRPr="00F2286F" w:rsidRDefault="006A0BDB" w:rsidP="001D2CEB">
      <w:pPr>
        <w:pStyle w:val="HistoryAfter"/>
      </w:pPr>
      <w:r w:rsidRPr="00F2286F">
        <w:t>Amended Eff. January 1, 2007; January 1, 2004; August 1, 1998; February 1, 1996; March 1, 1990; May 1, 1989; August 1, 1988; February 1, 1983;</w:t>
      </w:r>
    </w:p>
    <w:p w14:paraId="322C0630" w14:textId="77777777" w:rsidR="006A0BDB" w:rsidRPr="00F2286F" w:rsidRDefault="006A0BDB" w:rsidP="001D2CEB">
      <w:pPr>
        <w:pStyle w:val="HistoryAfter"/>
      </w:pPr>
      <w:r w:rsidRPr="00F2286F">
        <w:t>Readopted Eff. February 1, 2016</w:t>
      </w:r>
      <w:r>
        <w:t>;</w:t>
      </w:r>
    </w:p>
    <w:p w14:paraId="5DF63767" w14:textId="77777777" w:rsidR="006A0BDB" w:rsidRPr="00F2286F" w:rsidRDefault="006A0BDB" w:rsidP="001D2CEB">
      <w:pPr>
        <w:pStyle w:val="HistoryAfter"/>
      </w:pPr>
      <w:r w:rsidRPr="00F2286F">
        <w:t>Amended Eff. January 1, 2020.</w:t>
      </w:r>
    </w:p>
    <w:p w14:paraId="49B84DB3" w14:textId="77777777" w:rsidR="006A0BDB" w:rsidRPr="00F2286F" w:rsidRDefault="006A0BDB" w:rsidP="001D2CEB">
      <w:pPr>
        <w:pStyle w:val="Base"/>
      </w:pPr>
    </w:p>
    <w:p w14:paraId="3E89995B" w14:textId="77777777" w:rsidR="006A0BDB" w:rsidRPr="0061186E" w:rsidRDefault="006A0BDB" w:rsidP="001D2CEB">
      <w:pPr>
        <w:pStyle w:val="Rule"/>
      </w:pPr>
      <w:r w:rsidRPr="0061186E">
        <w:t>21 NCAC 08G .0405</w:t>
      </w:r>
      <w:r w:rsidRPr="0061186E">
        <w:tab/>
        <w:t>ADMINISTRATION OF REQUIREMENT</w:t>
      </w:r>
    </w:p>
    <w:p w14:paraId="3FCCFCEB" w14:textId="77777777" w:rsidR="006A0BDB" w:rsidRPr="0061186E" w:rsidRDefault="006A0BDB" w:rsidP="001D2CEB">
      <w:pPr>
        <w:pStyle w:val="Base"/>
      </w:pPr>
    </w:p>
    <w:p w14:paraId="360F9A70" w14:textId="77777777" w:rsidR="006A0BDB" w:rsidRPr="0061186E" w:rsidRDefault="006A0BDB" w:rsidP="001D2CEB">
      <w:pPr>
        <w:pStyle w:val="History"/>
      </w:pPr>
      <w:r w:rsidRPr="0061186E">
        <w:t>History Note:</w:t>
      </w:r>
      <w:r w:rsidRPr="0061186E">
        <w:tab/>
        <w:t>Authority G.S. 93-12(8b);</w:t>
      </w:r>
    </w:p>
    <w:p w14:paraId="0FA49714" w14:textId="77777777" w:rsidR="006A0BDB" w:rsidRPr="0061186E" w:rsidRDefault="006A0BDB" w:rsidP="001D2CEB">
      <w:pPr>
        <w:pStyle w:val="HistoryAfter"/>
      </w:pPr>
      <w:r w:rsidRPr="0061186E">
        <w:t>Eff. May 1, 1981;</w:t>
      </w:r>
    </w:p>
    <w:p w14:paraId="38448C52" w14:textId="77777777" w:rsidR="006A0BDB" w:rsidRPr="0061186E" w:rsidRDefault="006A0BDB" w:rsidP="001D2CEB">
      <w:pPr>
        <w:pStyle w:val="HistoryAfter"/>
      </w:pPr>
      <w:r w:rsidRPr="0061186E">
        <w:t>Amended Eff. October 1, 1984; January 1, 1982;</w:t>
      </w:r>
    </w:p>
    <w:p w14:paraId="38C7E627" w14:textId="77777777" w:rsidR="006A0BDB" w:rsidRPr="0061186E" w:rsidRDefault="006A0BDB" w:rsidP="001D2CEB">
      <w:pPr>
        <w:pStyle w:val="HistoryAfter"/>
      </w:pPr>
      <w:r w:rsidRPr="0061186E">
        <w:t>Pursuant to G.S. 150B-21.3A, rule is necessary without substantive public interest Eff. October 28, 2014</w:t>
      </w:r>
      <w:r>
        <w:t>;</w:t>
      </w:r>
    </w:p>
    <w:p w14:paraId="67D54121" w14:textId="77777777" w:rsidR="006A0BDB" w:rsidRPr="0061186E" w:rsidRDefault="006A0BDB" w:rsidP="001D2CEB">
      <w:pPr>
        <w:pStyle w:val="HistoryAfter"/>
      </w:pPr>
      <w:r w:rsidRPr="0061186E">
        <w:t>Repealed Eff. January 1, 2020.</w:t>
      </w:r>
    </w:p>
    <w:p w14:paraId="7B307C75" w14:textId="77777777" w:rsidR="006A0BDB" w:rsidRPr="0061186E" w:rsidRDefault="006A0BDB" w:rsidP="001D2CEB">
      <w:pPr>
        <w:pStyle w:val="Base"/>
      </w:pPr>
    </w:p>
    <w:p w14:paraId="0E237CCF" w14:textId="77777777" w:rsidR="006A0BDB" w:rsidRPr="0080752C" w:rsidRDefault="006A0BDB" w:rsidP="001D2CEB">
      <w:pPr>
        <w:pStyle w:val="Rule"/>
      </w:pPr>
      <w:r w:rsidRPr="0080752C">
        <w:t>21 NCAC 08G .0406</w:t>
      </w:r>
      <w:r w:rsidRPr="0080752C">
        <w:tab/>
        <w:t>COMPLIANCE WITH CPE REQUIREMENTS</w:t>
      </w:r>
    </w:p>
    <w:p w14:paraId="0277BEAF" w14:textId="77777777" w:rsidR="006A0BDB" w:rsidRPr="0080752C" w:rsidRDefault="006A0BDB" w:rsidP="001D2CEB">
      <w:pPr>
        <w:pStyle w:val="Paragraph"/>
      </w:pPr>
      <w:r w:rsidRPr="0080752C">
        <w:t>(a)  All active CPAs shall file a reporting of CPE minutes by the July 1 renewal date of each year. The Board may audit information submitted by licensees who apply for a renewal license.</w:t>
      </w:r>
    </w:p>
    <w:p w14:paraId="46DAFCDE" w14:textId="77777777" w:rsidR="006A0BDB" w:rsidRPr="0080752C" w:rsidRDefault="006A0BDB" w:rsidP="001D2CEB">
      <w:pPr>
        <w:pStyle w:val="Paragraph"/>
      </w:pPr>
      <w:r w:rsidRPr="0080752C">
        <w:t>(b)  If a CPA fails to complete the CPE requirements prior to the end of the previous calendar year but the CPA has completed them by June 30, the Board may:</w:t>
      </w:r>
    </w:p>
    <w:p w14:paraId="5A239A74" w14:textId="77777777" w:rsidR="006A0BDB" w:rsidRPr="0080752C" w:rsidRDefault="006A0BDB" w:rsidP="001D2CEB">
      <w:pPr>
        <w:pStyle w:val="SubParagraph"/>
        <w:tabs>
          <w:tab w:val="clear" w:pos="1800"/>
        </w:tabs>
      </w:pPr>
      <w:r w:rsidRPr="0080752C">
        <w:t>(1)</w:t>
      </w:r>
      <w:r w:rsidRPr="0080752C">
        <w:tab/>
        <w:t>issue a letter of warning for the first such failure within a five-calendar year period; and</w:t>
      </w:r>
    </w:p>
    <w:p w14:paraId="22E941C3" w14:textId="77777777" w:rsidR="006A0BDB" w:rsidRPr="0080752C" w:rsidRDefault="006A0BDB" w:rsidP="001D2CEB">
      <w:pPr>
        <w:pStyle w:val="SubParagraph"/>
        <w:tabs>
          <w:tab w:val="clear" w:pos="1800"/>
        </w:tabs>
      </w:pPr>
      <w:r w:rsidRPr="0080752C">
        <w:t>(2)</w:t>
      </w:r>
      <w:r w:rsidRPr="0080752C">
        <w:tab/>
        <w:t>deny the renewal of the CPA's certificate for a period of not less than 30 days and until the CPA meets the reinstatement requirements set forth in 21 NCAC 08J .0106 for the second such failure within a five-calendar year period.</w:t>
      </w:r>
    </w:p>
    <w:p w14:paraId="698CA5B6" w14:textId="77777777" w:rsidR="006A0BDB" w:rsidRPr="0080752C" w:rsidRDefault="006A0BDB" w:rsidP="001D2CEB">
      <w:pPr>
        <w:pStyle w:val="Base"/>
      </w:pPr>
    </w:p>
    <w:p w14:paraId="53BE2915" w14:textId="77777777" w:rsidR="006A0BDB" w:rsidRPr="0080752C" w:rsidRDefault="006A0BDB" w:rsidP="001D2CEB">
      <w:pPr>
        <w:pStyle w:val="History"/>
      </w:pPr>
      <w:r w:rsidRPr="0080752C">
        <w:lastRenderedPageBreak/>
        <w:t>History Note:</w:t>
      </w:r>
      <w:r w:rsidRPr="0080752C">
        <w:tab/>
        <w:t>Authority G.S. 93</w:t>
      </w:r>
      <w:r w:rsidRPr="0080752C">
        <w:noBreakHyphen/>
        <w:t>12(8b); 93</w:t>
      </w:r>
      <w:r w:rsidRPr="0080752C">
        <w:noBreakHyphen/>
        <w:t>12(9)(e);</w:t>
      </w:r>
    </w:p>
    <w:p w14:paraId="413AEF08" w14:textId="77777777" w:rsidR="006A0BDB" w:rsidRPr="0080752C" w:rsidRDefault="006A0BDB" w:rsidP="001D2CEB">
      <w:pPr>
        <w:pStyle w:val="HistoryAfter"/>
      </w:pPr>
      <w:r w:rsidRPr="0080752C">
        <w:t>Eff. May 1, 1981;</w:t>
      </w:r>
    </w:p>
    <w:p w14:paraId="0CF0EF09" w14:textId="77777777" w:rsidR="006A0BDB" w:rsidRPr="0080752C" w:rsidRDefault="006A0BDB" w:rsidP="001D2CEB">
      <w:pPr>
        <w:pStyle w:val="HistoryAfter"/>
      </w:pPr>
      <w:r w:rsidRPr="0080752C">
        <w:t>Amended Eff. January 1, 2007; January 1, 2004; April 1, 1994; March 1, 1990; May 1, 1989; October 1, 1988;</w:t>
      </w:r>
    </w:p>
    <w:p w14:paraId="120ED9AE" w14:textId="77777777" w:rsidR="006A0BDB" w:rsidRPr="0080752C" w:rsidRDefault="006A0BDB" w:rsidP="001D2CEB">
      <w:pPr>
        <w:pStyle w:val="HistoryAfter"/>
      </w:pPr>
      <w:r w:rsidRPr="0080752C">
        <w:t>Readopted Eff. February 1, 2016</w:t>
      </w:r>
      <w:r>
        <w:t>;</w:t>
      </w:r>
    </w:p>
    <w:p w14:paraId="5EC19E88" w14:textId="77777777" w:rsidR="006A0BDB" w:rsidRPr="0080752C" w:rsidRDefault="006A0BDB" w:rsidP="001D2CEB">
      <w:pPr>
        <w:pStyle w:val="HistoryAfter"/>
      </w:pPr>
      <w:r w:rsidRPr="0080752C">
        <w:t>Amended Eff. January 1, 2020.</w:t>
      </w:r>
    </w:p>
    <w:p w14:paraId="44EBBBB2" w14:textId="77777777" w:rsidR="006A0BDB" w:rsidRPr="0080752C" w:rsidRDefault="006A0BDB" w:rsidP="001D2CEB">
      <w:pPr>
        <w:pStyle w:val="Base"/>
      </w:pPr>
    </w:p>
    <w:p w14:paraId="228C71E9" w14:textId="77777777" w:rsidR="006A0BDB" w:rsidRPr="005A443A" w:rsidRDefault="006A0BDB" w:rsidP="001D2CEB">
      <w:pPr>
        <w:pStyle w:val="Rule"/>
      </w:pPr>
      <w:r w:rsidRPr="005A443A">
        <w:t>21 NCAC 08G .0409</w:t>
      </w:r>
      <w:r w:rsidRPr="005A443A">
        <w:tab/>
        <w:t>COMPUTATION OF CPE CREDITS</w:t>
      </w:r>
    </w:p>
    <w:p w14:paraId="00FAADBF" w14:textId="77777777" w:rsidR="006A0BDB" w:rsidRPr="005A443A" w:rsidRDefault="006A0BDB" w:rsidP="001D2CEB">
      <w:pPr>
        <w:pStyle w:val="Paragraph"/>
      </w:pPr>
      <w:r w:rsidRPr="005A443A">
        <w:t xml:space="preserve">(a)  Group Activity. CPE credit for a group activity shall be given based on contact minutes. </w:t>
      </w:r>
    </w:p>
    <w:p w14:paraId="2BE83169" w14:textId="77777777" w:rsidR="006A0BDB" w:rsidRPr="005A443A" w:rsidRDefault="006A0BDB" w:rsidP="001D2CEB">
      <w:pPr>
        <w:pStyle w:val="Paragraph"/>
      </w:pPr>
      <w:r w:rsidRPr="005A443A">
        <w:t>(b)  Completing a College Course. CPE credit for completing a college course in the college curriculum shall be granted based on converting the number of credit hours the college gives the CPA for completing the course into minutes. One semester hour of college credit shall be 750 CPE minutes. No CPE credit shall be given to a CPA who audits a college course. No more than 50 percent of the CPE credits required for a year shall be credits for completing a college course.</w:t>
      </w:r>
    </w:p>
    <w:p w14:paraId="05BC4564" w14:textId="77777777" w:rsidR="006A0BDB" w:rsidRPr="005A443A" w:rsidRDefault="006A0BDB" w:rsidP="001D2CEB">
      <w:pPr>
        <w:pStyle w:val="Paragraph"/>
      </w:pPr>
      <w:r w:rsidRPr="005A443A">
        <w:t xml:space="preserve">(c)  Self Study Activity. CPE credit for a self-study activity shall be given based on the number of minutes needed to complete the activity as determined by the sponsor. </w:t>
      </w:r>
    </w:p>
    <w:p w14:paraId="22BECDCE" w14:textId="77777777" w:rsidR="006A0BDB" w:rsidRPr="005A443A" w:rsidRDefault="006A0BDB" w:rsidP="001D2CEB">
      <w:pPr>
        <w:pStyle w:val="Paragraph"/>
      </w:pPr>
      <w:r w:rsidRPr="005A443A">
        <w:t>(d)  Preparing or Presenting a CPE Activity. CPE credit for preparing or presenting a CPE activity for CPAs shall be given based on the number of minutes spent in preparing or presenting the activity. Preparing includes activities such as authoring or conducting a technical review. No more than 50 percent of the CPE credits required for a year shall be credits for preparing for or presenting CPE activities. CPE credit for preparing or presenting an activity shall be allowed only once a year for an activity prepared or presented more than once in the same year by the same CPA.</w:t>
      </w:r>
    </w:p>
    <w:p w14:paraId="0CEA2A13" w14:textId="77777777" w:rsidR="006A0BDB" w:rsidRPr="005A443A" w:rsidRDefault="006A0BDB" w:rsidP="001D2CEB">
      <w:pPr>
        <w:pStyle w:val="Paragraph"/>
      </w:pPr>
      <w:r w:rsidRPr="005A443A">
        <w:t>(e)  Authoring a Publication. CPE credit for published articles and books shall be given based on the number of minutes the CPA spent writing the article or book. No more than 25 percent of a CPA's required CPE credits for a year shall be credits for published articles or books. An article written for a CPA's client or business newsletter shall not receive CPE credit.</w:t>
      </w:r>
    </w:p>
    <w:p w14:paraId="0E5CC8A6" w14:textId="77777777" w:rsidR="006A0BDB" w:rsidRPr="005A443A" w:rsidRDefault="006A0BDB" w:rsidP="001D2CEB">
      <w:pPr>
        <w:pStyle w:val="Paragraph"/>
      </w:pPr>
      <w:r w:rsidRPr="005A443A">
        <w:t>(f)  Instructing a College Course. CPE credit for instructing a college course above the level of accounting principles shall be given based on the number of credit hours the college gives a student for completing the course, using the calculation set forth in Paragraph (b) of this Rule. No more than 50 percent of the CPE credits required for a year shall be credits for instructing a college course.</w:t>
      </w:r>
    </w:p>
    <w:p w14:paraId="188A4ACE" w14:textId="77777777" w:rsidR="006A0BDB" w:rsidRPr="005A443A" w:rsidRDefault="006A0BDB" w:rsidP="001D2CEB">
      <w:pPr>
        <w:pStyle w:val="Paragraph"/>
      </w:pPr>
      <w:r w:rsidRPr="005A443A">
        <w:t>(g)  Nano Learning Activity. CPE credit for Nano Learning, a tutorial activity without interaction with a real-time instructor that is designed to permit a participant to learn a given subject through electronic media including technology applications/processes, computer-based or web-based technology, shall be based on the number of contact minutes. Nano Learning is not a group program. This CPE activity shall be offered by a CPE sponsor registered with NASBA pursuant to Rule .0403(c) of this Section.</w:t>
      </w:r>
    </w:p>
    <w:p w14:paraId="0C648F67" w14:textId="77777777" w:rsidR="006A0BDB" w:rsidRPr="005A443A" w:rsidRDefault="006A0BDB" w:rsidP="001D2CEB">
      <w:pPr>
        <w:pStyle w:val="Paragraph"/>
      </w:pPr>
      <w:r w:rsidRPr="005A443A">
        <w:t xml:space="preserve">(h)  Blended Learning Activity. A Blended Learning program offers participants learning in multiple formats or delivery methods. Activities can include lectures, discussion, guided practice, games, case studies, and simulation. The varied delivery methods include Group Live, Group Internet Based, Self Study, or Nano Learning. The primary component of the program may </w:t>
      </w:r>
      <w:r w:rsidRPr="005A443A">
        <w:t>be concurrent (a group program) or nonconcurrent, allowing the participant to control a portion of the time and place of the learning. CPE credit for Blended Learning shall be based on the number of contact minutes incorporated in all the learning formats in the Blended Learning activity. This CPE activity shall be offered by a CPE sponsor registered with NASBA pursuant to Rule .0403(c) of this Section.</w:t>
      </w:r>
    </w:p>
    <w:p w14:paraId="08DE13FD" w14:textId="77777777" w:rsidR="006A0BDB" w:rsidRPr="005A443A" w:rsidRDefault="006A0BDB" w:rsidP="001D2CEB">
      <w:pPr>
        <w:pStyle w:val="Paragraph"/>
      </w:pPr>
      <w:r w:rsidRPr="005A443A">
        <w:t>(i)  No more than 50 percent of the CPE credits required for a year shall be credits claimed under Paragraphs (b), (d), and (f) of this Rule.</w:t>
      </w:r>
    </w:p>
    <w:p w14:paraId="4AB17729" w14:textId="77777777" w:rsidR="006A0BDB" w:rsidRPr="005A443A" w:rsidRDefault="006A0BDB" w:rsidP="001D2CEB">
      <w:pPr>
        <w:pStyle w:val="Base"/>
      </w:pPr>
    </w:p>
    <w:p w14:paraId="15354277" w14:textId="77777777" w:rsidR="006A0BDB" w:rsidRPr="005A443A" w:rsidRDefault="006A0BDB" w:rsidP="001D2CEB">
      <w:pPr>
        <w:pStyle w:val="History"/>
      </w:pPr>
      <w:r w:rsidRPr="005A443A">
        <w:t>History Note:</w:t>
      </w:r>
      <w:r w:rsidRPr="005A443A">
        <w:tab/>
        <w:t>Authority G.S. 93</w:t>
      </w:r>
      <w:r w:rsidRPr="005A443A">
        <w:noBreakHyphen/>
        <w:t>12(8b);</w:t>
      </w:r>
    </w:p>
    <w:p w14:paraId="374393DE" w14:textId="77777777" w:rsidR="006A0BDB" w:rsidRPr="005A443A" w:rsidRDefault="006A0BDB" w:rsidP="001D2CEB">
      <w:pPr>
        <w:pStyle w:val="HistoryAfter"/>
      </w:pPr>
      <w:r w:rsidRPr="005A443A">
        <w:t>Eff. May 1, 1989;</w:t>
      </w:r>
    </w:p>
    <w:p w14:paraId="368C6DD0" w14:textId="77777777" w:rsidR="006A0BDB" w:rsidRPr="005A443A" w:rsidRDefault="006A0BDB" w:rsidP="001D2CEB">
      <w:pPr>
        <w:pStyle w:val="HistoryAfter"/>
      </w:pPr>
      <w:r w:rsidRPr="005A443A">
        <w:t>Amended Eff. July 1, 2015; January 1, 2014; February 1, 2012; January 1, 2007; January 1, 2004; February 1, 1996; April 1, 1994; March 1, 1990;</w:t>
      </w:r>
    </w:p>
    <w:p w14:paraId="445D86F3" w14:textId="77777777" w:rsidR="006A0BDB" w:rsidRPr="005A443A" w:rsidRDefault="006A0BDB" w:rsidP="001D2CEB">
      <w:pPr>
        <w:pStyle w:val="HistoryAfter"/>
      </w:pPr>
      <w:r w:rsidRPr="005A443A">
        <w:t>Pursuant to G.S. 150B-21.3A, rule is necessary without substantive public interest Eff. October 28, 2014</w:t>
      </w:r>
      <w:r>
        <w:t>;</w:t>
      </w:r>
    </w:p>
    <w:p w14:paraId="530EEF91" w14:textId="77777777" w:rsidR="006A0BDB" w:rsidRPr="005A443A" w:rsidRDefault="006A0BDB" w:rsidP="001D2CEB">
      <w:pPr>
        <w:pStyle w:val="HistoryAfter"/>
      </w:pPr>
      <w:r w:rsidRPr="005A443A">
        <w:t>Amended Eff. January 1, 2020.</w:t>
      </w:r>
    </w:p>
    <w:p w14:paraId="7F097EF7" w14:textId="77777777" w:rsidR="006A0BDB" w:rsidRPr="005A443A" w:rsidRDefault="006A0BDB" w:rsidP="001D2CEB">
      <w:pPr>
        <w:pStyle w:val="Base"/>
      </w:pPr>
    </w:p>
    <w:p w14:paraId="2A58BC26" w14:textId="77777777" w:rsidR="006A0BDB" w:rsidRPr="00E46086" w:rsidRDefault="006A0BDB" w:rsidP="001D2CEB">
      <w:pPr>
        <w:pStyle w:val="Rule"/>
      </w:pPr>
      <w:r w:rsidRPr="00E46086">
        <w:t>21 NCAC 08G .0410</w:t>
      </w:r>
      <w:r w:rsidRPr="00E46086">
        <w:tab/>
        <w:t>PROFESSIONAL ETHICS AND CONDUCT CPE</w:t>
      </w:r>
    </w:p>
    <w:p w14:paraId="2936BF5E" w14:textId="77777777" w:rsidR="006A0BDB" w:rsidRPr="00E46086" w:rsidRDefault="006A0BDB" w:rsidP="001D2CEB">
      <w:pPr>
        <w:pStyle w:val="Base"/>
      </w:pPr>
    </w:p>
    <w:p w14:paraId="34585084" w14:textId="77777777" w:rsidR="006A0BDB" w:rsidRPr="00E46086" w:rsidRDefault="006A0BDB" w:rsidP="001D2CEB">
      <w:pPr>
        <w:pStyle w:val="History"/>
      </w:pPr>
      <w:r w:rsidRPr="00E46086">
        <w:t>History Note:</w:t>
      </w:r>
      <w:r w:rsidRPr="00E46086">
        <w:tab/>
        <w:t>Authority G.S. 93-12(3); 93-12(8b); 93-12(9);</w:t>
      </w:r>
    </w:p>
    <w:p w14:paraId="3B15A9DA" w14:textId="77777777" w:rsidR="006A0BDB" w:rsidRPr="00E46086" w:rsidRDefault="006A0BDB" w:rsidP="001D2CEB">
      <w:pPr>
        <w:pStyle w:val="HistoryAfter"/>
      </w:pPr>
      <w:r w:rsidRPr="00E46086">
        <w:t>Eff. January 1, 2005;</w:t>
      </w:r>
    </w:p>
    <w:p w14:paraId="4921D820" w14:textId="77777777" w:rsidR="006A0BDB" w:rsidRPr="00E46086" w:rsidRDefault="006A0BDB" w:rsidP="001D2CEB">
      <w:pPr>
        <w:pStyle w:val="HistoryAfter"/>
      </w:pPr>
      <w:r w:rsidRPr="00E46086">
        <w:t>Amended Eff. January 1, 2014; February 1, 2012; January 1, 2007; January 1, 2006;</w:t>
      </w:r>
    </w:p>
    <w:p w14:paraId="326D2BDA" w14:textId="77777777" w:rsidR="006A0BDB" w:rsidRPr="00E46086" w:rsidRDefault="006A0BDB" w:rsidP="001D2CEB">
      <w:pPr>
        <w:pStyle w:val="HistoryAfter"/>
      </w:pPr>
      <w:r w:rsidRPr="00E46086">
        <w:t>Readopted Eff. February 1, 2016;</w:t>
      </w:r>
    </w:p>
    <w:p w14:paraId="21381713" w14:textId="77777777" w:rsidR="006A0BDB" w:rsidRPr="00E46086" w:rsidRDefault="006A0BDB" w:rsidP="001D2CEB">
      <w:pPr>
        <w:pStyle w:val="HistoryAfter"/>
      </w:pPr>
      <w:r w:rsidRPr="00E46086">
        <w:t>Repealed Eff. January 1, 2020.</w:t>
      </w:r>
    </w:p>
    <w:p w14:paraId="7FD9F550" w14:textId="77777777" w:rsidR="006A0BDB" w:rsidRDefault="006A0BDB" w:rsidP="001D2CEB">
      <w:pPr>
        <w:pStyle w:val="Base"/>
      </w:pPr>
    </w:p>
    <w:p w14:paraId="67A4EDDA" w14:textId="77777777" w:rsidR="006A0BDB" w:rsidRDefault="006A0BDB" w:rsidP="001D2CEB">
      <w:pPr>
        <w:pStyle w:val="Base"/>
        <w:jc w:val="center"/>
      </w:pPr>
      <w:r>
        <w:t>* * * * * * * * * * * * * * * * * * * *</w:t>
      </w:r>
    </w:p>
    <w:p w14:paraId="3D45C4B3" w14:textId="77777777" w:rsidR="006A0BDB" w:rsidRDefault="006A0BDB" w:rsidP="001D2CEB">
      <w:pPr>
        <w:pStyle w:val="Base"/>
      </w:pPr>
    </w:p>
    <w:p w14:paraId="3897CE36" w14:textId="77777777" w:rsidR="006A0BDB" w:rsidRDefault="006A0BDB" w:rsidP="001D2CEB">
      <w:pPr>
        <w:pStyle w:val="Chapter"/>
      </w:pPr>
      <w:r>
        <w:t>Chapter 10 – board of Chiropractic Examiners</w:t>
      </w:r>
    </w:p>
    <w:p w14:paraId="32CEB686" w14:textId="77777777" w:rsidR="006A0BDB" w:rsidRDefault="006A0BDB" w:rsidP="001D2CEB">
      <w:pPr>
        <w:pStyle w:val="Base"/>
      </w:pPr>
    </w:p>
    <w:p w14:paraId="3F3D0267" w14:textId="77777777" w:rsidR="006A0BDB" w:rsidRPr="005B23F8" w:rsidRDefault="006A0BDB" w:rsidP="001D2CEB">
      <w:pPr>
        <w:pStyle w:val="Rule"/>
      </w:pPr>
      <w:r w:rsidRPr="005B23F8">
        <w:t>21 NCAC 10 .0103</w:t>
      </w:r>
      <w:r w:rsidRPr="005B23F8">
        <w:tab/>
        <w:t>STRUCTURE OF BOARD</w:t>
      </w:r>
    </w:p>
    <w:p w14:paraId="22920D73" w14:textId="77777777" w:rsidR="006A0BDB" w:rsidRPr="005B23F8" w:rsidRDefault="006A0BDB" w:rsidP="001D2CEB">
      <w:pPr>
        <w:pStyle w:val="Paragraph"/>
      </w:pPr>
      <w:r w:rsidRPr="005B23F8">
        <w:t>(a)  Election of Candidates for Appointment to the Board. As necessary to meet the requirements of G.S</w:t>
      </w:r>
      <w:r>
        <w:t>.</w:t>
      </w:r>
      <w:r w:rsidRPr="005B23F8">
        <w:t xml:space="preserve"> 90-140, the Board shall hold the election of chiropractic candidates for appointment to the Board at its March and September meeting at a time, date, and place to be selected by the Board and published on the Board's website at https://ncchiroboard.com at least 90 days in advance of the election. </w:t>
      </w:r>
    </w:p>
    <w:p w14:paraId="581ABB0F" w14:textId="77777777" w:rsidR="006A0BDB" w:rsidRPr="005B23F8" w:rsidRDefault="006A0BDB" w:rsidP="001D2CEB">
      <w:pPr>
        <w:pStyle w:val="Paragraph"/>
      </w:pPr>
      <w:r w:rsidRPr="005B23F8">
        <w:t>(b)</w:t>
      </w:r>
      <w:r>
        <w:t xml:space="preserve"> </w:t>
      </w:r>
      <w:r w:rsidRPr="005B23F8">
        <w:t xml:space="preserve"> The election shall be administered by the Board of Chiropractic Examiners. Any member of the Board who is nominated to succeed himself or herself shall be disqualified from conducting the vote in which he or she is a nominee.</w:t>
      </w:r>
    </w:p>
    <w:p w14:paraId="148716D4" w14:textId="77777777" w:rsidR="006A0BDB" w:rsidRPr="005B23F8" w:rsidRDefault="006A0BDB" w:rsidP="001D2CEB">
      <w:pPr>
        <w:pStyle w:val="Paragraph"/>
      </w:pPr>
      <w:r w:rsidRPr="005B23F8">
        <w:t xml:space="preserve">(c) </w:t>
      </w:r>
      <w:r>
        <w:t xml:space="preserve"> </w:t>
      </w:r>
      <w:r w:rsidRPr="005B23F8">
        <w:t>Nomination shall be made from the floor and shall require two seconds. Any prospective nominee may withdraw his or her name from consideration by an oral statement to that effect.</w:t>
      </w:r>
    </w:p>
    <w:p w14:paraId="1D837778" w14:textId="77777777" w:rsidR="006A0BDB" w:rsidRPr="005B23F8" w:rsidRDefault="006A0BDB" w:rsidP="001D2CEB">
      <w:pPr>
        <w:pStyle w:val="Base"/>
      </w:pPr>
    </w:p>
    <w:p w14:paraId="578AEFC3" w14:textId="77777777" w:rsidR="006A0BDB" w:rsidRPr="005B23F8" w:rsidRDefault="006A0BDB" w:rsidP="001D2CEB">
      <w:pPr>
        <w:pStyle w:val="History"/>
      </w:pPr>
      <w:r w:rsidRPr="005B23F8">
        <w:t>History Note:</w:t>
      </w:r>
      <w:r w:rsidRPr="005B23F8">
        <w:tab/>
        <w:t>Authority G.S. 90</w:t>
      </w:r>
      <w:r w:rsidRPr="005B23F8">
        <w:noBreakHyphen/>
        <w:t>139; 90</w:t>
      </w:r>
      <w:r w:rsidRPr="005B23F8">
        <w:noBreakHyphen/>
        <w:t xml:space="preserve">140; </w:t>
      </w:r>
      <w:r>
        <w:t>90</w:t>
      </w:r>
      <w:r w:rsidRPr="005B23F8">
        <w:t>-142;</w:t>
      </w:r>
    </w:p>
    <w:p w14:paraId="081CFC63" w14:textId="77777777" w:rsidR="006A0BDB" w:rsidRPr="005B23F8" w:rsidRDefault="006A0BDB" w:rsidP="001D2CEB">
      <w:pPr>
        <w:pStyle w:val="HistoryAfter"/>
      </w:pPr>
      <w:r w:rsidRPr="005B23F8">
        <w:t>Eff. February 1, 1976;</w:t>
      </w:r>
    </w:p>
    <w:p w14:paraId="5B0B0EB2" w14:textId="77777777" w:rsidR="006A0BDB" w:rsidRPr="005B23F8" w:rsidRDefault="006A0BDB" w:rsidP="001D2CEB">
      <w:pPr>
        <w:pStyle w:val="HistoryAfter"/>
      </w:pPr>
      <w:r w:rsidRPr="005B23F8">
        <w:t>Readopted Eff. January 27, 1978;</w:t>
      </w:r>
    </w:p>
    <w:p w14:paraId="523FAD5C" w14:textId="77777777" w:rsidR="006A0BDB" w:rsidRPr="005B23F8" w:rsidRDefault="006A0BDB" w:rsidP="001D2CEB">
      <w:pPr>
        <w:pStyle w:val="HistoryAfter"/>
      </w:pPr>
      <w:r w:rsidRPr="005B23F8">
        <w:t>Amended Eff. January 1, 1983; May 8, 1979;</w:t>
      </w:r>
    </w:p>
    <w:p w14:paraId="6FEA956F" w14:textId="77777777" w:rsidR="006A0BDB" w:rsidRPr="005B23F8" w:rsidRDefault="006A0BDB" w:rsidP="001D2CEB">
      <w:pPr>
        <w:pStyle w:val="HistoryAfter"/>
      </w:pPr>
      <w:r w:rsidRPr="005B23F8">
        <w:t>Legislative Objection Lodged Eff. January 31, 1983;</w:t>
      </w:r>
    </w:p>
    <w:p w14:paraId="1573BC90" w14:textId="77777777" w:rsidR="006A0BDB" w:rsidRPr="005B23F8" w:rsidRDefault="006A0BDB" w:rsidP="001D2CEB">
      <w:pPr>
        <w:pStyle w:val="HistoryAfter"/>
      </w:pPr>
      <w:r w:rsidRPr="005B23F8">
        <w:t>Curative Amended Eff. February 18, 1983;</w:t>
      </w:r>
    </w:p>
    <w:p w14:paraId="14158FE5" w14:textId="77777777" w:rsidR="006A0BDB" w:rsidRPr="005B23F8" w:rsidRDefault="006A0BDB" w:rsidP="001D2CEB">
      <w:pPr>
        <w:pStyle w:val="HistoryAfter"/>
      </w:pPr>
      <w:r w:rsidRPr="005B23F8">
        <w:t>Amended Eff. June 1, 1994; December 1, 1988;</w:t>
      </w:r>
    </w:p>
    <w:p w14:paraId="1A3E04C8" w14:textId="77777777" w:rsidR="006A0BDB" w:rsidRPr="005B23F8" w:rsidRDefault="006A0BDB" w:rsidP="001D2CEB">
      <w:pPr>
        <w:pStyle w:val="HistoryAfter"/>
      </w:pPr>
      <w:r w:rsidRPr="005B23F8">
        <w:lastRenderedPageBreak/>
        <w:t>Pursuant to G.S. 150B-21.3A, rule is necessary without substantive public interest Eff. April 27, 2019;</w:t>
      </w:r>
    </w:p>
    <w:p w14:paraId="584A3629" w14:textId="77777777" w:rsidR="006A0BDB" w:rsidRDefault="006A0BDB" w:rsidP="001D2CEB">
      <w:pPr>
        <w:pStyle w:val="HistoryAfter"/>
      </w:pPr>
      <w:r w:rsidRPr="005B23F8">
        <w:t>Amended Eff. January 1, 2020.</w:t>
      </w:r>
    </w:p>
    <w:p w14:paraId="320CA401" w14:textId="77777777" w:rsidR="006A0BDB" w:rsidRPr="00C408CE" w:rsidRDefault="006A0BDB" w:rsidP="001D2CEB">
      <w:pPr>
        <w:pStyle w:val="Base"/>
      </w:pPr>
    </w:p>
    <w:p w14:paraId="29FC7D6D" w14:textId="77777777" w:rsidR="006A0BDB" w:rsidRPr="00D924A2" w:rsidRDefault="006A0BDB" w:rsidP="001D2CEB">
      <w:pPr>
        <w:pStyle w:val="Rule"/>
      </w:pPr>
      <w:r w:rsidRPr="00D924A2">
        <w:t>21 NCAC 10 .0204</w:t>
      </w:r>
      <w:r w:rsidRPr="00D924A2">
        <w:tab/>
        <w:t>LICENSURE</w:t>
      </w:r>
    </w:p>
    <w:p w14:paraId="566487E0" w14:textId="77777777" w:rsidR="006A0BDB" w:rsidRPr="00D924A2" w:rsidRDefault="006A0BDB" w:rsidP="001D2CEB">
      <w:pPr>
        <w:pStyle w:val="Paragraph"/>
      </w:pPr>
      <w:r w:rsidRPr="00D924A2">
        <w:t>(a)  Initial Licensure. The initial license awarded to an applicant who passed the examination shall be mailed to the address appearing on the application form.</w:t>
      </w:r>
    </w:p>
    <w:p w14:paraId="69BD8EF0" w14:textId="77777777" w:rsidR="006A0BDB" w:rsidRPr="00D924A2" w:rsidRDefault="006A0BDB" w:rsidP="001D2CEB">
      <w:pPr>
        <w:pStyle w:val="Paragraph"/>
      </w:pPr>
      <w:r w:rsidRPr="00D924A2">
        <w:t>(b)  Change of Contact Information. The licentiate shall inform the Board of any change in his or her contact information. Updated contact information shall be forwarded to the Board office email at ncboce@ncchiroboard.com, by regular mail to the Board office located at 6070 Six Forks Rd., Ste. L, Raleigh, NC 27609, or fax at (704) 793-1385 within 30 days after any such change.</w:t>
      </w:r>
    </w:p>
    <w:p w14:paraId="282182FA" w14:textId="77777777" w:rsidR="006A0BDB" w:rsidRPr="00D924A2" w:rsidRDefault="006A0BDB" w:rsidP="001D2CEB">
      <w:pPr>
        <w:pStyle w:val="Base"/>
      </w:pPr>
    </w:p>
    <w:p w14:paraId="28AA78FA" w14:textId="77777777" w:rsidR="006A0BDB" w:rsidRPr="00D924A2" w:rsidRDefault="006A0BDB" w:rsidP="001D2CEB">
      <w:pPr>
        <w:pStyle w:val="History"/>
      </w:pPr>
      <w:r w:rsidRPr="00D924A2">
        <w:t>History Note:</w:t>
      </w:r>
      <w:r w:rsidRPr="00D924A2">
        <w:tab/>
        <w:t>Authority G.S. 90-142; 90-145; 90-148;</w:t>
      </w:r>
    </w:p>
    <w:p w14:paraId="2EEFE597" w14:textId="77777777" w:rsidR="006A0BDB" w:rsidRPr="00D924A2" w:rsidRDefault="006A0BDB" w:rsidP="001D2CEB">
      <w:pPr>
        <w:pStyle w:val="HistoryAfter"/>
      </w:pPr>
      <w:r w:rsidRPr="00D924A2">
        <w:t>Eff. February 1, 1976;</w:t>
      </w:r>
    </w:p>
    <w:p w14:paraId="4447925E" w14:textId="77777777" w:rsidR="006A0BDB" w:rsidRPr="00D924A2" w:rsidRDefault="006A0BDB" w:rsidP="001D2CEB">
      <w:pPr>
        <w:pStyle w:val="HistoryAfter"/>
      </w:pPr>
      <w:r w:rsidRPr="00D924A2">
        <w:t>Readopted Eff. January 27, 1978;</w:t>
      </w:r>
    </w:p>
    <w:p w14:paraId="08C7090D" w14:textId="77777777" w:rsidR="006A0BDB" w:rsidRPr="00D924A2" w:rsidRDefault="006A0BDB" w:rsidP="001D2CEB">
      <w:pPr>
        <w:pStyle w:val="HistoryAfter"/>
      </w:pPr>
      <w:r w:rsidRPr="00D924A2">
        <w:t>Amended Eff. January 1, 1983;</w:t>
      </w:r>
    </w:p>
    <w:p w14:paraId="56B2F696" w14:textId="77777777" w:rsidR="006A0BDB" w:rsidRPr="00D924A2" w:rsidRDefault="006A0BDB" w:rsidP="001D2CEB">
      <w:pPr>
        <w:pStyle w:val="HistoryAfter"/>
      </w:pPr>
      <w:r w:rsidRPr="00D924A2">
        <w:t>Legislative Objection Lodged Eff. January 31, 1983;</w:t>
      </w:r>
    </w:p>
    <w:p w14:paraId="2AAAC18B" w14:textId="77777777" w:rsidR="006A0BDB" w:rsidRPr="00D924A2" w:rsidRDefault="006A0BDB" w:rsidP="001D2CEB">
      <w:pPr>
        <w:pStyle w:val="HistoryAfter"/>
      </w:pPr>
      <w:r w:rsidRPr="00D924A2">
        <w:t>Curative Amended Eff. February 28, 1983;</w:t>
      </w:r>
    </w:p>
    <w:p w14:paraId="73CFBE4B" w14:textId="77777777" w:rsidR="006A0BDB" w:rsidRPr="00D924A2" w:rsidRDefault="006A0BDB" w:rsidP="001D2CEB">
      <w:pPr>
        <w:pStyle w:val="HistoryAfter"/>
      </w:pPr>
      <w:r w:rsidRPr="00D924A2">
        <w:t>Amended Eff. July 1, 2014; December 1, 1988;</w:t>
      </w:r>
    </w:p>
    <w:p w14:paraId="03C44A6C" w14:textId="77777777" w:rsidR="006A0BDB" w:rsidRPr="00D924A2" w:rsidRDefault="006A0BDB" w:rsidP="001D2CEB">
      <w:pPr>
        <w:pStyle w:val="HistoryAfter"/>
      </w:pPr>
      <w:r w:rsidRPr="00D924A2">
        <w:t>Pursuant to G.S. 150B-21.3A, rule is necessary without substantive public interest Eff. April 27, 2019;</w:t>
      </w:r>
    </w:p>
    <w:p w14:paraId="1C67B86D" w14:textId="77777777" w:rsidR="006A0BDB" w:rsidRPr="00D924A2" w:rsidRDefault="006A0BDB" w:rsidP="001D2CEB">
      <w:pPr>
        <w:pStyle w:val="HistoryAfter"/>
      </w:pPr>
      <w:r w:rsidRPr="00D924A2">
        <w:t>Amended Eff. January 1, 2020.</w:t>
      </w:r>
    </w:p>
    <w:p w14:paraId="521AE0FF" w14:textId="77777777" w:rsidR="006A0BDB" w:rsidRDefault="006A0BDB" w:rsidP="001D2CEB">
      <w:pPr>
        <w:pStyle w:val="Base"/>
      </w:pPr>
    </w:p>
    <w:p w14:paraId="6C3687B3" w14:textId="77777777" w:rsidR="006A0BDB" w:rsidRPr="00AB598A" w:rsidRDefault="006A0BDB" w:rsidP="001D2CEB">
      <w:pPr>
        <w:pStyle w:val="Rule"/>
      </w:pPr>
      <w:r w:rsidRPr="00AB598A">
        <w:t>21 NCAC 10 .0206</w:t>
      </w:r>
      <w:r w:rsidRPr="00AB598A">
        <w:tab/>
        <w:t>CERTIFICATION OF RADIOLOGIC TECHNOLOGISTS</w:t>
      </w:r>
    </w:p>
    <w:p w14:paraId="0300E1E8" w14:textId="77777777" w:rsidR="006A0BDB" w:rsidRPr="00AB598A" w:rsidRDefault="006A0BDB" w:rsidP="001D2CEB">
      <w:pPr>
        <w:pStyle w:val="Paragraph"/>
      </w:pPr>
      <w:r w:rsidRPr="00AB598A">
        <w:t>(a)  Definition. The Board shall refer to the terms "radiologic technologist," "x-ray tech," and "x-ray technician" interchangeably to mean "diagnostic imaging technician," as identified in G.S. 90-143.2.</w:t>
      </w:r>
    </w:p>
    <w:p w14:paraId="53E728C4" w14:textId="77777777" w:rsidR="006A0BDB" w:rsidRPr="00AB598A" w:rsidRDefault="006A0BDB" w:rsidP="001D2CEB">
      <w:pPr>
        <w:pStyle w:val="Paragraph"/>
      </w:pPr>
      <w:r w:rsidRPr="00AB598A">
        <w:t xml:space="preserve">(b)  Application Procedure. After successful completion of the Certification of Clinical Assistants described in </w:t>
      </w:r>
      <w:r>
        <w:t>21</w:t>
      </w:r>
      <w:r w:rsidRPr="00AB598A">
        <w:t xml:space="preserve"> NCAC 10 .0213 and completing the education program described in Paragraph (c) of this Rule, a person desiring certification as a radiologic technologist shall pass a competency examination administered by or under the authority of the Board. The applicant shall complete an application form available on the Board's website at https://ncchiroboard.com/x-ray-technician/, and confirm and submit that the applicant is at least 18 years of age, a high school graduate or the equivalent, and possessed of good moral character. A photocopy of the applicant's birth certificate, driver's license, or government-issued identification card shall constitute prima facie evidence of the applicant's age. A photocopy of the applicant's high school diploma, transcript, or general equivalency diploma (G.E.D.) shall constitute prima facie evidence of the applicant's graduation from high school. An affidavit attesting to good moral character and signed by a chiropractic physician or other responsible party who knows the applicant and is not related to the applicant shall constitute prima facie evidence of the applicant's good moral character.</w:t>
      </w:r>
    </w:p>
    <w:p w14:paraId="6613DCD7" w14:textId="77777777" w:rsidR="006A0BDB" w:rsidRPr="00AB598A" w:rsidRDefault="006A0BDB" w:rsidP="001D2CEB">
      <w:pPr>
        <w:pStyle w:val="Paragraph"/>
      </w:pPr>
      <w:r w:rsidRPr="00AB598A">
        <w:t xml:space="preserve">(c)  Approved Education Programs. In order to be approved by the Board, a radiological technologist education program shall be at least 50 hours in length, of which at least six hours shall be in-person didactic training with an instructor or instructors who, based on education and experience, are competent to teach the portion of the curriculum they have been assigned, and </w:t>
      </w:r>
      <w:r w:rsidRPr="00AB598A">
        <w:t>completion of the practical requirement as set forth in Paragraph (d) of this Rule.</w:t>
      </w:r>
      <w:r>
        <w:t xml:space="preserve"> </w:t>
      </w:r>
      <w:r w:rsidRPr="00AB598A">
        <w:t xml:space="preserve">The education program shall provide sufficient instruction in the five subjects set forth in G.S. 90-143.2 to enable its graduates to satisfy all applicable standards of care governing the production of X-rays. To obtain approval of an education program, the program sponsor shall submit to the Board, at least 60 days prior to the proposed starting date, all instructional materials to be used in the program, including a syllabus of the didactic training and a </w:t>
      </w:r>
      <w:r w:rsidRPr="00AB598A">
        <w:rPr>
          <w:iCs/>
        </w:rPr>
        <w:t>curriculum vitae</w:t>
      </w:r>
      <w:r w:rsidRPr="00AB598A">
        <w:t xml:space="preserve"> for each instructor.</w:t>
      </w:r>
    </w:p>
    <w:p w14:paraId="230C1BB1" w14:textId="77777777" w:rsidR="006A0BDB" w:rsidRPr="00AB598A" w:rsidRDefault="006A0BDB" w:rsidP="001D2CEB">
      <w:pPr>
        <w:pStyle w:val="Paragraph"/>
      </w:pPr>
      <w:r w:rsidRPr="00AB598A">
        <w:t>(d)  Practical Requirement. Upon completion of the training set forth in Paragraph (c) of this Rule, a person desiring certification as a radiological technologist shall undergo a Practical whereby the person is evaluated by his or her program sponsor on the following competencies while viewing x-rays for four different patients:</w:t>
      </w:r>
    </w:p>
    <w:p w14:paraId="228F2B3F" w14:textId="77777777" w:rsidR="006A0BDB" w:rsidRPr="00AB598A" w:rsidRDefault="006A0BDB" w:rsidP="001D2CEB">
      <w:pPr>
        <w:pStyle w:val="SubParagraph"/>
        <w:tabs>
          <w:tab w:val="clear" w:pos="1800"/>
        </w:tabs>
      </w:pPr>
      <w:r w:rsidRPr="00AB598A">
        <w:t>(1)</w:t>
      </w:r>
      <w:r w:rsidRPr="00AB598A">
        <w:tab/>
        <w:t>Image quality;</w:t>
      </w:r>
    </w:p>
    <w:p w14:paraId="697AD079" w14:textId="77777777" w:rsidR="006A0BDB" w:rsidRPr="00AB598A" w:rsidRDefault="006A0BDB" w:rsidP="001D2CEB">
      <w:pPr>
        <w:pStyle w:val="SubParagraph"/>
        <w:tabs>
          <w:tab w:val="clear" w:pos="1800"/>
        </w:tabs>
      </w:pPr>
      <w:r w:rsidRPr="00AB598A">
        <w:t>(2)</w:t>
      </w:r>
      <w:r w:rsidRPr="00AB598A">
        <w:tab/>
        <w:t>Marking sides of the body;</w:t>
      </w:r>
    </w:p>
    <w:p w14:paraId="279CA1D4" w14:textId="77777777" w:rsidR="006A0BDB" w:rsidRPr="00AB598A" w:rsidRDefault="006A0BDB" w:rsidP="001D2CEB">
      <w:pPr>
        <w:pStyle w:val="SubParagraph"/>
        <w:tabs>
          <w:tab w:val="clear" w:pos="1800"/>
        </w:tabs>
      </w:pPr>
      <w:r w:rsidRPr="00AB598A">
        <w:t>(3)</w:t>
      </w:r>
      <w:r w:rsidRPr="00AB598A">
        <w:tab/>
        <w:t>Technique input to controller;</w:t>
      </w:r>
    </w:p>
    <w:p w14:paraId="3EF8FCC3" w14:textId="77777777" w:rsidR="006A0BDB" w:rsidRPr="00AB598A" w:rsidRDefault="006A0BDB" w:rsidP="001D2CEB">
      <w:pPr>
        <w:pStyle w:val="SubParagraph"/>
        <w:tabs>
          <w:tab w:val="clear" w:pos="1800"/>
        </w:tabs>
      </w:pPr>
      <w:r w:rsidRPr="00AB598A">
        <w:t>(4)</w:t>
      </w:r>
      <w:r w:rsidRPr="00AB598A">
        <w:tab/>
        <w:t>Tube/focal film distance;</w:t>
      </w:r>
    </w:p>
    <w:p w14:paraId="710587E6" w14:textId="77777777" w:rsidR="006A0BDB" w:rsidRPr="00AB598A" w:rsidRDefault="006A0BDB" w:rsidP="001D2CEB">
      <w:pPr>
        <w:pStyle w:val="SubParagraph"/>
        <w:tabs>
          <w:tab w:val="clear" w:pos="1800"/>
        </w:tabs>
      </w:pPr>
      <w:r w:rsidRPr="00AB598A">
        <w:t>(5)</w:t>
      </w:r>
      <w:r w:rsidRPr="00AB598A">
        <w:tab/>
        <w:t>Bucky/tube alignment;</w:t>
      </w:r>
    </w:p>
    <w:p w14:paraId="7C3B7232" w14:textId="77777777" w:rsidR="006A0BDB" w:rsidRPr="00AB598A" w:rsidRDefault="006A0BDB" w:rsidP="001D2CEB">
      <w:pPr>
        <w:pStyle w:val="SubParagraph"/>
        <w:tabs>
          <w:tab w:val="clear" w:pos="1800"/>
        </w:tabs>
      </w:pPr>
      <w:r w:rsidRPr="00AB598A">
        <w:t>(6)</w:t>
      </w:r>
      <w:r w:rsidRPr="00AB598A">
        <w:tab/>
        <w:t>Patient positioning;</w:t>
      </w:r>
    </w:p>
    <w:p w14:paraId="0F98DAE2" w14:textId="77777777" w:rsidR="006A0BDB" w:rsidRPr="00AB598A" w:rsidRDefault="006A0BDB" w:rsidP="001D2CEB">
      <w:pPr>
        <w:pStyle w:val="SubParagraph"/>
        <w:tabs>
          <w:tab w:val="clear" w:pos="1800"/>
        </w:tabs>
      </w:pPr>
      <w:r w:rsidRPr="00AB598A">
        <w:t>(7)</w:t>
      </w:r>
      <w:r w:rsidRPr="00AB598A">
        <w:tab/>
        <w:t>Gonad shielding;</w:t>
      </w:r>
    </w:p>
    <w:p w14:paraId="7611C72C" w14:textId="77777777" w:rsidR="006A0BDB" w:rsidRPr="00AB598A" w:rsidRDefault="006A0BDB" w:rsidP="001D2CEB">
      <w:pPr>
        <w:pStyle w:val="SubParagraph"/>
        <w:tabs>
          <w:tab w:val="clear" w:pos="1800"/>
        </w:tabs>
      </w:pPr>
      <w:r w:rsidRPr="00AB598A">
        <w:t>(8)</w:t>
      </w:r>
      <w:r w:rsidRPr="00AB598A">
        <w:tab/>
        <w:t>Ability to name additional views in the series; and</w:t>
      </w:r>
    </w:p>
    <w:p w14:paraId="2312D03B" w14:textId="77777777" w:rsidR="006A0BDB" w:rsidRPr="00AB598A" w:rsidRDefault="006A0BDB" w:rsidP="001D2CEB">
      <w:pPr>
        <w:pStyle w:val="SubParagraph"/>
        <w:tabs>
          <w:tab w:val="clear" w:pos="1800"/>
        </w:tabs>
      </w:pPr>
      <w:r w:rsidRPr="00AB598A">
        <w:t>(9)</w:t>
      </w:r>
      <w:r w:rsidRPr="00AB598A">
        <w:tab/>
        <w:t>Collimation.</w:t>
      </w:r>
    </w:p>
    <w:p w14:paraId="23CB3AFB" w14:textId="77777777" w:rsidR="006A0BDB" w:rsidRPr="00AB598A" w:rsidRDefault="006A0BDB" w:rsidP="001D2CEB">
      <w:pPr>
        <w:pStyle w:val="Paragraph"/>
      </w:pPr>
      <w:r w:rsidRPr="00AB598A">
        <w:t>The person shall submit written documentation of the Practical evaluation on a form prescribed by the Board that is available on the Board's website at https://ncchiroboard.com/x-ray-technician/.</w:t>
      </w:r>
    </w:p>
    <w:p w14:paraId="46A276F7" w14:textId="77777777" w:rsidR="006A0BDB" w:rsidRPr="00AB598A" w:rsidRDefault="006A0BDB" w:rsidP="001D2CEB">
      <w:pPr>
        <w:pStyle w:val="Paragraph"/>
      </w:pPr>
      <w:r w:rsidRPr="00AB598A">
        <w:t>(e)  A.C.R.R.T. Exemption. Any person registered as "active" with the American Chiropractic Registry of Radiologic Technologists shall be deemed to have satisfied the educational requirements of Paragraph (c) of this Rule.</w:t>
      </w:r>
    </w:p>
    <w:p w14:paraId="61BABC04" w14:textId="77777777" w:rsidR="006A0BDB" w:rsidRPr="00AB598A" w:rsidRDefault="006A0BDB" w:rsidP="001D2CEB">
      <w:pPr>
        <w:pStyle w:val="Paragraph"/>
      </w:pPr>
      <w:r w:rsidRPr="00AB598A">
        <w:t>(f)  Competency Examination. The competency examination shall be administered in person at least three times per year. The Board shall publish on its website, https://ncchiroboard.com/master-exam-calendar/, the date, time, and location of the examination at least 90 days in advance. The Board may authorize additional testing sessions based on the number of applications received. The minimum passing score is 70 percent.</w:t>
      </w:r>
    </w:p>
    <w:p w14:paraId="53CBE0EF" w14:textId="77777777" w:rsidR="006A0BDB" w:rsidRPr="00AB598A" w:rsidRDefault="006A0BDB" w:rsidP="001D2CEB">
      <w:pPr>
        <w:pStyle w:val="Paragraph"/>
      </w:pPr>
      <w:r w:rsidRPr="00AB598A">
        <w:t xml:space="preserve">(g)  Certificate Expiration and Renewal. A certificate of competency issued pursuant to G.S. 90-143.2 shall expire at the end of the calendar year in which it was issued but may be renewed upon a showing that the certificate holder completed six hours of Board-approved continuing education in radiologic technology during the year. </w:t>
      </w:r>
      <w:bookmarkStart w:id="12" w:name="_Hlk487356123"/>
      <w:r w:rsidRPr="00AB598A">
        <w:t>A radiologic technologist whose initial certificate expires less than 12 months after issuance shall not be required to obtain continuing education until the second calendar year of certification but shall be required to pay the renewal fee at the end of the initial year of certification.</w:t>
      </w:r>
      <w:bookmarkEnd w:id="12"/>
      <w:r w:rsidRPr="00AB598A">
        <w:t xml:space="preserve"> A radiologic technologist seeking to renew a certificate of competency shall submit evidence that the applicant has completed six hours of Board-approved continuing education. A certificate of attendance or completion issued by the course sponsor and filed with the Board shall constitute prima facie evidence that the applicant has completed the number of hours recited in the certificate. The applicant shall pay a renewal fee in the amount of twenty-five dollars ($25.00). The renewal fee shall not be paid in cash and may be paid by credit card through the </w:t>
      </w:r>
      <w:r w:rsidRPr="00AB598A">
        <w:lastRenderedPageBreak/>
        <w:t>Board's website, https://ncchiroboard.com, or by a check made payable to the North Carolina Board of Chiropractic Examiners.</w:t>
      </w:r>
    </w:p>
    <w:p w14:paraId="4F8117DA" w14:textId="77777777" w:rsidR="006A0BDB" w:rsidRPr="00AB598A" w:rsidRDefault="006A0BDB" w:rsidP="001D2CEB">
      <w:pPr>
        <w:pStyle w:val="Paragraph"/>
      </w:pPr>
      <w:bookmarkStart w:id="13" w:name="_Hlk491167188"/>
      <w:r w:rsidRPr="00AB598A">
        <w:t>(h)  Displaying Certificate. The holder of a certificate issued pursuant to this Rule shall display the certificate in the x-ray room of the chiropractic clinic in which the holder is employed in a location where the certificate may be viewed by patients.</w:t>
      </w:r>
      <w:bookmarkEnd w:id="13"/>
    </w:p>
    <w:p w14:paraId="267CD6AC" w14:textId="77777777" w:rsidR="006A0BDB" w:rsidRPr="00AB598A" w:rsidRDefault="006A0BDB" w:rsidP="001D2CEB">
      <w:pPr>
        <w:pStyle w:val="Paragraph"/>
      </w:pPr>
      <w:bookmarkStart w:id="14" w:name="_Hlk491167331"/>
      <w:r w:rsidRPr="00AB598A">
        <w:t>(i)  Compliance. Other than licensed doctors of chiropractic, only those persons maintaining current certifications of competency in conformity with this Rule may produce x-rays or other diagnostic images in chiropractic offices. A chiropractor who permits the production of x-rays or other diagnostic images by a non-certified employee or an employee whose certification has expired shall be deemed in violation of G.S. 90-154.3.</w:t>
      </w:r>
      <w:bookmarkEnd w:id="14"/>
    </w:p>
    <w:p w14:paraId="1E443B1C" w14:textId="77777777" w:rsidR="006A0BDB" w:rsidRPr="00AB598A" w:rsidRDefault="006A0BDB" w:rsidP="001D2CEB">
      <w:pPr>
        <w:pStyle w:val="Paragraph"/>
      </w:pPr>
      <w:r w:rsidRPr="00AB598A">
        <w:t xml:space="preserve">(j)  Lapsed Certificates. If a certificate of competency has lapsed due to non-renewal and the lapse does not exceed 60 days, the certificate holder may obtain reinstatement by demonstrating completion of six hours of Board-approved continuing education and paying the renewal fee set forth in Paragraph (g) of this Rule. If the lapse is greater than 60 days, no make-up continuing education shall be required but the certificate holder shall re-take and pass the competency examination described in Paragraph (f) of this Rule and shall pay the renewal fee set forth in Paragraph (g) of this Rule. </w:t>
      </w:r>
    </w:p>
    <w:p w14:paraId="3A9C649C" w14:textId="77777777" w:rsidR="006A0BDB" w:rsidRPr="00AB598A" w:rsidRDefault="006A0BDB" w:rsidP="001D2CEB">
      <w:pPr>
        <w:pStyle w:val="Base"/>
      </w:pPr>
    </w:p>
    <w:p w14:paraId="1CCC7A6F" w14:textId="77777777" w:rsidR="006A0BDB" w:rsidRPr="00AB598A" w:rsidRDefault="006A0BDB" w:rsidP="001D2CEB">
      <w:pPr>
        <w:pStyle w:val="History"/>
      </w:pPr>
      <w:r w:rsidRPr="00AB598A">
        <w:t>History Note:</w:t>
      </w:r>
      <w:r w:rsidRPr="00AB598A">
        <w:tab/>
        <w:t>Authority G.S. 90-143.2; 90-154.3;</w:t>
      </w:r>
    </w:p>
    <w:p w14:paraId="6B81ABEB" w14:textId="77777777" w:rsidR="006A0BDB" w:rsidRPr="00AB598A" w:rsidRDefault="006A0BDB" w:rsidP="001D2CEB">
      <w:pPr>
        <w:pStyle w:val="HistoryAfter"/>
      </w:pPr>
      <w:r w:rsidRPr="00AB598A">
        <w:t>Eff. February 1, 1993;</w:t>
      </w:r>
    </w:p>
    <w:p w14:paraId="68AD4E08" w14:textId="77777777" w:rsidR="006A0BDB" w:rsidRPr="00AB598A" w:rsidRDefault="006A0BDB" w:rsidP="001D2CEB">
      <w:pPr>
        <w:pStyle w:val="HistoryAfter"/>
      </w:pPr>
      <w:r w:rsidRPr="00AB598A">
        <w:t>Temporary Amendment Eff. January 1, 2003;</w:t>
      </w:r>
    </w:p>
    <w:p w14:paraId="5B9765E4" w14:textId="77777777" w:rsidR="006A0BDB" w:rsidRPr="00AB598A" w:rsidRDefault="006A0BDB" w:rsidP="001D2CEB">
      <w:pPr>
        <w:pStyle w:val="HistoryAfter"/>
      </w:pPr>
      <w:r w:rsidRPr="00AB598A">
        <w:t>Temporary Amendment Expired October 31, 2003;</w:t>
      </w:r>
    </w:p>
    <w:p w14:paraId="5A2CC5A0" w14:textId="77777777" w:rsidR="006A0BDB" w:rsidRPr="00AB598A" w:rsidRDefault="006A0BDB" w:rsidP="001D2CEB">
      <w:pPr>
        <w:pStyle w:val="HistoryAfter"/>
      </w:pPr>
      <w:r w:rsidRPr="00AB598A">
        <w:t>Amended Eff. April 1, 2018; July 1, 2010; January 1, 2004;</w:t>
      </w:r>
    </w:p>
    <w:p w14:paraId="02A67740" w14:textId="77777777" w:rsidR="006A0BDB" w:rsidRPr="00AB598A" w:rsidRDefault="006A0BDB" w:rsidP="001D2CEB">
      <w:pPr>
        <w:pStyle w:val="HistoryAfter"/>
      </w:pPr>
      <w:r w:rsidRPr="00AB598A">
        <w:t>Pursuant to G.S. 150B-21.3A, rule is necessary without substantive public interest Eff. April 27, 2019;</w:t>
      </w:r>
    </w:p>
    <w:p w14:paraId="473989D9" w14:textId="77777777" w:rsidR="006A0BDB" w:rsidRPr="00AB598A" w:rsidRDefault="006A0BDB" w:rsidP="001D2CEB">
      <w:pPr>
        <w:pStyle w:val="HistoryAfter"/>
      </w:pPr>
      <w:r w:rsidRPr="00AB598A">
        <w:t>Amended Eff. January 1, 2020.</w:t>
      </w:r>
    </w:p>
    <w:p w14:paraId="056A1B23" w14:textId="77777777" w:rsidR="006A0BDB" w:rsidRPr="00AB598A" w:rsidRDefault="006A0BDB" w:rsidP="001D2CEB">
      <w:pPr>
        <w:pStyle w:val="Base"/>
      </w:pPr>
    </w:p>
    <w:p w14:paraId="529FB4E7" w14:textId="77777777" w:rsidR="006A0BDB" w:rsidRPr="000E7F70" w:rsidRDefault="006A0BDB" w:rsidP="001D2CEB">
      <w:pPr>
        <w:pStyle w:val="Rule"/>
      </w:pPr>
      <w:r w:rsidRPr="000E7F70">
        <w:t>21 NCAC 10 .0207</w:t>
      </w:r>
      <w:r w:rsidRPr="000E7F70">
        <w:tab/>
        <w:t>CONTINUING EDUCATION SEMINARS</w:t>
      </w:r>
    </w:p>
    <w:p w14:paraId="53EBDBAE" w14:textId="77777777" w:rsidR="006A0BDB" w:rsidRPr="000E7F70" w:rsidRDefault="006A0BDB" w:rsidP="001D2CEB">
      <w:pPr>
        <w:pStyle w:val="Paragraph"/>
      </w:pPr>
      <w:r w:rsidRPr="000E7F70">
        <w:t>(a)  Approval of Seminars. Only continuing education seminars approved by the Board shall count towards satisfying the requirements for license renewal. The sponsor and co-sponsors of any proposed seminar shall be responsible for submitting all the information outlined on the Board's Course Application to enable the Board to evaluate the seminar in accordance with this Rule. The Board's Course Application can be found on, and must be submitted via, the Board's website at</w:t>
      </w:r>
      <w:r>
        <w:t xml:space="preserve"> </w:t>
      </w:r>
      <w:r w:rsidRPr="000E7F70">
        <w:t>https://ncchiroboard.com, containing the following information:</w:t>
      </w:r>
    </w:p>
    <w:p w14:paraId="1A579348" w14:textId="77777777" w:rsidR="006A0BDB" w:rsidRPr="000E7F70" w:rsidRDefault="006A0BDB" w:rsidP="001D2CEB">
      <w:pPr>
        <w:pStyle w:val="SubParagraph"/>
        <w:tabs>
          <w:tab w:val="clear" w:pos="1800"/>
        </w:tabs>
      </w:pPr>
      <w:r w:rsidRPr="000E7F70">
        <w:t>(1)</w:t>
      </w:r>
      <w:r w:rsidRPr="000E7F70">
        <w:tab/>
        <w:t>Whether the course's target audience is doctors of chiropractic, certified chiropractic assistants, or x-ray technicians;</w:t>
      </w:r>
    </w:p>
    <w:p w14:paraId="2CB9E84E" w14:textId="77777777" w:rsidR="006A0BDB" w:rsidRPr="000E7F70" w:rsidRDefault="006A0BDB" w:rsidP="001D2CEB">
      <w:pPr>
        <w:pStyle w:val="SubParagraph"/>
        <w:tabs>
          <w:tab w:val="clear" w:pos="1800"/>
        </w:tabs>
      </w:pPr>
      <w:r w:rsidRPr="000E7F70">
        <w:t>(2)</w:t>
      </w:r>
      <w:r w:rsidRPr="000E7F70">
        <w:tab/>
        <w:t>The course title;</w:t>
      </w:r>
    </w:p>
    <w:p w14:paraId="7311C62F" w14:textId="77777777" w:rsidR="006A0BDB" w:rsidRPr="000E7F70" w:rsidRDefault="006A0BDB" w:rsidP="001D2CEB">
      <w:pPr>
        <w:pStyle w:val="SubParagraph"/>
        <w:tabs>
          <w:tab w:val="clear" w:pos="1800"/>
        </w:tabs>
      </w:pPr>
      <w:r w:rsidRPr="000E7F70">
        <w:t>(3)</w:t>
      </w:r>
      <w:r w:rsidRPr="000E7F70">
        <w:tab/>
        <w:t>The beginning and end dates on which the course will be offered;</w:t>
      </w:r>
    </w:p>
    <w:p w14:paraId="0BECEEB7" w14:textId="77777777" w:rsidR="006A0BDB" w:rsidRPr="000E7F70" w:rsidRDefault="006A0BDB" w:rsidP="001D2CEB">
      <w:pPr>
        <w:pStyle w:val="SubParagraph"/>
        <w:tabs>
          <w:tab w:val="clear" w:pos="1800"/>
        </w:tabs>
      </w:pPr>
      <w:r w:rsidRPr="000E7F70">
        <w:t>(4)</w:t>
      </w:r>
      <w:r w:rsidRPr="000E7F70">
        <w:tab/>
        <w:t>Whether the course will be offered online or in a physical location;</w:t>
      </w:r>
    </w:p>
    <w:p w14:paraId="1B8E9CDA" w14:textId="77777777" w:rsidR="006A0BDB" w:rsidRPr="000E7F70" w:rsidRDefault="006A0BDB" w:rsidP="001D2CEB">
      <w:pPr>
        <w:pStyle w:val="SubParagraph"/>
        <w:tabs>
          <w:tab w:val="clear" w:pos="1800"/>
        </w:tabs>
      </w:pPr>
      <w:r w:rsidRPr="000E7F70">
        <w:t>(5)</w:t>
      </w:r>
      <w:r w:rsidRPr="000E7F70">
        <w:tab/>
        <w:t>If the course is offered in a physical location, the cities and states in which the course will be offered;</w:t>
      </w:r>
    </w:p>
    <w:p w14:paraId="49241DC7" w14:textId="77777777" w:rsidR="006A0BDB" w:rsidRPr="000E7F70" w:rsidRDefault="006A0BDB" w:rsidP="001D2CEB">
      <w:pPr>
        <w:pStyle w:val="SubParagraph"/>
        <w:tabs>
          <w:tab w:val="clear" w:pos="1800"/>
        </w:tabs>
      </w:pPr>
      <w:r w:rsidRPr="000E7F70">
        <w:t>(6)</w:t>
      </w:r>
      <w:r w:rsidRPr="000E7F70">
        <w:tab/>
        <w:t>The manner in which the sponsor or co-sponsor will verify the attendance of licentiates;</w:t>
      </w:r>
    </w:p>
    <w:p w14:paraId="0997392F" w14:textId="77777777" w:rsidR="006A0BDB" w:rsidRPr="000E7F70" w:rsidRDefault="006A0BDB" w:rsidP="001D2CEB">
      <w:pPr>
        <w:pStyle w:val="SubParagraph"/>
        <w:tabs>
          <w:tab w:val="clear" w:pos="1800"/>
        </w:tabs>
      </w:pPr>
      <w:r w:rsidRPr="000E7F70">
        <w:t>(7)</w:t>
      </w:r>
      <w:r w:rsidRPr="000E7F70">
        <w:tab/>
        <w:t>The name and contact information of the sponsor and co-sponsor;</w:t>
      </w:r>
    </w:p>
    <w:p w14:paraId="0979640B" w14:textId="77777777" w:rsidR="006A0BDB" w:rsidRPr="000E7F70" w:rsidRDefault="006A0BDB" w:rsidP="001D2CEB">
      <w:pPr>
        <w:pStyle w:val="SubParagraph"/>
        <w:tabs>
          <w:tab w:val="clear" w:pos="1800"/>
        </w:tabs>
      </w:pPr>
      <w:r w:rsidRPr="000E7F70">
        <w:t>(8)</w:t>
      </w:r>
      <w:r w:rsidRPr="000E7F70">
        <w:tab/>
        <w:t>The website at which information on the course offering will be available;</w:t>
      </w:r>
    </w:p>
    <w:p w14:paraId="10FFB4AB" w14:textId="77777777" w:rsidR="006A0BDB" w:rsidRPr="000E7F70" w:rsidRDefault="006A0BDB" w:rsidP="001D2CEB">
      <w:pPr>
        <w:pStyle w:val="SubParagraph"/>
        <w:tabs>
          <w:tab w:val="clear" w:pos="1800"/>
        </w:tabs>
      </w:pPr>
      <w:r w:rsidRPr="000E7F70">
        <w:t>(9)</w:t>
      </w:r>
      <w:r w:rsidRPr="000E7F70">
        <w:tab/>
        <w:t>The number of continuing education credits that the licentiates can obtain by attending the course;</w:t>
      </w:r>
    </w:p>
    <w:p w14:paraId="3CC2C037" w14:textId="77777777" w:rsidR="006A0BDB" w:rsidRPr="000E7F70" w:rsidRDefault="006A0BDB" w:rsidP="001D2CEB">
      <w:pPr>
        <w:pStyle w:val="SubParagraph"/>
        <w:tabs>
          <w:tab w:val="clear" w:pos="1800"/>
        </w:tabs>
      </w:pPr>
      <w:r w:rsidRPr="000E7F70">
        <w:t>(10)</w:t>
      </w:r>
      <w:r w:rsidRPr="000E7F70">
        <w:tab/>
        <w:t>Whether the course will provide doctors of chiropractic, certified chiropractic assistants, or x-ray technicians with continuing education credit toward eligibility for licensure renewal, certification, or recertification; and</w:t>
      </w:r>
    </w:p>
    <w:p w14:paraId="1654CB62" w14:textId="77777777" w:rsidR="006A0BDB" w:rsidRPr="000E7F70" w:rsidRDefault="006A0BDB" w:rsidP="001D2CEB">
      <w:pPr>
        <w:pStyle w:val="SubParagraph"/>
        <w:tabs>
          <w:tab w:val="clear" w:pos="1800"/>
        </w:tabs>
      </w:pPr>
      <w:r w:rsidRPr="000E7F70">
        <w:t>(11)</w:t>
      </w:r>
      <w:r w:rsidRPr="000E7F70">
        <w:tab/>
        <w:t>Whether the course has been approved by the Providers of Approved Continuing Education (PACE) program administered by the Federation of Chiropractic Licensing Boards (FCLB).</w:t>
      </w:r>
    </w:p>
    <w:p w14:paraId="4E0B3A6E" w14:textId="77777777" w:rsidR="006A0BDB" w:rsidRPr="000E7F70" w:rsidRDefault="006A0BDB" w:rsidP="001D2CEB">
      <w:pPr>
        <w:pStyle w:val="Paragraph"/>
      </w:pPr>
      <w:r w:rsidRPr="000E7F70">
        <w:t>The Board's Course Application shall be submitted at least 30 days prior to the date of the proposed seminar. Incomplete applications will not be processed.</w:t>
      </w:r>
    </w:p>
    <w:p w14:paraId="1FCD60E9" w14:textId="77777777" w:rsidR="006A0BDB" w:rsidRPr="000E7F70" w:rsidRDefault="006A0BDB" w:rsidP="001D2CEB">
      <w:pPr>
        <w:pStyle w:val="Paragraph"/>
      </w:pPr>
      <w:r w:rsidRPr="000E7F70">
        <w:t>(b)  Duration of Approval. A seminar approval issued by the Board shall expire at the end of the calendar year for which approved. If the sponsor or co-sponsors of an approved seminar wish to repeat the seminar on a date beyond the approval period, a new application shall be submitted to the Board.</w:t>
      </w:r>
    </w:p>
    <w:p w14:paraId="250B810B" w14:textId="77777777" w:rsidR="006A0BDB" w:rsidRPr="000E7F70" w:rsidRDefault="006A0BDB" w:rsidP="001D2CEB">
      <w:pPr>
        <w:pStyle w:val="Paragraph"/>
      </w:pPr>
      <w:r w:rsidRPr="000E7F70">
        <w:t>(c)  Criteria for Approval. The Board's criteria for approving continuing education seminars is as follows:</w:t>
      </w:r>
    </w:p>
    <w:p w14:paraId="456257E4" w14:textId="77777777" w:rsidR="006A0BDB" w:rsidRPr="000E7F70" w:rsidRDefault="006A0BDB" w:rsidP="001D2CEB">
      <w:pPr>
        <w:pStyle w:val="SubParagraph"/>
        <w:tabs>
          <w:tab w:val="clear" w:pos="1800"/>
        </w:tabs>
      </w:pPr>
      <w:r w:rsidRPr="000E7F70">
        <w:t>(1)</w:t>
      </w:r>
      <w:r w:rsidRPr="000E7F70">
        <w:tab/>
        <w:t>No practice-building or motivational seminars shall be approved;</w:t>
      </w:r>
    </w:p>
    <w:p w14:paraId="68D297F3" w14:textId="77777777" w:rsidR="006A0BDB" w:rsidRPr="000E7F70" w:rsidRDefault="006A0BDB" w:rsidP="001D2CEB">
      <w:pPr>
        <w:pStyle w:val="SubParagraph"/>
        <w:tabs>
          <w:tab w:val="clear" w:pos="1800"/>
        </w:tabs>
      </w:pPr>
      <w:r w:rsidRPr="000E7F70">
        <w:t>(2)</w:t>
      </w:r>
      <w:r w:rsidRPr="000E7F70">
        <w:tab/>
        <w:t>No seminar shall be approved that requires attendees, in order to be able to utilize the information presented at the seminar, to purchase equipment or clinical supplies available only through the seminar's instructors, sponsors or co-sponsors;</w:t>
      </w:r>
    </w:p>
    <w:p w14:paraId="721C221C" w14:textId="77777777" w:rsidR="006A0BDB" w:rsidRPr="000E7F70" w:rsidRDefault="006A0BDB" w:rsidP="001D2CEB">
      <w:pPr>
        <w:pStyle w:val="SubParagraph"/>
        <w:tabs>
          <w:tab w:val="clear" w:pos="1800"/>
        </w:tabs>
      </w:pPr>
      <w:r w:rsidRPr="000E7F70">
        <w:t>(3)</w:t>
      </w:r>
      <w:r w:rsidRPr="000E7F70">
        <w:tab/>
        <w:t>Each seminar subject shall fall within the extent and limitation of chiropractic licensure in this State; and</w:t>
      </w:r>
    </w:p>
    <w:p w14:paraId="3C558E66" w14:textId="77777777" w:rsidR="006A0BDB" w:rsidRPr="000E7F70" w:rsidRDefault="006A0BDB" w:rsidP="001D2CEB">
      <w:pPr>
        <w:pStyle w:val="SubParagraph"/>
        <w:tabs>
          <w:tab w:val="clear" w:pos="1800"/>
        </w:tabs>
      </w:pPr>
      <w:r w:rsidRPr="000E7F70">
        <w:t>(4)</w:t>
      </w:r>
      <w:r w:rsidRPr="000E7F70">
        <w:tab/>
        <w:t>Each instructor shall submit a curriculum vitae demonstrating that he or she has an educational background in, or professional experience with, the subject or subjects he or she is scheduled to teach.</w:t>
      </w:r>
    </w:p>
    <w:p w14:paraId="3944AD35" w14:textId="77777777" w:rsidR="006A0BDB" w:rsidRPr="000E7F70" w:rsidRDefault="006A0BDB" w:rsidP="001D2CEB">
      <w:pPr>
        <w:pStyle w:val="Paragraph"/>
      </w:pPr>
      <w:r w:rsidRPr="000E7F70">
        <w:t>(d)  Duties of Seminar Sponsor. Sponsors and co-sponsors of any approved continuing education seminar shall:</w:t>
      </w:r>
    </w:p>
    <w:p w14:paraId="1AB58F0A" w14:textId="77777777" w:rsidR="006A0BDB" w:rsidRPr="000E7F70" w:rsidRDefault="006A0BDB" w:rsidP="001D2CEB">
      <w:pPr>
        <w:pStyle w:val="SubParagraph"/>
        <w:tabs>
          <w:tab w:val="clear" w:pos="1800"/>
        </w:tabs>
      </w:pPr>
      <w:r w:rsidRPr="000E7F70">
        <w:t>(1)</w:t>
      </w:r>
      <w:r w:rsidRPr="000E7F70">
        <w:tab/>
        <w:t>Disclose on all brochures and advertising materials the name and address of each sponsor and co-sponsor and whether each sponsor and co-sponsor is a for-profit or not-for-profit entity;</w:t>
      </w:r>
    </w:p>
    <w:p w14:paraId="423D42BB" w14:textId="77777777" w:rsidR="006A0BDB" w:rsidRPr="000E7F70" w:rsidRDefault="006A0BDB" w:rsidP="001D2CEB">
      <w:pPr>
        <w:pStyle w:val="SubParagraph"/>
        <w:tabs>
          <w:tab w:val="clear" w:pos="1800"/>
        </w:tabs>
      </w:pPr>
      <w:r w:rsidRPr="000E7F70">
        <w:t>(2)</w:t>
      </w:r>
      <w:r w:rsidRPr="000E7F70">
        <w:tab/>
        <w:t>Be liable for all expenses incurred in holding the seminar;</w:t>
      </w:r>
    </w:p>
    <w:p w14:paraId="4335E071" w14:textId="77777777" w:rsidR="006A0BDB" w:rsidRPr="000E7F70" w:rsidRDefault="006A0BDB" w:rsidP="001D2CEB">
      <w:pPr>
        <w:pStyle w:val="SubParagraph"/>
        <w:tabs>
          <w:tab w:val="clear" w:pos="1800"/>
        </w:tabs>
      </w:pPr>
      <w:r w:rsidRPr="000E7F70">
        <w:t>(3)</w:t>
      </w:r>
      <w:r w:rsidRPr="000E7F70">
        <w:tab/>
        <w:t>Give notice to the Board of any material changes in the seminar, including date, location, subject matter or instructors; and</w:t>
      </w:r>
    </w:p>
    <w:p w14:paraId="04F02718" w14:textId="77777777" w:rsidR="006A0BDB" w:rsidRPr="000E7F70" w:rsidRDefault="006A0BDB" w:rsidP="001D2CEB">
      <w:pPr>
        <w:pStyle w:val="SubParagraph"/>
        <w:tabs>
          <w:tab w:val="clear" w:pos="1800"/>
        </w:tabs>
      </w:pPr>
      <w:r w:rsidRPr="000E7F70">
        <w:t>(4)</w:t>
      </w:r>
      <w:r w:rsidRPr="000E7F70">
        <w:tab/>
        <w:t>Provide an agent at the seminar site who shall:</w:t>
      </w:r>
    </w:p>
    <w:p w14:paraId="0C18879B" w14:textId="77777777" w:rsidR="006A0BDB" w:rsidRPr="000E7F70" w:rsidRDefault="006A0BDB" w:rsidP="001D2CEB">
      <w:pPr>
        <w:pStyle w:val="Part"/>
        <w:tabs>
          <w:tab w:val="clear" w:pos="2520"/>
        </w:tabs>
      </w:pPr>
      <w:r w:rsidRPr="000E7F70">
        <w:t>(A)</w:t>
      </w:r>
      <w:r w:rsidRPr="000E7F70">
        <w:tab/>
        <w:t>Monitor and report the attendance of each person attending the seminar, in accordance with the method identified in the Course Application submitted for the course;</w:t>
      </w:r>
    </w:p>
    <w:p w14:paraId="24170E84" w14:textId="77777777" w:rsidR="006A0BDB" w:rsidRPr="000E7F70" w:rsidRDefault="006A0BDB" w:rsidP="001D2CEB">
      <w:pPr>
        <w:pStyle w:val="Part"/>
        <w:tabs>
          <w:tab w:val="clear" w:pos="2520"/>
        </w:tabs>
      </w:pPr>
      <w:r w:rsidRPr="000E7F70">
        <w:lastRenderedPageBreak/>
        <w:t>(B)</w:t>
      </w:r>
      <w:r w:rsidRPr="000E7F70">
        <w:tab/>
        <w:t>Supervise the agenda and prohibit the presentation of any subject matter not approved by the Board; and</w:t>
      </w:r>
    </w:p>
    <w:p w14:paraId="2394A330" w14:textId="77777777" w:rsidR="006A0BDB" w:rsidRPr="000E7F70" w:rsidRDefault="006A0BDB" w:rsidP="001D2CEB">
      <w:pPr>
        <w:pStyle w:val="Part"/>
        <w:tabs>
          <w:tab w:val="clear" w:pos="2520"/>
        </w:tabs>
      </w:pPr>
      <w:r w:rsidRPr="000E7F70">
        <w:t>(C)</w:t>
      </w:r>
      <w:r w:rsidRPr="000E7F70">
        <w:tab/>
        <w:t>Complete and submit to the Board a post-seminar review summarizing any problems experienced and any variance between the application for approval and the seminar as presented.</w:t>
      </w:r>
    </w:p>
    <w:p w14:paraId="18453BFC" w14:textId="77777777" w:rsidR="006A0BDB" w:rsidRPr="000E7F70" w:rsidRDefault="006A0BDB" w:rsidP="001D2CEB">
      <w:pPr>
        <w:pStyle w:val="Paragraph"/>
      </w:pPr>
      <w:r w:rsidRPr="000E7F70">
        <w:t>(e)  Sanction for Non-Compliance. By applying for seminar approval, each sponsor and co-sponsor agrees to admit to the seminar at no charge a representative of the Board for the purpose of observing compliance with this Rule. If the Board determines that a sponsor or co-sponsor has falsified the application for approval, has failed to keep attendance, has allowed the seminar as presented to vary from the agenda as set forth in the application, or has failed to adhere to any other provision of this Rule, the Board shall refuse to approve future seminar applications from the offending sponsor or co-sponsor or from any principal who is a partner or shareholder in the offending sponsor or co-sponsor.</w:t>
      </w:r>
    </w:p>
    <w:p w14:paraId="331AFA54" w14:textId="77777777" w:rsidR="006A0BDB" w:rsidRPr="000E7F70" w:rsidRDefault="006A0BDB" w:rsidP="001D2CEB">
      <w:pPr>
        <w:pStyle w:val="Paragraph"/>
      </w:pPr>
      <w:r w:rsidRPr="000E7F70">
        <w:t>(f)  PACE Approved State.</w:t>
      </w:r>
      <w:r>
        <w:t xml:space="preserve"> </w:t>
      </w:r>
      <w:r w:rsidRPr="000E7F70">
        <w:t>All doctor of chiropractic courses that have been approved by the Providers of Approved Continuing Education (PACE) program administered by the Federation of Chiropractic Licensing Boards</w:t>
      </w:r>
      <w:r>
        <w:t xml:space="preserve"> </w:t>
      </w:r>
      <w:r w:rsidRPr="000E7F70">
        <w:t>(FCLB) shall be deemed to have complied with this Rule.</w:t>
      </w:r>
    </w:p>
    <w:p w14:paraId="2D0242CE" w14:textId="77777777" w:rsidR="006A0BDB" w:rsidRPr="000E7F70" w:rsidRDefault="006A0BDB" w:rsidP="001D2CEB">
      <w:pPr>
        <w:pStyle w:val="Base"/>
      </w:pPr>
    </w:p>
    <w:p w14:paraId="4AC9ADF4" w14:textId="77777777" w:rsidR="006A0BDB" w:rsidRPr="000E7F70" w:rsidRDefault="006A0BDB" w:rsidP="001D2CEB">
      <w:pPr>
        <w:pStyle w:val="History"/>
      </w:pPr>
      <w:r w:rsidRPr="000E7F70">
        <w:t>History Note:</w:t>
      </w:r>
      <w:r w:rsidRPr="000E7F70">
        <w:tab/>
        <w:t>Authority G.S. 90-142; 90-155;</w:t>
      </w:r>
    </w:p>
    <w:p w14:paraId="362350AB" w14:textId="77777777" w:rsidR="006A0BDB" w:rsidRPr="000E7F70" w:rsidRDefault="006A0BDB" w:rsidP="001D2CEB">
      <w:pPr>
        <w:pStyle w:val="HistoryAfter"/>
      </w:pPr>
      <w:r w:rsidRPr="000E7F70">
        <w:t>Eff. January 1, 2004;</w:t>
      </w:r>
    </w:p>
    <w:p w14:paraId="03DA8099" w14:textId="77777777" w:rsidR="006A0BDB" w:rsidRPr="000E7F70" w:rsidRDefault="006A0BDB" w:rsidP="001D2CEB">
      <w:pPr>
        <w:pStyle w:val="HistoryAfter"/>
      </w:pPr>
      <w:r w:rsidRPr="000E7F70">
        <w:t>Pursuant to G.S. 150B-21.3A, rule is necessary without substantive public interest Eff. April 27, 2019;</w:t>
      </w:r>
    </w:p>
    <w:p w14:paraId="70842434" w14:textId="77777777" w:rsidR="006A0BDB" w:rsidRPr="000E7F70" w:rsidRDefault="006A0BDB" w:rsidP="001D2CEB">
      <w:pPr>
        <w:pStyle w:val="HistoryAfter"/>
      </w:pPr>
      <w:r w:rsidRPr="000E7F70">
        <w:t>Amended Eff. January 1, 2020.</w:t>
      </w:r>
    </w:p>
    <w:p w14:paraId="186DC8B1" w14:textId="77777777" w:rsidR="006A0BDB" w:rsidRPr="000E7F70" w:rsidRDefault="006A0BDB" w:rsidP="001D2CEB">
      <w:pPr>
        <w:pStyle w:val="Base"/>
      </w:pPr>
    </w:p>
    <w:p w14:paraId="46B8F40F" w14:textId="77777777" w:rsidR="006A0BDB" w:rsidRPr="00BE4A77" w:rsidRDefault="006A0BDB" w:rsidP="001D2CEB">
      <w:pPr>
        <w:pStyle w:val="Rule"/>
      </w:pPr>
      <w:r w:rsidRPr="00BE4A77">
        <w:t>21 NCAC 10 .0213</w:t>
      </w:r>
      <w:r w:rsidRPr="00BE4A77">
        <w:tab/>
        <w:t>CERTIFICATION OF CLINICAL ASSISTANTS</w:t>
      </w:r>
    </w:p>
    <w:p w14:paraId="4077C169" w14:textId="77777777" w:rsidR="006A0BDB" w:rsidRPr="00BE4A77" w:rsidRDefault="006A0BDB" w:rsidP="001D2CEB">
      <w:pPr>
        <w:pStyle w:val="Paragraph"/>
      </w:pPr>
      <w:r w:rsidRPr="00BE4A77">
        <w:t xml:space="preserve">(a)  Classification of Applicants. Applicants for clinical assistant competency certification shall be classified as follows: </w:t>
      </w:r>
    </w:p>
    <w:p w14:paraId="4D43AA71" w14:textId="77777777" w:rsidR="006A0BDB" w:rsidRPr="00BE4A77" w:rsidRDefault="006A0BDB" w:rsidP="001D2CEB">
      <w:pPr>
        <w:pStyle w:val="SubParagraph"/>
        <w:tabs>
          <w:tab w:val="clear" w:pos="1800"/>
        </w:tabs>
      </w:pPr>
      <w:r w:rsidRPr="00BE4A77">
        <w:t>(1)</w:t>
      </w:r>
      <w:r w:rsidRPr="00BE4A77">
        <w:tab/>
        <w:t>Reciprocity applicants. A "reciprocity applicant" means an applicant who is currently certified or registered as a clinical assistant in another state whose requirements for certification or registration are substantially similar to or more stringent than the requirements for certification in North Carolina.</w:t>
      </w:r>
    </w:p>
    <w:p w14:paraId="37EE8DF6" w14:textId="77777777" w:rsidR="006A0BDB" w:rsidRPr="00BE4A77" w:rsidRDefault="006A0BDB" w:rsidP="001D2CEB">
      <w:pPr>
        <w:pStyle w:val="SubParagraph"/>
        <w:tabs>
          <w:tab w:val="clear" w:pos="1800"/>
        </w:tabs>
      </w:pPr>
      <w:r w:rsidRPr="00BE4A77">
        <w:t>(2)</w:t>
      </w:r>
      <w:r w:rsidRPr="00BE4A77">
        <w:tab/>
        <w:t>New applicants. A "new applicant" means any applicant who is not a reciprocity applicant.</w:t>
      </w:r>
    </w:p>
    <w:p w14:paraId="55C8F932" w14:textId="77777777" w:rsidR="006A0BDB" w:rsidRPr="00BE4A77" w:rsidRDefault="006A0BDB" w:rsidP="001D2CEB">
      <w:pPr>
        <w:pStyle w:val="Paragraph"/>
      </w:pPr>
      <w:r w:rsidRPr="00BE4A77">
        <w:t xml:space="preserve">(b)  Requirements for Certification. Every applicant, regardless of classification, shall complete an application form available on the Board's website at https://ncchiroboard.com and requiring the applicant to confirm and submit documentary evidence satisfactory to the Board that the applicant is at least 18 years of age, a high school graduate or the equivalent, and possessed of good moral character. A photocopy of the applicant's birth certificate, driver's license, or government-issued identification card shall constitute </w:t>
      </w:r>
      <w:r w:rsidRPr="00BE4A77">
        <w:rPr>
          <w:iCs/>
        </w:rPr>
        <w:t>prima facie</w:t>
      </w:r>
      <w:r w:rsidRPr="00BE4A77">
        <w:t xml:space="preserve"> evidence of the applicant's age. A photocopy of the applicant's high school diploma, transcript, or general equivalency diploma (G.E.D.) shall constitute </w:t>
      </w:r>
      <w:r w:rsidRPr="00BE4A77">
        <w:rPr>
          <w:iCs/>
        </w:rPr>
        <w:t>prima facie</w:t>
      </w:r>
      <w:r w:rsidRPr="00BE4A77">
        <w:t xml:space="preserve"> evidence of the applicant's graduation from high school. An affidavit attesting to good moral character and signed by a chiropractic physician or other responsible party who knows the </w:t>
      </w:r>
      <w:r w:rsidRPr="00BE4A77">
        <w:t xml:space="preserve">applicant and is not related to the applicant shall constitute </w:t>
      </w:r>
      <w:r w:rsidRPr="00BE4A77">
        <w:rPr>
          <w:iCs/>
        </w:rPr>
        <w:t>prima facie</w:t>
      </w:r>
      <w:r w:rsidRPr="00BE4A77">
        <w:t xml:space="preserve"> evidence of the applicant's good moral character. Every applicant, regardless of classification, shall pay to the Board an initial certification fee in the amount of twenty dollars ($20.00). The initial certification fee shall not be paid in cash and may be paid by credit card through the Board's website at https://ncchiroboard.com or by a check made payable to the North Carolina Board of Chiropractic Examiners. In addition to the general certification requirements, an applicant shall satisfy the requirements for the appropriate category of certification, as follows:</w:t>
      </w:r>
    </w:p>
    <w:p w14:paraId="1A0CE369" w14:textId="77777777" w:rsidR="006A0BDB" w:rsidRPr="00BE4A77" w:rsidRDefault="006A0BDB" w:rsidP="001D2CEB">
      <w:pPr>
        <w:pStyle w:val="SubParagraph"/>
        <w:tabs>
          <w:tab w:val="clear" w:pos="1800"/>
        </w:tabs>
      </w:pPr>
      <w:r w:rsidRPr="00BE4A77">
        <w:t>(1)</w:t>
      </w:r>
      <w:r w:rsidRPr="00BE4A77">
        <w:tab/>
        <w:t>Reciprocity Applicants. A reciprocity applicant shall submit a copy of the applicant's current certification or registration as a clinical assistant in a state with which North Carolina reciprocates and shall also submit written confirmation from the state's certifying authority or registrar that the applicant is in good standing in that state.</w:t>
      </w:r>
    </w:p>
    <w:p w14:paraId="7B7CEA5D" w14:textId="77777777" w:rsidR="006A0BDB" w:rsidRPr="00BE4A77" w:rsidRDefault="006A0BDB" w:rsidP="001D2CEB">
      <w:pPr>
        <w:pStyle w:val="SubParagraph"/>
        <w:tabs>
          <w:tab w:val="clear" w:pos="1800"/>
        </w:tabs>
      </w:pPr>
      <w:r w:rsidRPr="00BE4A77">
        <w:t>(2)</w:t>
      </w:r>
      <w:r w:rsidRPr="00BE4A77">
        <w:tab/>
        <w:t xml:space="preserve">New Applicants. A new applicant shall submit evidence that the applicant has completed an approved clinical assistant education program as described in Paragraph (c) of this Rule. A certificate of completion filed with the Board by the program sponsor shall constitute </w:t>
      </w:r>
      <w:r w:rsidRPr="00BE4A77">
        <w:rPr>
          <w:iCs/>
        </w:rPr>
        <w:t>prima facie</w:t>
      </w:r>
      <w:r w:rsidRPr="00BE4A77">
        <w:t xml:space="preserve"> evidence that the applicant has obtained the required education. A new applicant shall also take and pass the standard proficiency examination administered by or under the authority of the Board, as described in Paragraph (d) of this Rule.</w:t>
      </w:r>
    </w:p>
    <w:p w14:paraId="0237ECF9" w14:textId="77777777" w:rsidR="006A0BDB" w:rsidRPr="00BE4A77" w:rsidRDefault="006A0BDB" w:rsidP="001D2CEB">
      <w:pPr>
        <w:pStyle w:val="Paragraph"/>
      </w:pPr>
      <w:r w:rsidRPr="00BE4A77">
        <w:t xml:space="preserve">(c)  Education Programs. In order to be approved by the Board, a clinical assistant education program for new applicants shall be at least 24 hours in length, of which at least six hours shall be in-person didactic training with an instructor or instructors who, based on education and experience, are competent to teach the portion of the curriculum they have been assigned. Credit for online coursework shall not exceed 18 hours, and all online coursework shall precede didactic training. The education program shall provide sufficient instruction in the five subjects set forth in G.S. 90-143.4(c) to enable its graduates to satisfy all applicable standards of care. To obtain approval of an education program, the program sponsor shall submit to the Board, at least 60 days prior to the proposed starting date, all instructional materials to be used in the program, including a syllabus of the didactic training, and a </w:t>
      </w:r>
      <w:r w:rsidRPr="00BE4A77">
        <w:rPr>
          <w:iCs/>
        </w:rPr>
        <w:t>curriculum vitae</w:t>
      </w:r>
      <w:r w:rsidRPr="00BE4A77">
        <w:t xml:space="preserve"> for each instructor.</w:t>
      </w:r>
    </w:p>
    <w:p w14:paraId="368AB13F" w14:textId="77777777" w:rsidR="006A0BDB" w:rsidRPr="00BE4A77" w:rsidRDefault="006A0BDB" w:rsidP="001D2CEB">
      <w:pPr>
        <w:pStyle w:val="Paragraph"/>
      </w:pPr>
      <w:r w:rsidRPr="00BE4A77">
        <w:t>(d)  Examinations. The proficiency examination for new applicants shall assess both academic knowledge and practical skills acquired through education programs and shall be administered in person at least four times per year on dates and at locations to be announced by the Board at least 90 days in advance and published on the Board's website at https://ncchiroboard.com. In its discretion, the Board may authorize additional testing sessions based on the number of applications received. The minimum passing score on the examination is 75 percent.</w:t>
      </w:r>
    </w:p>
    <w:p w14:paraId="01BE9EDA" w14:textId="77777777" w:rsidR="006A0BDB" w:rsidRPr="00BE4A77" w:rsidRDefault="006A0BDB" w:rsidP="001D2CEB">
      <w:pPr>
        <w:pStyle w:val="Paragraph"/>
      </w:pPr>
      <w:r w:rsidRPr="00BE4A77">
        <w:t>(e)  Certificate Expiration and Renewal. Unless renewed, a certificate of competency shall expire on June 30</w:t>
      </w:r>
      <w:r w:rsidRPr="00BE4A77">
        <w:rPr>
          <w:vertAlign w:val="superscript"/>
        </w:rPr>
        <w:t>th</w:t>
      </w:r>
      <w:r w:rsidRPr="00BE4A77">
        <w:t xml:space="preserve"> of the third year following the year in which it was issued. A certificate holder seeking to renew shall submit evidence that the applicant has </w:t>
      </w:r>
      <w:r w:rsidRPr="00BE4A77">
        <w:lastRenderedPageBreak/>
        <w:t xml:space="preserve">completed six hours of Board-approved continuing education. A certificate of attendance or completion issued by the course sponsor and filed with the Board shall constitute </w:t>
      </w:r>
      <w:r w:rsidRPr="00BE4A77">
        <w:rPr>
          <w:iCs/>
        </w:rPr>
        <w:t xml:space="preserve">prima facie </w:t>
      </w:r>
      <w:r w:rsidRPr="00BE4A77">
        <w:t>evidence that the applicant has completed the number of hours recited in the certificate. The applicant shall pay to the Board a renewal fee in the amount of twenty-five dollars ($25.00). The renewal fee shall not be paid in cash and may be paid by credit card through the Board's website at https://ncchiroboard.com or by a check made payable to the North Carolina Board of Chiropractic Examiners.</w:t>
      </w:r>
    </w:p>
    <w:p w14:paraId="08E0B6F6" w14:textId="77777777" w:rsidR="006A0BDB" w:rsidRPr="00BE4A77" w:rsidRDefault="006A0BDB" w:rsidP="001D2CEB">
      <w:pPr>
        <w:pStyle w:val="Paragraph"/>
      </w:pPr>
      <w:r w:rsidRPr="00BE4A77">
        <w:t>(f)  Lapsed Certificates. If a certificate of competency has lapsed due to non-renewal and the lapse does not exceed 60 days, the certificate holder may obtain reinstatement by making up the accrued deficiency in continuing education. If the lapse is greater than 60 days, no make-up continuing education shall be required, but the certificate holder shall re-take and pass the proficiency examination for new applicants. Regardless of the length of lapse, a certificate holder seeking reinstatement shall pay the renewal fee set forth in Paragraph (e) of this Rule.</w:t>
      </w:r>
    </w:p>
    <w:p w14:paraId="2FD7C3D4" w14:textId="77777777" w:rsidR="006A0BDB" w:rsidRPr="00BE4A77" w:rsidRDefault="006A0BDB" w:rsidP="001D2CEB">
      <w:pPr>
        <w:pStyle w:val="Paragraph"/>
      </w:pPr>
      <w:r w:rsidRPr="00BE4A77">
        <w:t>(g)  Exemptions. Graduates of accredited chiropractic colleges and students enrolled in accredited chiropractic colleges who are serving college-sponsored preceptorships in North Carolina are deemed by the Board to have satisfied all requirements imposed by this Rule and shall be deemed competent to perform the duties of a clinical assistant. Any person who qualifies for exemption and who works as a clinical assistant in this state for more than 180 days shall submit the application form described in Paragraph (b) of this Rule and note the claim of exempt status. Exempt persons shall not be required to pay a certification fee.</w:t>
      </w:r>
    </w:p>
    <w:p w14:paraId="038058ED" w14:textId="77777777" w:rsidR="006A0BDB" w:rsidRPr="00BE4A77" w:rsidRDefault="006A0BDB" w:rsidP="001D2CEB">
      <w:pPr>
        <w:pStyle w:val="Paragraph"/>
      </w:pPr>
      <w:r w:rsidRPr="00BE4A77">
        <w:t>(h)  Displaying Certificate. The holder of a certificate issued pursuant to this Rule shall display the certificate in the chiropractic clinic in which the holder is employed in a location where the certificate may be</w:t>
      </w:r>
      <w:r>
        <w:t xml:space="preserve"> </w:t>
      </w:r>
      <w:r w:rsidRPr="00BE4A77">
        <w:t>viewed by patients.</w:t>
      </w:r>
    </w:p>
    <w:p w14:paraId="6DE03A2C" w14:textId="77777777" w:rsidR="006A0BDB" w:rsidRPr="00BE4A77" w:rsidRDefault="006A0BDB" w:rsidP="001D2CEB">
      <w:pPr>
        <w:pStyle w:val="Base"/>
      </w:pPr>
    </w:p>
    <w:p w14:paraId="4E24A9C6" w14:textId="77777777" w:rsidR="006A0BDB" w:rsidRPr="00BE4A77" w:rsidRDefault="006A0BDB" w:rsidP="001D2CEB">
      <w:pPr>
        <w:pStyle w:val="History"/>
      </w:pPr>
      <w:r w:rsidRPr="00BE4A77">
        <w:t>History Note:</w:t>
      </w:r>
      <w:r w:rsidRPr="00BE4A77">
        <w:tab/>
        <w:t>Authority G.S. 90-142; 90-143.4;</w:t>
      </w:r>
    </w:p>
    <w:p w14:paraId="6F91F5DB" w14:textId="77777777" w:rsidR="006A0BDB" w:rsidRPr="00BE4A77" w:rsidRDefault="006A0BDB" w:rsidP="001D2CEB">
      <w:pPr>
        <w:pStyle w:val="HistoryAfter"/>
      </w:pPr>
      <w:r w:rsidRPr="00BE4A77">
        <w:t>Eff. July 1, 2014;</w:t>
      </w:r>
    </w:p>
    <w:p w14:paraId="4D91C619" w14:textId="77777777" w:rsidR="006A0BDB" w:rsidRPr="00BE4A77" w:rsidRDefault="006A0BDB" w:rsidP="001D2CEB">
      <w:pPr>
        <w:pStyle w:val="HistoryAfter"/>
      </w:pPr>
      <w:r w:rsidRPr="00BE4A77">
        <w:t>Amended Eff. April 1, 2018;</w:t>
      </w:r>
    </w:p>
    <w:p w14:paraId="6C698A84" w14:textId="77777777" w:rsidR="006A0BDB" w:rsidRPr="00BE4A77" w:rsidRDefault="006A0BDB" w:rsidP="001D2CEB">
      <w:pPr>
        <w:pStyle w:val="HistoryAfter"/>
      </w:pPr>
      <w:r w:rsidRPr="00BE4A77">
        <w:t>Pursuant to G.S. 150B-21.3A, rule is necessary without substantive public interest Eff. April 27, 2019;</w:t>
      </w:r>
    </w:p>
    <w:p w14:paraId="27F3D733" w14:textId="77777777" w:rsidR="006A0BDB" w:rsidRPr="00BE4A77" w:rsidRDefault="006A0BDB" w:rsidP="001D2CEB">
      <w:pPr>
        <w:pStyle w:val="HistoryAfter"/>
      </w:pPr>
      <w:r w:rsidRPr="00BE4A77">
        <w:t>Amended Eff. January 1, 2020.</w:t>
      </w:r>
    </w:p>
    <w:p w14:paraId="50939312" w14:textId="77777777" w:rsidR="006A0BDB" w:rsidRPr="00BE4A77" w:rsidRDefault="006A0BDB" w:rsidP="001D2CEB">
      <w:pPr>
        <w:pStyle w:val="Base"/>
      </w:pPr>
    </w:p>
    <w:p w14:paraId="487E07AF" w14:textId="77777777" w:rsidR="006A0BDB" w:rsidRPr="0045361F" w:rsidRDefault="006A0BDB" w:rsidP="001D2CEB">
      <w:pPr>
        <w:pStyle w:val="Rule"/>
      </w:pPr>
      <w:r w:rsidRPr="0045361F">
        <w:t>21 NCAC 10 .0215</w:t>
      </w:r>
      <w:r w:rsidRPr="0045361F">
        <w:tab/>
        <w:t>PETITION FOR PREDETERMINATION</w:t>
      </w:r>
    </w:p>
    <w:p w14:paraId="25F99EDD" w14:textId="77777777" w:rsidR="006A0BDB" w:rsidRPr="0045361F" w:rsidRDefault="006A0BDB" w:rsidP="001D2CEB">
      <w:pPr>
        <w:pStyle w:val="Paragraph"/>
      </w:pPr>
      <w:r w:rsidRPr="0045361F">
        <w:t>(a)  General. Pursuant to G.S. 93B-8.1(b6), any person with a criminal history may petition the Board at any time for a predetermination of whether the individual's criminal history will likely disqualify the individual from obtaining a license, in accordance with this Rule. The Petition</w:t>
      </w:r>
      <w:r>
        <w:t xml:space="preserve"> </w:t>
      </w:r>
      <w:r w:rsidRPr="0045361F">
        <w:t>form may be found on the Board's website at https://ncchiroboard.com.</w:t>
      </w:r>
    </w:p>
    <w:p w14:paraId="74505967" w14:textId="77777777" w:rsidR="006A0BDB" w:rsidRPr="0045361F" w:rsidRDefault="006A0BDB" w:rsidP="001D2CEB">
      <w:pPr>
        <w:pStyle w:val="Paragraph"/>
      </w:pPr>
      <w:r w:rsidRPr="0045361F">
        <w:t>(b)  Petition Procedure. To petition the Board under this Rule, a person must submit to the Board's office a petition for predetermination that contains all of the following information:</w:t>
      </w:r>
    </w:p>
    <w:p w14:paraId="4982AB72" w14:textId="77777777" w:rsidR="006A0BDB" w:rsidRPr="0045361F" w:rsidRDefault="006A0BDB" w:rsidP="001D2CEB">
      <w:pPr>
        <w:pStyle w:val="SubParagraph"/>
        <w:tabs>
          <w:tab w:val="clear" w:pos="1800"/>
        </w:tabs>
      </w:pPr>
      <w:r w:rsidRPr="0045361F">
        <w:t>(1)</w:t>
      </w:r>
      <w:r w:rsidRPr="0045361F">
        <w:tab/>
        <w:t>The person's</w:t>
      </w:r>
      <w:r>
        <w:t xml:space="preserve"> </w:t>
      </w:r>
      <w:r w:rsidRPr="0045361F">
        <w:t>name;</w:t>
      </w:r>
    </w:p>
    <w:p w14:paraId="34F804F7" w14:textId="77777777" w:rsidR="006A0BDB" w:rsidRPr="0045361F" w:rsidRDefault="006A0BDB" w:rsidP="001D2CEB">
      <w:pPr>
        <w:pStyle w:val="SubParagraph"/>
        <w:tabs>
          <w:tab w:val="clear" w:pos="1800"/>
        </w:tabs>
      </w:pPr>
      <w:r w:rsidRPr="0045361F">
        <w:t>(2)</w:t>
      </w:r>
      <w:r w:rsidRPr="0045361F">
        <w:tab/>
        <w:t>The last four digits of the person's social security number;</w:t>
      </w:r>
    </w:p>
    <w:p w14:paraId="29E33553" w14:textId="77777777" w:rsidR="006A0BDB" w:rsidRPr="0045361F" w:rsidRDefault="006A0BDB" w:rsidP="001D2CEB">
      <w:pPr>
        <w:pStyle w:val="SubParagraph"/>
        <w:tabs>
          <w:tab w:val="clear" w:pos="1800"/>
        </w:tabs>
      </w:pPr>
      <w:r w:rsidRPr="0045361F">
        <w:t>(3)</w:t>
      </w:r>
      <w:r w:rsidRPr="0045361F">
        <w:tab/>
        <w:t>The person's current residential address;</w:t>
      </w:r>
    </w:p>
    <w:p w14:paraId="0C817078" w14:textId="77777777" w:rsidR="006A0BDB" w:rsidRPr="0045361F" w:rsidRDefault="006A0BDB" w:rsidP="001D2CEB">
      <w:pPr>
        <w:pStyle w:val="SubParagraph"/>
        <w:tabs>
          <w:tab w:val="clear" w:pos="1800"/>
        </w:tabs>
      </w:pPr>
      <w:r w:rsidRPr="0045361F">
        <w:t>(4)</w:t>
      </w:r>
      <w:r w:rsidRPr="0045361F">
        <w:tab/>
        <w:t>The person's current mailing address;</w:t>
      </w:r>
    </w:p>
    <w:p w14:paraId="5CC471BA" w14:textId="77777777" w:rsidR="006A0BDB" w:rsidRPr="0045361F" w:rsidRDefault="006A0BDB" w:rsidP="001D2CEB">
      <w:pPr>
        <w:pStyle w:val="SubParagraph"/>
        <w:tabs>
          <w:tab w:val="clear" w:pos="1800"/>
        </w:tabs>
      </w:pPr>
      <w:r w:rsidRPr="0045361F">
        <w:t>(5)</w:t>
      </w:r>
      <w:r w:rsidRPr="0045361F">
        <w:tab/>
        <w:t>A</w:t>
      </w:r>
      <w:r>
        <w:t xml:space="preserve"> </w:t>
      </w:r>
      <w:r w:rsidRPr="0045361F">
        <w:t>nationwide criminal history record report from the criminal records reporting service currently under contract with the Board;</w:t>
      </w:r>
    </w:p>
    <w:p w14:paraId="774BC701" w14:textId="77777777" w:rsidR="006A0BDB" w:rsidRPr="0045361F" w:rsidRDefault="006A0BDB" w:rsidP="001D2CEB">
      <w:pPr>
        <w:pStyle w:val="SubParagraph"/>
        <w:tabs>
          <w:tab w:val="clear" w:pos="1800"/>
        </w:tabs>
      </w:pPr>
      <w:r w:rsidRPr="0045361F">
        <w:t>(6)</w:t>
      </w:r>
      <w:r w:rsidRPr="0045361F">
        <w:tab/>
        <w:t>For each crime identified in the criminal history record report, the following information:</w:t>
      </w:r>
    </w:p>
    <w:p w14:paraId="311E7AC8" w14:textId="77777777" w:rsidR="006A0BDB" w:rsidRPr="0045361F" w:rsidRDefault="006A0BDB" w:rsidP="001D2CEB">
      <w:pPr>
        <w:pStyle w:val="Part"/>
      </w:pPr>
      <w:r w:rsidRPr="0045361F">
        <w:t>(A)</w:t>
      </w:r>
      <w:r>
        <w:tab/>
      </w:r>
      <w:r w:rsidRPr="0045361F">
        <w:t>Whether the crime was a felony or misdemeanor;</w:t>
      </w:r>
    </w:p>
    <w:p w14:paraId="79592996" w14:textId="77777777" w:rsidR="006A0BDB" w:rsidRPr="0045361F" w:rsidRDefault="006A0BDB" w:rsidP="001D2CEB">
      <w:pPr>
        <w:pStyle w:val="Part"/>
      </w:pPr>
      <w:r w:rsidRPr="0045361F">
        <w:t>(B)</w:t>
      </w:r>
      <w:r>
        <w:tab/>
      </w:r>
      <w:r w:rsidRPr="0045361F">
        <w:t>The date that the crime occurred;</w:t>
      </w:r>
    </w:p>
    <w:p w14:paraId="6C9D6503" w14:textId="77777777" w:rsidR="006A0BDB" w:rsidRPr="0045361F" w:rsidRDefault="006A0BDB" w:rsidP="001D2CEB">
      <w:pPr>
        <w:pStyle w:val="Part"/>
      </w:pPr>
      <w:r w:rsidRPr="0045361F">
        <w:t>(C)</w:t>
      </w:r>
      <w:r>
        <w:tab/>
      </w:r>
      <w:r w:rsidRPr="0045361F">
        <w:t>The date the person was convicted of, or plead guilty or nolo contendere to, the crime;</w:t>
      </w:r>
    </w:p>
    <w:p w14:paraId="6D39184D" w14:textId="77777777" w:rsidR="006A0BDB" w:rsidRPr="0045361F" w:rsidRDefault="006A0BDB" w:rsidP="001D2CEB">
      <w:pPr>
        <w:pStyle w:val="Part"/>
      </w:pPr>
      <w:r w:rsidRPr="0045361F">
        <w:t>(D)</w:t>
      </w:r>
      <w:r>
        <w:tab/>
      </w:r>
      <w:r w:rsidRPr="0045361F">
        <w:t>The age of the person at the time of the crime;</w:t>
      </w:r>
    </w:p>
    <w:p w14:paraId="426637AF" w14:textId="77777777" w:rsidR="006A0BDB" w:rsidRPr="0045361F" w:rsidRDefault="006A0BDB" w:rsidP="001D2CEB">
      <w:pPr>
        <w:pStyle w:val="Part"/>
      </w:pPr>
      <w:r w:rsidRPr="0045361F">
        <w:t>(E)</w:t>
      </w:r>
      <w:r>
        <w:tab/>
      </w:r>
      <w:r w:rsidRPr="0045361F">
        <w:t>The circumstances surrounding the commission of the crime;</w:t>
      </w:r>
    </w:p>
    <w:p w14:paraId="66731C33" w14:textId="77777777" w:rsidR="006A0BDB" w:rsidRPr="0045361F" w:rsidRDefault="006A0BDB" w:rsidP="001D2CEB">
      <w:pPr>
        <w:pStyle w:val="Part"/>
      </w:pPr>
      <w:r w:rsidRPr="0045361F">
        <w:t>(F)</w:t>
      </w:r>
      <w:r>
        <w:tab/>
      </w:r>
      <w:r w:rsidRPr="0045361F">
        <w:t>The sentence imposed for the crime;</w:t>
      </w:r>
    </w:p>
    <w:p w14:paraId="690DB262" w14:textId="77777777" w:rsidR="006A0BDB" w:rsidRPr="0045361F" w:rsidRDefault="006A0BDB" w:rsidP="001D2CEB">
      <w:pPr>
        <w:pStyle w:val="Part"/>
      </w:pPr>
      <w:r w:rsidRPr="0045361F">
        <w:t>(G)</w:t>
      </w:r>
      <w:r w:rsidRPr="0045361F">
        <w:tab/>
        <w:t>The period of time during which the person was incarcerated for the crime;</w:t>
      </w:r>
    </w:p>
    <w:p w14:paraId="4D813BFB" w14:textId="77777777" w:rsidR="006A0BDB" w:rsidRPr="0045361F" w:rsidRDefault="006A0BDB" w:rsidP="001D2CEB">
      <w:pPr>
        <w:pStyle w:val="Part"/>
      </w:pPr>
      <w:r w:rsidRPr="0045361F">
        <w:t>(H)</w:t>
      </w:r>
      <w:r>
        <w:tab/>
      </w:r>
      <w:r w:rsidRPr="0045361F">
        <w:t>The period of time during which the person was on probation or parole for the crime;</w:t>
      </w:r>
    </w:p>
    <w:p w14:paraId="71E6F8FA" w14:textId="77777777" w:rsidR="006A0BDB" w:rsidRPr="0045361F" w:rsidRDefault="006A0BDB" w:rsidP="001D2CEB">
      <w:pPr>
        <w:pStyle w:val="Part"/>
      </w:pPr>
      <w:r w:rsidRPr="0045361F">
        <w:t>(I)</w:t>
      </w:r>
      <w:r>
        <w:tab/>
      </w:r>
      <w:r w:rsidRPr="0045361F">
        <w:t>Any documentation related to the person's rehabilitation or employment since the date of</w:t>
      </w:r>
      <w:r>
        <w:t xml:space="preserve"> </w:t>
      </w:r>
      <w:r w:rsidRPr="0045361F">
        <w:t>the crime;</w:t>
      </w:r>
    </w:p>
    <w:p w14:paraId="44EA8522" w14:textId="77777777" w:rsidR="006A0BDB" w:rsidRPr="0045361F" w:rsidRDefault="006A0BDB" w:rsidP="001D2CEB">
      <w:pPr>
        <w:pStyle w:val="Part"/>
      </w:pPr>
      <w:r w:rsidRPr="0045361F">
        <w:t>(J)</w:t>
      </w:r>
      <w:r>
        <w:tab/>
      </w:r>
      <w:r w:rsidRPr="0045361F">
        <w:t>Whether the person has undergone any rehabilitative drug or alcohol treatment since the date of the crime;</w:t>
      </w:r>
    </w:p>
    <w:p w14:paraId="74023BFF" w14:textId="77777777" w:rsidR="006A0BDB" w:rsidRPr="0045361F" w:rsidRDefault="006A0BDB" w:rsidP="001D2CEB">
      <w:pPr>
        <w:pStyle w:val="Part"/>
      </w:pPr>
      <w:r w:rsidRPr="0045361F">
        <w:t>(K)</w:t>
      </w:r>
      <w:r>
        <w:tab/>
      </w:r>
      <w:r w:rsidRPr="0045361F">
        <w:t>Whether a Certificate of Relief has been granted regarding the crime, pursuant to G.S. 15A 173.2; and</w:t>
      </w:r>
    </w:p>
    <w:p w14:paraId="14C48CE4" w14:textId="77777777" w:rsidR="006A0BDB" w:rsidRPr="0045361F" w:rsidRDefault="006A0BDB" w:rsidP="001D2CEB">
      <w:pPr>
        <w:pStyle w:val="Part"/>
      </w:pPr>
      <w:r w:rsidRPr="0045361F">
        <w:t>(L)</w:t>
      </w:r>
      <w:r>
        <w:tab/>
      </w:r>
      <w:r w:rsidRPr="0045361F">
        <w:t>Any affidavits or other written documents, including character references, for the person.</w:t>
      </w:r>
    </w:p>
    <w:p w14:paraId="535DC5FE" w14:textId="77777777" w:rsidR="006A0BDB" w:rsidRPr="0045361F" w:rsidRDefault="006A0BDB" w:rsidP="001D2CEB">
      <w:pPr>
        <w:pStyle w:val="SubParagraph"/>
        <w:tabs>
          <w:tab w:val="clear" w:pos="1800"/>
        </w:tabs>
      </w:pPr>
      <w:r w:rsidRPr="0045361F">
        <w:t>(7)</w:t>
      </w:r>
      <w:r w:rsidRPr="0045361F">
        <w:tab/>
        <w:t>An affirmation under oath that the person has read the Instructions for Submitting a Petition for Predetermination and the statutes and rules governing the practice of chiropractic and that the information contained in the petition is true and accurate.</w:t>
      </w:r>
    </w:p>
    <w:p w14:paraId="4F817FD5" w14:textId="77777777" w:rsidR="006A0BDB" w:rsidRPr="0045361F" w:rsidRDefault="006A0BDB" w:rsidP="001D2CEB">
      <w:pPr>
        <w:pStyle w:val="Paragraph"/>
      </w:pPr>
      <w:r w:rsidRPr="0045361F">
        <w:t>Incomplete petitions</w:t>
      </w:r>
      <w:r>
        <w:t xml:space="preserve"> </w:t>
      </w:r>
      <w:r w:rsidRPr="0045361F">
        <w:t>shall not be considered by the Board. If incomplete petitions received by the Board are not made complete within 30 days of receipt, the incomplete petitions will be returned to the person from whom the request was made.</w:t>
      </w:r>
    </w:p>
    <w:p w14:paraId="3611F10F" w14:textId="77777777" w:rsidR="006A0BDB" w:rsidRPr="0045361F" w:rsidRDefault="006A0BDB" w:rsidP="001D2CEB">
      <w:pPr>
        <w:pStyle w:val="Paragraph"/>
      </w:pPr>
      <w:r w:rsidRPr="0045361F">
        <w:t>(c)  Petition Fee. A non-refundable petition fee of forty-five dollars ($45.00) shall accompany each petition. This fee may be paid by credit card through the Board's website at https://ncchiroboard.com or by check made payable to the North Carolina Board of Chiropractic Examiners. Cash shall not be accepted.</w:t>
      </w:r>
    </w:p>
    <w:p w14:paraId="6959AEC1" w14:textId="77777777" w:rsidR="006A0BDB" w:rsidRPr="0045361F" w:rsidRDefault="006A0BDB" w:rsidP="001D2CEB">
      <w:pPr>
        <w:pStyle w:val="Paragraph"/>
      </w:pPr>
      <w:r w:rsidRPr="0045361F">
        <w:t>(d)  Delegation of Authority for Predetermination. The Board delegates authority for rendering predeterminations under this Rule to the Chiropractic Review Committee.</w:t>
      </w:r>
    </w:p>
    <w:p w14:paraId="309207F1" w14:textId="77777777" w:rsidR="006A0BDB" w:rsidRPr="0045361F" w:rsidRDefault="006A0BDB" w:rsidP="001D2CEB">
      <w:pPr>
        <w:pStyle w:val="Base"/>
      </w:pPr>
    </w:p>
    <w:p w14:paraId="6D477C9E" w14:textId="77777777" w:rsidR="006A0BDB" w:rsidRPr="0045361F" w:rsidRDefault="006A0BDB" w:rsidP="001D2CEB">
      <w:pPr>
        <w:pStyle w:val="History"/>
      </w:pPr>
      <w:r w:rsidRPr="0045361F">
        <w:t>History Note:</w:t>
      </w:r>
      <w:r w:rsidRPr="0045361F">
        <w:tab/>
        <w:t>Authority G.S. 90-142; 90-143.3; 90-154; 93B-8.1;</w:t>
      </w:r>
    </w:p>
    <w:p w14:paraId="6A84B1F5" w14:textId="77777777" w:rsidR="006A0BDB" w:rsidRPr="0045361F" w:rsidRDefault="006A0BDB" w:rsidP="001D2CEB">
      <w:pPr>
        <w:pStyle w:val="HistoryAfter"/>
      </w:pPr>
      <w:r w:rsidRPr="0045361F">
        <w:t>Eff. January 1, 2020.</w:t>
      </w:r>
    </w:p>
    <w:p w14:paraId="7FABE7E1" w14:textId="77777777" w:rsidR="006A0BDB" w:rsidRPr="0045361F" w:rsidRDefault="006A0BDB" w:rsidP="001D2CEB">
      <w:pPr>
        <w:pStyle w:val="Base"/>
      </w:pPr>
    </w:p>
    <w:p w14:paraId="00EBA7D1" w14:textId="77777777" w:rsidR="006A0BDB" w:rsidRPr="004831A3" w:rsidRDefault="006A0BDB" w:rsidP="001D2CEB">
      <w:pPr>
        <w:pStyle w:val="Rule"/>
      </w:pPr>
      <w:r w:rsidRPr="004831A3">
        <w:lastRenderedPageBreak/>
        <w:t>21 NCAC 10 .0302</w:t>
      </w:r>
      <w:r w:rsidRPr="004831A3">
        <w:tab/>
        <w:t>ADVERTISING AND PUBLICITY</w:t>
      </w:r>
    </w:p>
    <w:p w14:paraId="6B91A0D0" w14:textId="77777777" w:rsidR="006A0BDB" w:rsidRPr="004831A3" w:rsidRDefault="006A0BDB" w:rsidP="001D2CEB">
      <w:pPr>
        <w:pStyle w:val="Paragraph"/>
      </w:pPr>
      <w:r w:rsidRPr="004831A3">
        <w:t>(a)  Methods of Professional Identification. Methods of professional identification that are compliant with G.S. 90-154.2(4) include:</w:t>
      </w:r>
    </w:p>
    <w:p w14:paraId="4CD34BFE" w14:textId="77777777" w:rsidR="006A0BDB" w:rsidRPr="004831A3" w:rsidRDefault="006A0BDB" w:rsidP="001D2CEB">
      <w:pPr>
        <w:pStyle w:val="SubParagraph"/>
        <w:tabs>
          <w:tab w:val="clear" w:pos="1800"/>
        </w:tabs>
      </w:pPr>
      <w:r w:rsidRPr="004831A3">
        <w:t>(1)</w:t>
      </w:r>
      <w:r w:rsidRPr="004831A3">
        <w:tab/>
        <w:t>Signs. Signs may be placed on exterior doors, windows or walls of the licentiate's office or at entrances to the building in which his office is located.</w:t>
      </w:r>
    </w:p>
    <w:p w14:paraId="61171B06" w14:textId="77777777" w:rsidR="006A0BDB" w:rsidRPr="004831A3" w:rsidRDefault="006A0BDB" w:rsidP="001D2CEB">
      <w:pPr>
        <w:pStyle w:val="SubParagraph"/>
        <w:tabs>
          <w:tab w:val="clear" w:pos="1800"/>
        </w:tabs>
      </w:pPr>
      <w:r w:rsidRPr="004831A3">
        <w:t>(2)</w:t>
      </w:r>
      <w:r w:rsidRPr="004831A3">
        <w:tab/>
        <w:t>Stationery. A licentiate may identify himself on his stationery and mailing literature using the terms permitted by this Rule.</w:t>
      </w:r>
    </w:p>
    <w:p w14:paraId="4E74A785" w14:textId="77777777" w:rsidR="006A0BDB" w:rsidRPr="004831A3" w:rsidRDefault="006A0BDB" w:rsidP="001D2CEB">
      <w:pPr>
        <w:pStyle w:val="Paragraph"/>
      </w:pPr>
      <w:r w:rsidRPr="004831A3">
        <w:t>(b)  Prohibited Advertising. The following shall constitute false or misleading advertising in violation of G.S. 90-154(b)(1):</w:t>
      </w:r>
    </w:p>
    <w:p w14:paraId="6C4B7A32" w14:textId="77777777" w:rsidR="006A0BDB" w:rsidRPr="004831A3" w:rsidRDefault="006A0BDB" w:rsidP="001D2CEB">
      <w:pPr>
        <w:pStyle w:val="SubParagraph"/>
        <w:tabs>
          <w:tab w:val="clear" w:pos="1800"/>
        </w:tabs>
      </w:pPr>
      <w:r w:rsidRPr="004831A3">
        <w:t>(1)</w:t>
      </w:r>
      <w:r w:rsidRPr="004831A3">
        <w:tab/>
        <w:t>Advertising that purports to guarantee a beneficial result from chiropractic treatment.</w:t>
      </w:r>
    </w:p>
    <w:p w14:paraId="269BCB0C" w14:textId="77777777" w:rsidR="006A0BDB" w:rsidRPr="004831A3" w:rsidRDefault="006A0BDB" w:rsidP="001D2CEB">
      <w:pPr>
        <w:pStyle w:val="SubParagraph"/>
        <w:tabs>
          <w:tab w:val="clear" w:pos="1800"/>
        </w:tabs>
      </w:pPr>
      <w:r w:rsidRPr="004831A3">
        <w:t>(2)</w:t>
      </w:r>
      <w:r w:rsidRPr="004831A3">
        <w:tab/>
        <w:t>Advertising that promotes a treatment, therapy, or service that constitutes unacceptable care or</w:t>
      </w:r>
      <w:r>
        <w:t xml:space="preserve"> </w:t>
      </w:r>
      <w:r w:rsidRPr="004831A3">
        <w:t>the scope of</w:t>
      </w:r>
      <w:r>
        <w:t xml:space="preserve"> </w:t>
      </w:r>
      <w:r w:rsidRPr="004831A3">
        <w:t>practice as set forth in G.S. 90-143(a) and G.S. 90-151.</w:t>
      </w:r>
    </w:p>
    <w:p w14:paraId="41C96101" w14:textId="77777777" w:rsidR="006A0BDB" w:rsidRPr="004831A3" w:rsidRDefault="006A0BDB" w:rsidP="001D2CEB">
      <w:pPr>
        <w:pStyle w:val="SubParagraph"/>
        <w:tabs>
          <w:tab w:val="clear" w:pos="1800"/>
        </w:tabs>
      </w:pPr>
      <w:r w:rsidRPr="004831A3">
        <w:t>(3)</w:t>
      </w:r>
      <w:r w:rsidRPr="004831A3">
        <w:tab/>
        <w:t>Advertising in which the licentiate is identified as a specialist, unless the licentiate has complied with the requirements of 21 NCAC 10 .0304, and any reference to the specialty is immediately preceded by the term "chiropractic." Illustrations are as follows:</w:t>
      </w:r>
    </w:p>
    <w:p w14:paraId="659B2E71" w14:textId="77777777" w:rsidR="006A0BDB" w:rsidRPr="004831A3" w:rsidRDefault="006A0BDB" w:rsidP="001D2CEB">
      <w:pPr>
        <w:pStyle w:val="Part"/>
        <w:tabs>
          <w:tab w:val="clear" w:pos="2520"/>
        </w:tabs>
      </w:pPr>
      <w:r w:rsidRPr="004831A3">
        <w:t>(A)</w:t>
      </w:r>
      <w:r w:rsidRPr="004831A3">
        <w:tab/>
        <w:t>"Pediatrics" standing alone is deemed false or misleading; "chiropractic pediatrics" conforms to this Rule; and</w:t>
      </w:r>
    </w:p>
    <w:p w14:paraId="0D517F0B" w14:textId="77777777" w:rsidR="006A0BDB" w:rsidRPr="004831A3" w:rsidRDefault="006A0BDB" w:rsidP="001D2CEB">
      <w:pPr>
        <w:pStyle w:val="Part"/>
        <w:tabs>
          <w:tab w:val="clear" w:pos="2520"/>
        </w:tabs>
      </w:pPr>
      <w:r w:rsidRPr="004831A3">
        <w:t>(B)</w:t>
      </w:r>
      <w:r w:rsidRPr="004831A3">
        <w:tab/>
        <w:t>"Neurologist" standing alone is deemed false or misleading; "chiropractic neurologist" conforms to this Rule.</w:t>
      </w:r>
    </w:p>
    <w:p w14:paraId="0A83823F" w14:textId="77777777" w:rsidR="006A0BDB" w:rsidRPr="004831A3" w:rsidRDefault="006A0BDB" w:rsidP="001D2CEB">
      <w:pPr>
        <w:pStyle w:val="SubParagraph"/>
        <w:tabs>
          <w:tab w:val="clear" w:pos="1800"/>
        </w:tabs>
      </w:pPr>
      <w:r w:rsidRPr="004831A3">
        <w:t>(4)</w:t>
      </w:r>
      <w:r w:rsidRPr="004831A3">
        <w:tab/>
        <w:t>Advertising</w:t>
      </w:r>
      <w:r>
        <w:t xml:space="preserve"> </w:t>
      </w:r>
      <w:r w:rsidRPr="004831A3">
        <w:t>that implies the licensee holds an additional license(s) in North Carolina not so held, including but not limited to a medical physician, physical therapist, massage therapist, or acupuncturist.</w:t>
      </w:r>
    </w:p>
    <w:p w14:paraId="722855AB" w14:textId="77777777" w:rsidR="006A0BDB" w:rsidRPr="004831A3" w:rsidRDefault="006A0BDB" w:rsidP="001D2CEB">
      <w:pPr>
        <w:pStyle w:val="Base"/>
      </w:pPr>
    </w:p>
    <w:p w14:paraId="106B7676" w14:textId="77777777" w:rsidR="006A0BDB" w:rsidRPr="004831A3" w:rsidRDefault="006A0BDB" w:rsidP="001D2CEB">
      <w:pPr>
        <w:pStyle w:val="History"/>
      </w:pPr>
      <w:r w:rsidRPr="004831A3">
        <w:t>History Note:</w:t>
      </w:r>
      <w:r w:rsidRPr="004831A3">
        <w:tab/>
        <w:t>Authority G.S. 90</w:t>
      </w:r>
      <w:r w:rsidRPr="004831A3">
        <w:noBreakHyphen/>
        <w:t>142; 90</w:t>
      </w:r>
      <w:r w:rsidRPr="004831A3">
        <w:noBreakHyphen/>
        <w:t>154;</w:t>
      </w:r>
    </w:p>
    <w:p w14:paraId="05AC51BB" w14:textId="77777777" w:rsidR="006A0BDB" w:rsidRPr="004831A3" w:rsidRDefault="006A0BDB" w:rsidP="001D2CEB">
      <w:pPr>
        <w:pStyle w:val="HistoryAfter"/>
      </w:pPr>
      <w:r w:rsidRPr="004831A3">
        <w:t>Eff. February 1, 1976;</w:t>
      </w:r>
    </w:p>
    <w:p w14:paraId="3EC823A3" w14:textId="77777777" w:rsidR="006A0BDB" w:rsidRPr="004831A3" w:rsidRDefault="006A0BDB" w:rsidP="001D2CEB">
      <w:pPr>
        <w:pStyle w:val="HistoryAfter"/>
      </w:pPr>
      <w:r w:rsidRPr="004831A3">
        <w:t>Readopted Eff. January 27, 1978;</w:t>
      </w:r>
    </w:p>
    <w:p w14:paraId="1F0C009B" w14:textId="77777777" w:rsidR="006A0BDB" w:rsidRPr="004831A3" w:rsidRDefault="006A0BDB" w:rsidP="001D2CEB">
      <w:pPr>
        <w:pStyle w:val="HistoryAfter"/>
      </w:pPr>
      <w:r w:rsidRPr="004831A3">
        <w:t>Amended Eff. January 1, 1983; May 8, 1979;</w:t>
      </w:r>
    </w:p>
    <w:p w14:paraId="2A7FEC5D" w14:textId="77777777" w:rsidR="006A0BDB" w:rsidRPr="004831A3" w:rsidRDefault="006A0BDB" w:rsidP="001D2CEB">
      <w:pPr>
        <w:pStyle w:val="HistoryAfter"/>
      </w:pPr>
      <w:r w:rsidRPr="004831A3">
        <w:t>Legislative Objection Lodged Eff. January 31, 1983;</w:t>
      </w:r>
    </w:p>
    <w:p w14:paraId="089B6C27" w14:textId="77777777" w:rsidR="006A0BDB" w:rsidRPr="004831A3" w:rsidRDefault="006A0BDB" w:rsidP="001D2CEB">
      <w:pPr>
        <w:pStyle w:val="HistoryAfter"/>
      </w:pPr>
      <w:r w:rsidRPr="004831A3">
        <w:t>Curative Amended Eff. February 28, 1983;</w:t>
      </w:r>
    </w:p>
    <w:p w14:paraId="4D90C8C4" w14:textId="77777777" w:rsidR="006A0BDB" w:rsidRPr="004831A3" w:rsidRDefault="006A0BDB" w:rsidP="001D2CEB">
      <w:pPr>
        <w:pStyle w:val="HistoryAfter"/>
      </w:pPr>
      <w:r w:rsidRPr="004831A3">
        <w:t>Curative Amended Eff. March 2, 1983;</w:t>
      </w:r>
    </w:p>
    <w:p w14:paraId="4672F4AC" w14:textId="77777777" w:rsidR="006A0BDB" w:rsidRPr="004831A3" w:rsidRDefault="006A0BDB" w:rsidP="001D2CEB">
      <w:pPr>
        <w:pStyle w:val="HistoryAfter"/>
      </w:pPr>
      <w:r w:rsidRPr="004831A3">
        <w:t>Amended Eff. November 1, 2007; December 1, 1988;</w:t>
      </w:r>
    </w:p>
    <w:p w14:paraId="432152C9" w14:textId="77777777" w:rsidR="006A0BDB" w:rsidRPr="004831A3" w:rsidRDefault="006A0BDB" w:rsidP="001D2CEB">
      <w:pPr>
        <w:pStyle w:val="HistoryAfter"/>
      </w:pPr>
      <w:r w:rsidRPr="004831A3">
        <w:t>Pursuant to G.S. 150B-21.3A, rule is necessary without substantive public interest Eff. April 27, 2019;</w:t>
      </w:r>
    </w:p>
    <w:p w14:paraId="7071BCDD" w14:textId="77777777" w:rsidR="006A0BDB" w:rsidRPr="004831A3" w:rsidRDefault="006A0BDB" w:rsidP="001D2CEB">
      <w:pPr>
        <w:pStyle w:val="HistoryAfter"/>
      </w:pPr>
      <w:r w:rsidRPr="004831A3">
        <w:t>Amended Eff. January 1, 2020.</w:t>
      </w:r>
    </w:p>
    <w:p w14:paraId="56674DF0" w14:textId="77777777" w:rsidR="006A0BDB" w:rsidRPr="004831A3" w:rsidRDefault="006A0BDB" w:rsidP="001D2CEB">
      <w:pPr>
        <w:pStyle w:val="Base"/>
      </w:pPr>
    </w:p>
    <w:p w14:paraId="5425E081" w14:textId="77777777" w:rsidR="006A0BDB" w:rsidRPr="00AB0C2B" w:rsidRDefault="006A0BDB" w:rsidP="001D2CEB">
      <w:pPr>
        <w:pStyle w:val="Rule"/>
      </w:pPr>
      <w:r w:rsidRPr="00AB0C2B">
        <w:t>21 NCAC 10 .0401</w:t>
      </w:r>
      <w:r w:rsidRPr="00AB0C2B">
        <w:tab/>
        <w:t>PETITIONS FOR ADOPTION OF RULES</w:t>
      </w:r>
    </w:p>
    <w:p w14:paraId="4C22996B" w14:textId="77777777" w:rsidR="006A0BDB" w:rsidRPr="00AB0C2B" w:rsidRDefault="006A0BDB" w:rsidP="001D2CEB">
      <w:pPr>
        <w:pStyle w:val="Paragraph"/>
      </w:pPr>
      <w:r w:rsidRPr="00AB0C2B">
        <w:t>Submission. Rule</w:t>
      </w:r>
      <w:r w:rsidRPr="00AB0C2B">
        <w:noBreakHyphen/>
        <w:t>making petitions shall be sent to the president of the Board and shall state the petitioner's name and address, and shall contain the information required in G.S. 150B-20(a). The petitioner also may submit the following additional information:</w:t>
      </w:r>
    </w:p>
    <w:p w14:paraId="66646E91" w14:textId="77777777" w:rsidR="006A0BDB" w:rsidRPr="00AB0C2B" w:rsidRDefault="006A0BDB" w:rsidP="001D2CEB">
      <w:pPr>
        <w:pStyle w:val="Item"/>
        <w:tabs>
          <w:tab w:val="clear" w:pos="1800"/>
        </w:tabs>
      </w:pPr>
      <w:r w:rsidRPr="00AB0C2B">
        <w:t>(1)</w:t>
      </w:r>
      <w:r w:rsidRPr="00AB0C2B">
        <w:tab/>
        <w:t>the reason for its proposal;</w:t>
      </w:r>
    </w:p>
    <w:p w14:paraId="35F2A291" w14:textId="77777777" w:rsidR="006A0BDB" w:rsidRPr="00AB0C2B" w:rsidRDefault="006A0BDB" w:rsidP="001D2CEB">
      <w:pPr>
        <w:pStyle w:val="Item"/>
        <w:tabs>
          <w:tab w:val="clear" w:pos="1800"/>
        </w:tabs>
      </w:pPr>
      <w:r w:rsidRPr="00AB0C2B">
        <w:t>(2)</w:t>
      </w:r>
      <w:r w:rsidRPr="00AB0C2B">
        <w:tab/>
        <w:t>data supporting the proposed rule;</w:t>
      </w:r>
    </w:p>
    <w:p w14:paraId="3853721D" w14:textId="77777777" w:rsidR="006A0BDB" w:rsidRPr="00AB0C2B" w:rsidRDefault="006A0BDB" w:rsidP="001D2CEB">
      <w:pPr>
        <w:pStyle w:val="Item"/>
        <w:tabs>
          <w:tab w:val="clear" w:pos="1800"/>
        </w:tabs>
      </w:pPr>
      <w:r w:rsidRPr="00AB0C2B">
        <w:t>(3)</w:t>
      </w:r>
      <w:r w:rsidRPr="00AB0C2B">
        <w:tab/>
        <w:t>practices likely to be affected by the proposed rule;</w:t>
      </w:r>
    </w:p>
    <w:p w14:paraId="744D896A" w14:textId="77777777" w:rsidR="006A0BDB" w:rsidRPr="00AB0C2B" w:rsidRDefault="006A0BDB" w:rsidP="001D2CEB">
      <w:pPr>
        <w:pStyle w:val="Item"/>
        <w:tabs>
          <w:tab w:val="clear" w:pos="1800"/>
        </w:tabs>
      </w:pPr>
      <w:r w:rsidRPr="00AB0C2B">
        <w:t>(4)</w:t>
      </w:r>
      <w:r w:rsidRPr="00AB0C2B">
        <w:tab/>
        <w:t>persons likely to be affected by the proposed rule.</w:t>
      </w:r>
    </w:p>
    <w:p w14:paraId="5D9DA144" w14:textId="77777777" w:rsidR="006A0BDB" w:rsidRPr="00AB0C2B" w:rsidRDefault="006A0BDB" w:rsidP="001D2CEB">
      <w:pPr>
        <w:pStyle w:val="Base"/>
      </w:pPr>
    </w:p>
    <w:p w14:paraId="03408DFD" w14:textId="77777777" w:rsidR="006A0BDB" w:rsidRPr="00AB0C2B" w:rsidRDefault="006A0BDB" w:rsidP="001D2CEB">
      <w:pPr>
        <w:pStyle w:val="History"/>
      </w:pPr>
      <w:r w:rsidRPr="00AB0C2B">
        <w:t>History Note:</w:t>
      </w:r>
      <w:r w:rsidRPr="00AB0C2B">
        <w:tab/>
        <w:t>Authority G.S. 90</w:t>
      </w:r>
      <w:r w:rsidRPr="00AB0C2B">
        <w:noBreakHyphen/>
        <w:t>142; 150B-20;</w:t>
      </w:r>
    </w:p>
    <w:p w14:paraId="5E93E60B" w14:textId="77777777" w:rsidR="006A0BDB" w:rsidRPr="00AB0C2B" w:rsidRDefault="006A0BDB" w:rsidP="001D2CEB">
      <w:pPr>
        <w:pStyle w:val="HistoryAfter"/>
      </w:pPr>
      <w:r w:rsidRPr="00AB0C2B">
        <w:t>Eff. February 1, 1976;</w:t>
      </w:r>
    </w:p>
    <w:p w14:paraId="6AED2A9C" w14:textId="77777777" w:rsidR="006A0BDB" w:rsidRPr="00AB0C2B" w:rsidRDefault="006A0BDB" w:rsidP="001D2CEB">
      <w:pPr>
        <w:pStyle w:val="HistoryAfter"/>
      </w:pPr>
      <w:r w:rsidRPr="00AB0C2B">
        <w:t>Readopted Eff. January 27, 1978;</w:t>
      </w:r>
    </w:p>
    <w:p w14:paraId="278881C2" w14:textId="77777777" w:rsidR="006A0BDB" w:rsidRPr="00AB0C2B" w:rsidRDefault="006A0BDB" w:rsidP="001D2CEB">
      <w:pPr>
        <w:pStyle w:val="HistoryAfter"/>
      </w:pPr>
      <w:r w:rsidRPr="00AB0C2B">
        <w:t>Amended Eff. December 1, 1988;</w:t>
      </w:r>
    </w:p>
    <w:p w14:paraId="3AE6B649" w14:textId="77777777" w:rsidR="006A0BDB" w:rsidRPr="00AB0C2B" w:rsidRDefault="006A0BDB" w:rsidP="001D2CEB">
      <w:pPr>
        <w:pStyle w:val="HistoryAfter"/>
      </w:pPr>
      <w:r w:rsidRPr="00AB0C2B">
        <w:t>Pursuant to G.S. 150B-21.3A, rule is necessary without substantive public interest Eff. April 27, 2019;</w:t>
      </w:r>
    </w:p>
    <w:p w14:paraId="3FEBDAF2" w14:textId="77777777" w:rsidR="006A0BDB" w:rsidRDefault="006A0BDB" w:rsidP="001D2CEB">
      <w:pPr>
        <w:pStyle w:val="HistoryAfter"/>
      </w:pPr>
      <w:r w:rsidRPr="00AB0C2B">
        <w:t>Amended Eff. January 1, 2020.</w:t>
      </w:r>
    </w:p>
    <w:p w14:paraId="563B5A3E" w14:textId="77777777" w:rsidR="006A0BDB" w:rsidRPr="00D72643" w:rsidRDefault="006A0BDB" w:rsidP="001D2CEB">
      <w:pPr>
        <w:pStyle w:val="Base"/>
      </w:pPr>
    </w:p>
    <w:p w14:paraId="3E01DEAE" w14:textId="77777777" w:rsidR="006A0BDB" w:rsidRPr="000E4A25" w:rsidRDefault="006A0BDB" w:rsidP="001D2CEB">
      <w:pPr>
        <w:pStyle w:val="Rule"/>
      </w:pPr>
      <w:r w:rsidRPr="000E4A25">
        <w:t>21 NCAC 10 .0403</w:t>
      </w:r>
      <w:r w:rsidRPr="000E4A25">
        <w:tab/>
        <w:t>ORAL PRESENTATIONS AT PUBLIC RULE-MAKING HEARINGS</w:t>
      </w:r>
    </w:p>
    <w:p w14:paraId="68C8911A" w14:textId="77777777" w:rsidR="006A0BDB" w:rsidRPr="000E4A25" w:rsidRDefault="006A0BDB" w:rsidP="001D2CEB">
      <w:pPr>
        <w:pStyle w:val="Paragraph"/>
      </w:pPr>
      <w:r w:rsidRPr="000E4A25">
        <w:t>Oral Presentations at Public Hearing. Any public rule</w:t>
      </w:r>
      <w:r w:rsidRPr="000E4A25">
        <w:noBreakHyphen/>
        <w:t>making hearing required by Article 2A of Chapter 150 of the North Carolina General Statutes shall be conducted by the President of the Board or by any person he or she may delegate. Oral presentations shall not exceed 15 minutes.</w:t>
      </w:r>
    </w:p>
    <w:p w14:paraId="71736EC1" w14:textId="77777777" w:rsidR="006A0BDB" w:rsidRPr="000E4A25" w:rsidRDefault="006A0BDB" w:rsidP="001D2CEB">
      <w:pPr>
        <w:pStyle w:val="Base"/>
      </w:pPr>
    </w:p>
    <w:p w14:paraId="746CD9EC" w14:textId="77777777" w:rsidR="006A0BDB" w:rsidRPr="000E4A25" w:rsidRDefault="006A0BDB" w:rsidP="001D2CEB">
      <w:pPr>
        <w:pStyle w:val="History"/>
      </w:pPr>
      <w:r w:rsidRPr="000E4A25">
        <w:t>History Note:</w:t>
      </w:r>
      <w:r w:rsidRPr="000E4A25">
        <w:tab/>
        <w:t>Authority G.S. 90-142; 150B-21.1A; 150B-21.2;</w:t>
      </w:r>
    </w:p>
    <w:p w14:paraId="0EF11DA9" w14:textId="77777777" w:rsidR="006A0BDB" w:rsidRPr="000E4A25" w:rsidRDefault="006A0BDB" w:rsidP="001D2CEB">
      <w:pPr>
        <w:pStyle w:val="HistoryAfter"/>
      </w:pPr>
      <w:r w:rsidRPr="000E4A25">
        <w:t>Eff. February 1, 1976;</w:t>
      </w:r>
    </w:p>
    <w:p w14:paraId="530B97A9" w14:textId="77777777" w:rsidR="006A0BDB" w:rsidRPr="000E4A25" w:rsidRDefault="006A0BDB" w:rsidP="001D2CEB">
      <w:pPr>
        <w:pStyle w:val="HistoryAfter"/>
      </w:pPr>
      <w:r w:rsidRPr="000E4A25">
        <w:t>Readopted Eff. January 27, 1978;</w:t>
      </w:r>
    </w:p>
    <w:p w14:paraId="7EC6223B" w14:textId="77777777" w:rsidR="006A0BDB" w:rsidRPr="000E4A25" w:rsidRDefault="006A0BDB" w:rsidP="001D2CEB">
      <w:pPr>
        <w:pStyle w:val="HistoryAfter"/>
      </w:pPr>
      <w:r w:rsidRPr="000E4A25">
        <w:t>Amended Eff. December 1, 1988;</w:t>
      </w:r>
    </w:p>
    <w:p w14:paraId="121C2A99" w14:textId="77777777" w:rsidR="006A0BDB" w:rsidRPr="000E4A25" w:rsidRDefault="006A0BDB" w:rsidP="001D2CEB">
      <w:pPr>
        <w:pStyle w:val="HistoryAfter"/>
      </w:pPr>
      <w:r w:rsidRPr="000E4A25">
        <w:t>Pursuant to G.S. 150B-21.3A, rule is necessary without substantive public interest Eff. April 27, 2019;</w:t>
      </w:r>
    </w:p>
    <w:p w14:paraId="5D9AD81E" w14:textId="77777777" w:rsidR="006A0BDB" w:rsidRPr="000E4A25" w:rsidRDefault="006A0BDB" w:rsidP="001D2CEB">
      <w:pPr>
        <w:pStyle w:val="HistoryAfter"/>
      </w:pPr>
      <w:r w:rsidRPr="000E4A25">
        <w:t>Amended Eff. January 1, 2020.</w:t>
      </w:r>
    </w:p>
    <w:p w14:paraId="1861DB01" w14:textId="77777777" w:rsidR="006A0BDB" w:rsidRDefault="006A0BDB" w:rsidP="001D2CEB">
      <w:pPr>
        <w:pStyle w:val="Base"/>
      </w:pPr>
    </w:p>
    <w:p w14:paraId="7D1B829C" w14:textId="77777777" w:rsidR="006A0BDB" w:rsidRPr="00EF6917" w:rsidRDefault="006A0BDB" w:rsidP="001D2CEB">
      <w:pPr>
        <w:pStyle w:val="Rule"/>
      </w:pPr>
      <w:r w:rsidRPr="00EF6917">
        <w:t>21 NCAC 10 .0406</w:t>
      </w:r>
      <w:r w:rsidRPr="00EF6917">
        <w:tab/>
        <w:t>DECLARATORY RULINGS</w:t>
      </w:r>
    </w:p>
    <w:p w14:paraId="236EA54B" w14:textId="77777777" w:rsidR="006A0BDB" w:rsidRPr="00EF6917" w:rsidRDefault="006A0BDB" w:rsidP="001D2CEB">
      <w:pPr>
        <w:pStyle w:val="Paragraph"/>
      </w:pPr>
      <w:r w:rsidRPr="00EF6917">
        <w:t>(a)  General. The Board shall respond to requests for declaratory rulings in accordance with G.S. 150B-4.</w:t>
      </w:r>
    </w:p>
    <w:p w14:paraId="66C7E338" w14:textId="77777777" w:rsidR="006A0BDB" w:rsidRPr="00EF6917" w:rsidRDefault="006A0BDB" w:rsidP="001D2CEB">
      <w:pPr>
        <w:pStyle w:val="Paragraph"/>
      </w:pPr>
      <w:r w:rsidRPr="00EF6917">
        <w:t>(b)  Request for Declaratory Ruling: Contents. A request for a declaratory ruling shall be in writing and addressed to the president. The request shall contain the following information:</w:t>
      </w:r>
    </w:p>
    <w:p w14:paraId="1D64C54B" w14:textId="77777777" w:rsidR="006A0BDB" w:rsidRPr="00EF6917" w:rsidRDefault="006A0BDB" w:rsidP="001D2CEB">
      <w:pPr>
        <w:pStyle w:val="SubParagraph"/>
        <w:tabs>
          <w:tab w:val="clear" w:pos="1800"/>
        </w:tabs>
      </w:pPr>
      <w:r w:rsidRPr="00EF6917">
        <w:t>(1)</w:t>
      </w:r>
      <w:r w:rsidRPr="00EF6917">
        <w:tab/>
        <w:t>The name and address of the person making the request;</w:t>
      </w:r>
    </w:p>
    <w:p w14:paraId="3DF1A1F1" w14:textId="77777777" w:rsidR="006A0BDB" w:rsidRPr="00EF6917" w:rsidRDefault="006A0BDB" w:rsidP="001D2CEB">
      <w:pPr>
        <w:pStyle w:val="SubParagraph"/>
        <w:tabs>
          <w:tab w:val="clear" w:pos="1800"/>
        </w:tabs>
      </w:pPr>
      <w:r w:rsidRPr="00EF6917">
        <w:t>(2)</w:t>
      </w:r>
      <w:r w:rsidRPr="00EF6917">
        <w:tab/>
        <w:t>The statute or rule to which the request relates;</w:t>
      </w:r>
    </w:p>
    <w:p w14:paraId="79DE7044" w14:textId="77777777" w:rsidR="006A0BDB" w:rsidRPr="00EF6917" w:rsidRDefault="006A0BDB" w:rsidP="001D2CEB">
      <w:pPr>
        <w:pStyle w:val="SubParagraph"/>
        <w:tabs>
          <w:tab w:val="clear" w:pos="1800"/>
        </w:tabs>
      </w:pPr>
      <w:r w:rsidRPr="00EF6917">
        <w:t>(3)</w:t>
      </w:r>
      <w:r w:rsidRPr="00EF6917">
        <w:tab/>
        <w:t>A statement of the manner in which the person has been aggrieved by the statute or rule; and</w:t>
      </w:r>
    </w:p>
    <w:p w14:paraId="6585D91C" w14:textId="77777777" w:rsidR="006A0BDB" w:rsidRPr="00EF6917" w:rsidRDefault="006A0BDB" w:rsidP="001D2CEB">
      <w:pPr>
        <w:pStyle w:val="SubParagraph"/>
        <w:tabs>
          <w:tab w:val="clear" w:pos="1800"/>
        </w:tabs>
      </w:pPr>
      <w:r w:rsidRPr="00EF6917">
        <w:t>(4)</w:t>
      </w:r>
      <w:r w:rsidRPr="00EF6917">
        <w:tab/>
        <w:t>A statement as to whether a hearing is desired, and if desired, the reason therefor.</w:t>
      </w:r>
    </w:p>
    <w:p w14:paraId="5AE7037A" w14:textId="77777777" w:rsidR="006A0BDB" w:rsidRPr="00EF6917" w:rsidRDefault="006A0BDB" w:rsidP="001D2CEB">
      <w:pPr>
        <w:pStyle w:val="Paragraph"/>
      </w:pPr>
      <w:r w:rsidRPr="00EF6917">
        <w:t>(c)  Refusal to Issue Ruling. The Board shall refuse to issue a declaratory ruling under the following circumstances:</w:t>
      </w:r>
    </w:p>
    <w:p w14:paraId="6B7D4645" w14:textId="77777777" w:rsidR="006A0BDB" w:rsidRPr="00EF6917" w:rsidRDefault="006A0BDB" w:rsidP="001D2CEB">
      <w:pPr>
        <w:pStyle w:val="SubParagraph"/>
        <w:tabs>
          <w:tab w:val="clear" w:pos="1800"/>
        </w:tabs>
      </w:pPr>
      <w:r w:rsidRPr="00EF6917">
        <w:t>(1)</w:t>
      </w:r>
      <w:r w:rsidRPr="00EF6917">
        <w:tab/>
        <w:t>When the Board has already made a controlling decision on similar facts in a contested case;</w:t>
      </w:r>
    </w:p>
    <w:p w14:paraId="3FFDB4EF" w14:textId="77777777" w:rsidR="006A0BDB" w:rsidRPr="00EF6917" w:rsidRDefault="006A0BDB" w:rsidP="001D2CEB">
      <w:pPr>
        <w:pStyle w:val="SubParagraph"/>
        <w:tabs>
          <w:tab w:val="clear" w:pos="1800"/>
        </w:tabs>
      </w:pPr>
      <w:r w:rsidRPr="00EF6917">
        <w:t>(2)</w:t>
      </w:r>
      <w:r w:rsidRPr="00EF6917">
        <w:tab/>
        <w:t>When the facts underlying the request for a ruling were considered at the time of the adoption of the rule in question; or</w:t>
      </w:r>
    </w:p>
    <w:p w14:paraId="03131603" w14:textId="77777777" w:rsidR="006A0BDB" w:rsidRPr="00EF6917" w:rsidRDefault="006A0BDB" w:rsidP="001D2CEB">
      <w:pPr>
        <w:pStyle w:val="SubParagraph"/>
        <w:tabs>
          <w:tab w:val="clear" w:pos="1800"/>
        </w:tabs>
      </w:pPr>
      <w:r w:rsidRPr="00EF6917">
        <w:t>(3)</w:t>
      </w:r>
      <w:r w:rsidRPr="00EF6917">
        <w:tab/>
        <w:t>When the subject matter of the request is involved in pending litigation in North Carolina.</w:t>
      </w:r>
    </w:p>
    <w:p w14:paraId="0E4014C2" w14:textId="77777777" w:rsidR="006A0BDB" w:rsidRPr="00EF6917" w:rsidRDefault="006A0BDB" w:rsidP="001D2CEB">
      <w:pPr>
        <w:pStyle w:val="Base"/>
      </w:pPr>
    </w:p>
    <w:p w14:paraId="4B691BA3" w14:textId="77777777" w:rsidR="006A0BDB" w:rsidRPr="00EF6917" w:rsidRDefault="006A0BDB" w:rsidP="001D2CEB">
      <w:pPr>
        <w:pStyle w:val="History"/>
      </w:pPr>
      <w:r w:rsidRPr="00EF6917">
        <w:t>History Note:</w:t>
      </w:r>
      <w:r w:rsidRPr="00EF6917">
        <w:tab/>
        <w:t>Authority G.S. 150B-4;</w:t>
      </w:r>
    </w:p>
    <w:p w14:paraId="1A561FCC" w14:textId="77777777" w:rsidR="006A0BDB" w:rsidRPr="00EF6917" w:rsidRDefault="006A0BDB" w:rsidP="001D2CEB">
      <w:pPr>
        <w:pStyle w:val="HistoryAfter"/>
      </w:pPr>
      <w:r w:rsidRPr="00EF6917">
        <w:t>Eff. February 1, 1976;</w:t>
      </w:r>
    </w:p>
    <w:p w14:paraId="750E97F1" w14:textId="77777777" w:rsidR="006A0BDB" w:rsidRPr="00EF6917" w:rsidRDefault="006A0BDB" w:rsidP="001D2CEB">
      <w:pPr>
        <w:pStyle w:val="HistoryAfter"/>
      </w:pPr>
      <w:r w:rsidRPr="00EF6917">
        <w:t>Readopted Eff. January 27, 1978;</w:t>
      </w:r>
    </w:p>
    <w:p w14:paraId="4BE7F9A7" w14:textId="77777777" w:rsidR="006A0BDB" w:rsidRPr="00EF6917" w:rsidRDefault="006A0BDB" w:rsidP="001D2CEB">
      <w:pPr>
        <w:pStyle w:val="HistoryAfter"/>
      </w:pPr>
      <w:r w:rsidRPr="00EF6917">
        <w:t>Amended Eff. January 1, 1983;</w:t>
      </w:r>
    </w:p>
    <w:p w14:paraId="1D615450" w14:textId="77777777" w:rsidR="006A0BDB" w:rsidRPr="00EF6917" w:rsidRDefault="006A0BDB" w:rsidP="001D2CEB">
      <w:pPr>
        <w:pStyle w:val="HistoryAfter"/>
      </w:pPr>
      <w:r w:rsidRPr="00EF6917">
        <w:t>Legislative Objection Lodged Eff. January 31, 1983;</w:t>
      </w:r>
    </w:p>
    <w:p w14:paraId="39EC2FF8" w14:textId="77777777" w:rsidR="006A0BDB" w:rsidRPr="00EF6917" w:rsidRDefault="006A0BDB" w:rsidP="001D2CEB">
      <w:pPr>
        <w:pStyle w:val="HistoryAfter"/>
      </w:pPr>
      <w:r w:rsidRPr="00EF6917">
        <w:lastRenderedPageBreak/>
        <w:t>Curative Amended Eff. February 28, 1983;</w:t>
      </w:r>
    </w:p>
    <w:p w14:paraId="34F90BB2" w14:textId="77777777" w:rsidR="006A0BDB" w:rsidRPr="00EF6917" w:rsidRDefault="006A0BDB" w:rsidP="001D2CEB">
      <w:pPr>
        <w:pStyle w:val="HistoryAfter"/>
      </w:pPr>
      <w:r w:rsidRPr="00EF6917">
        <w:t>Amended Eff. December 1, 1988;</w:t>
      </w:r>
    </w:p>
    <w:p w14:paraId="514273E5" w14:textId="77777777" w:rsidR="006A0BDB" w:rsidRPr="00EF6917" w:rsidRDefault="006A0BDB" w:rsidP="001D2CEB">
      <w:pPr>
        <w:pStyle w:val="HistoryAfter"/>
      </w:pPr>
      <w:r w:rsidRPr="00EF6917">
        <w:t>Pursuant to G.S. 150B-21.3A, rule is necessary without substantive public interest Eff. April 27, 2019;</w:t>
      </w:r>
    </w:p>
    <w:p w14:paraId="7D64F5EC" w14:textId="77777777" w:rsidR="006A0BDB" w:rsidRPr="00EF6917" w:rsidRDefault="006A0BDB" w:rsidP="001D2CEB">
      <w:pPr>
        <w:pStyle w:val="HistoryAfter"/>
      </w:pPr>
      <w:r w:rsidRPr="00EF6917">
        <w:t>Amended Eff. January 1, 2020.</w:t>
      </w:r>
    </w:p>
    <w:p w14:paraId="253B67DB" w14:textId="77777777" w:rsidR="006A0BDB" w:rsidRDefault="006A0BDB" w:rsidP="001D2CEB">
      <w:pPr>
        <w:pStyle w:val="Base"/>
      </w:pPr>
    </w:p>
    <w:p w14:paraId="730BFF9E" w14:textId="77777777" w:rsidR="006A0BDB" w:rsidRPr="0090481F" w:rsidRDefault="006A0BDB" w:rsidP="001D2CEB">
      <w:pPr>
        <w:pStyle w:val="Rule"/>
      </w:pPr>
      <w:r w:rsidRPr="0090481F">
        <w:t>21 NCAC 10 .0501</w:t>
      </w:r>
      <w:r w:rsidRPr="0090481F">
        <w:tab/>
        <w:t>FILING COMPLAINTS</w:t>
      </w:r>
    </w:p>
    <w:p w14:paraId="2E5A400B" w14:textId="77777777" w:rsidR="006A0BDB" w:rsidRPr="0090481F" w:rsidRDefault="006A0BDB" w:rsidP="001D2CEB">
      <w:pPr>
        <w:pStyle w:val="Paragraph"/>
      </w:pPr>
      <w:r w:rsidRPr="0090481F">
        <w:t>Any person who has reason to believe that a Doctor of Chiropractic has violated the laws governing chiropractic may file a complaint with the Board.</w:t>
      </w:r>
      <w:r>
        <w:t xml:space="preserve"> </w:t>
      </w:r>
      <w:r w:rsidRPr="0090481F">
        <w:t>Board</w:t>
      </w:r>
      <w:r>
        <w:t xml:space="preserve"> </w:t>
      </w:r>
      <w:r w:rsidRPr="0090481F">
        <w:t>Anyone wishing to file a complaint shall file a form with the Board office that contains the following information:</w:t>
      </w:r>
    </w:p>
    <w:p w14:paraId="5757B259" w14:textId="77777777" w:rsidR="006A0BDB" w:rsidRPr="0090481F" w:rsidRDefault="006A0BDB" w:rsidP="001D2CEB">
      <w:pPr>
        <w:pStyle w:val="Item"/>
        <w:tabs>
          <w:tab w:val="clear" w:pos="1800"/>
        </w:tabs>
      </w:pPr>
      <w:r w:rsidRPr="0090481F">
        <w:t>(1)</w:t>
      </w:r>
      <w:r w:rsidRPr="0090481F">
        <w:tab/>
        <w:t>the complainant's name and contact information;</w:t>
      </w:r>
    </w:p>
    <w:p w14:paraId="5A61DDB1" w14:textId="77777777" w:rsidR="006A0BDB" w:rsidRPr="0090481F" w:rsidRDefault="006A0BDB" w:rsidP="001D2CEB">
      <w:pPr>
        <w:pStyle w:val="Item"/>
        <w:tabs>
          <w:tab w:val="clear" w:pos="1800"/>
        </w:tabs>
      </w:pPr>
      <w:r w:rsidRPr="0090481F">
        <w:t>(2)</w:t>
      </w:r>
      <w:r w:rsidRPr="0090481F">
        <w:tab/>
        <w:t>the name and contact information of the person about which the complainant wishes to file the complaint;</w:t>
      </w:r>
    </w:p>
    <w:p w14:paraId="7782B593" w14:textId="77777777" w:rsidR="006A0BDB" w:rsidRPr="0090481F" w:rsidRDefault="006A0BDB" w:rsidP="001D2CEB">
      <w:pPr>
        <w:pStyle w:val="Item"/>
        <w:tabs>
          <w:tab w:val="clear" w:pos="1800"/>
        </w:tabs>
      </w:pPr>
      <w:r w:rsidRPr="0090481F">
        <w:t>(3)</w:t>
      </w:r>
      <w:r w:rsidRPr="0090481F">
        <w:tab/>
        <w:t>a narrative of the facts about which the complainant wishes to complain; and</w:t>
      </w:r>
    </w:p>
    <w:p w14:paraId="6C7CC648" w14:textId="77777777" w:rsidR="006A0BDB" w:rsidRPr="0090481F" w:rsidRDefault="006A0BDB" w:rsidP="001D2CEB">
      <w:pPr>
        <w:pStyle w:val="Item"/>
        <w:tabs>
          <w:tab w:val="clear" w:pos="1800"/>
        </w:tabs>
      </w:pPr>
      <w:r w:rsidRPr="0090481F">
        <w:t>(4)</w:t>
      </w:r>
      <w:r w:rsidRPr="0090481F">
        <w:tab/>
        <w:t>the complainant's signature and the date on which the complaint is made.</w:t>
      </w:r>
    </w:p>
    <w:p w14:paraId="09CF97FE" w14:textId="77777777" w:rsidR="006A0BDB" w:rsidRPr="0090481F" w:rsidRDefault="006A0BDB" w:rsidP="001D2CEB">
      <w:pPr>
        <w:pStyle w:val="Paragraph"/>
      </w:pPr>
      <w:r w:rsidRPr="0090481F">
        <w:t>The complaint form can be found on the Board's website at https://ncchiroboard.com/complaint-filing-process.</w:t>
      </w:r>
    </w:p>
    <w:p w14:paraId="7C06AB09" w14:textId="77777777" w:rsidR="006A0BDB" w:rsidRPr="0090481F" w:rsidRDefault="006A0BDB" w:rsidP="001D2CEB">
      <w:pPr>
        <w:pStyle w:val="Base"/>
      </w:pPr>
    </w:p>
    <w:p w14:paraId="26DC6837" w14:textId="77777777" w:rsidR="006A0BDB" w:rsidRPr="0090481F" w:rsidRDefault="006A0BDB" w:rsidP="001D2CEB">
      <w:pPr>
        <w:pStyle w:val="History"/>
      </w:pPr>
      <w:r w:rsidRPr="0090481F">
        <w:t>History Note:</w:t>
      </w:r>
      <w:r w:rsidRPr="0090481F">
        <w:tab/>
        <w:t>Authority G.S. 90</w:t>
      </w:r>
      <w:r w:rsidRPr="0090481F">
        <w:noBreakHyphen/>
        <w:t>142; 90</w:t>
      </w:r>
      <w:r w:rsidRPr="0090481F">
        <w:noBreakHyphen/>
        <w:t>154;</w:t>
      </w:r>
    </w:p>
    <w:p w14:paraId="7096C7D7" w14:textId="77777777" w:rsidR="006A0BDB" w:rsidRPr="0090481F" w:rsidRDefault="006A0BDB" w:rsidP="001D2CEB">
      <w:pPr>
        <w:pStyle w:val="HistoryAfter"/>
      </w:pPr>
      <w:r w:rsidRPr="0090481F">
        <w:t>Eff. February 1, 1976;</w:t>
      </w:r>
    </w:p>
    <w:p w14:paraId="637D7658" w14:textId="77777777" w:rsidR="006A0BDB" w:rsidRPr="0090481F" w:rsidRDefault="006A0BDB" w:rsidP="001D2CEB">
      <w:pPr>
        <w:pStyle w:val="HistoryAfter"/>
      </w:pPr>
      <w:r w:rsidRPr="0090481F">
        <w:t>Readopted Eff. January 27, 1978;</w:t>
      </w:r>
    </w:p>
    <w:p w14:paraId="5F31F5E5" w14:textId="77777777" w:rsidR="006A0BDB" w:rsidRPr="0090481F" w:rsidRDefault="006A0BDB" w:rsidP="001D2CEB">
      <w:pPr>
        <w:pStyle w:val="HistoryAfter"/>
      </w:pPr>
      <w:r w:rsidRPr="0090481F">
        <w:t>Amended Eff. December 1, 1988; January 1, 1983; December 20, 1979;</w:t>
      </w:r>
    </w:p>
    <w:p w14:paraId="1AB3298F" w14:textId="77777777" w:rsidR="006A0BDB" w:rsidRPr="0090481F" w:rsidRDefault="006A0BDB" w:rsidP="001D2CEB">
      <w:pPr>
        <w:pStyle w:val="HistoryAfter"/>
      </w:pPr>
      <w:r w:rsidRPr="0090481F">
        <w:t>Pursuant to G.S. 150B-21.3A, rule is necessary without substantive public interest Eff. April 27, 2019;</w:t>
      </w:r>
    </w:p>
    <w:p w14:paraId="664E24D8" w14:textId="77777777" w:rsidR="006A0BDB" w:rsidRPr="0090481F" w:rsidRDefault="006A0BDB" w:rsidP="001D2CEB">
      <w:pPr>
        <w:pStyle w:val="HistoryAfter"/>
      </w:pPr>
      <w:r w:rsidRPr="0090481F">
        <w:t>Amended Eff. January 1, 2020.</w:t>
      </w:r>
    </w:p>
    <w:p w14:paraId="5EE860C3" w14:textId="77777777" w:rsidR="006A0BDB" w:rsidRPr="0090481F" w:rsidRDefault="006A0BDB" w:rsidP="001D2CEB">
      <w:pPr>
        <w:pStyle w:val="Base"/>
      </w:pPr>
    </w:p>
    <w:p w14:paraId="13D50111" w14:textId="77777777" w:rsidR="006A0BDB" w:rsidRPr="006922FD" w:rsidRDefault="006A0BDB" w:rsidP="001D2CEB">
      <w:pPr>
        <w:pStyle w:val="Rule"/>
      </w:pPr>
      <w:r w:rsidRPr="006922FD">
        <w:t>21 NCAC 10 .0503</w:t>
      </w:r>
      <w:r w:rsidRPr="006922FD">
        <w:tab/>
        <w:t>DETERMINATION OF PROBABLE CAUSE</w:t>
      </w:r>
    </w:p>
    <w:p w14:paraId="6D96B60D" w14:textId="77777777" w:rsidR="006A0BDB" w:rsidRPr="006922FD" w:rsidRDefault="006A0BDB" w:rsidP="001D2CEB">
      <w:pPr>
        <w:pStyle w:val="Paragraph"/>
      </w:pPr>
      <w:r w:rsidRPr="006922FD">
        <w:t>(a)  General. Complaints deemed likely to have occurred, based on the findings of the Investigative Report, shall be referred to the Chiropractic Review Committee. The committee shall hold a hearing to determine whether there is probable cause to believe a violation of the laws governing Chiropractic has occurred.</w:t>
      </w:r>
    </w:p>
    <w:p w14:paraId="49D2F880" w14:textId="77777777" w:rsidR="006A0BDB" w:rsidRPr="006922FD" w:rsidRDefault="006A0BDB" w:rsidP="001D2CEB">
      <w:pPr>
        <w:pStyle w:val="Paragraph"/>
      </w:pPr>
      <w:r w:rsidRPr="006922FD">
        <w:t>(b)  Composition of Chiropractic Review Committee. The committee shall be composed of:</w:t>
      </w:r>
    </w:p>
    <w:p w14:paraId="3D941001" w14:textId="77777777" w:rsidR="006A0BDB" w:rsidRPr="006922FD" w:rsidRDefault="006A0BDB" w:rsidP="001D2CEB">
      <w:pPr>
        <w:pStyle w:val="SubParagraph"/>
        <w:tabs>
          <w:tab w:val="clear" w:pos="1800"/>
        </w:tabs>
      </w:pPr>
      <w:r w:rsidRPr="006922FD">
        <w:t>(1)</w:t>
      </w:r>
      <w:r w:rsidRPr="006922FD">
        <w:tab/>
        <w:t>the secretary of the Board of Examiners. If the secretary is unable to attend a specific probable cause hearing, he or she may designate another physician member of the Board to serve and assume his or her duties at said hearing;</w:t>
      </w:r>
    </w:p>
    <w:p w14:paraId="7436D778" w14:textId="77777777" w:rsidR="006A0BDB" w:rsidRPr="006922FD" w:rsidRDefault="006A0BDB" w:rsidP="001D2CEB">
      <w:pPr>
        <w:pStyle w:val="SubParagraph"/>
        <w:tabs>
          <w:tab w:val="clear" w:pos="1800"/>
        </w:tabs>
      </w:pPr>
      <w:r w:rsidRPr="006922FD">
        <w:t>(2)</w:t>
      </w:r>
      <w:r w:rsidRPr="006922FD">
        <w:tab/>
        <w:t>an alternate Board member. "Alternate Board member" means:</w:t>
      </w:r>
    </w:p>
    <w:p w14:paraId="76F50004" w14:textId="77777777" w:rsidR="006A0BDB" w:rsidRPr="006922FD" w:rsidRDefault="006A0BDB" w:rsidP="001D2CEB">
      <w:pPr>
        <w:pStyle w:val="Part"/>
        <w:tabs>
          <w:tab w:val="clear" w:pos="2520"/>
        </w:tabs>
      </w:pPr>
      <w:r w:rsidRPr="006922FD">
        <w:t>(A)</w:t>
      </w:r>
      <w:r w:rsidRPr="006922FD">
        <w:tab/>
        <w:t xml:space="preserve">a former Board member selected by the secretary; </w:t>
      </w:r>
    </w:p>
    <w:p w14:paraId="300E892C" w14:textId="77777777" w:rsidR="006A0BDB" w:rsidRPr="006922FD" w:rsidRDefault="006A0BDB" w:rsidP="001D2CEB">
      <w:pPr>
        <w:pStyle w:val="Part"/>
        <w:tabs>
          <w:tab w:val="clear" w:pos="2520"/>
        </w:tabs>
      </w:pPr>
      <w:r w:rsidRPr="006922FD">
        <w:t>(B)</w:t>
      </w:r>
      <w:r w:rsidRPr="006922FD">
        <w:tab/>
        <w:t>a current Board member selected by the secretary; or</w:t>
      </w:r>
    </w:p>
    <w:p w14:paraId="38B1303B" w14:textId="77777777" w:rsidR="006A0BDB" w:rsidRPr="006922FD" w:rsidRDefault="006A0BDB" w:rsidP="001D2CEB">
      <w:pPr>
        <w:pStyle w:val="Part"/>
        <w:tabs>
          <w:tab w:val="clear" w:pos="2520"/>
        </w:tabs>
      </w:pPr>
      <w:r w:rsidRPr="006922FD">
        <w:t>(C)</w:t>
      </w:r>
      <w:r w:rsidRPr="006922FD">
        <w:tab/>
        <w:t>a licensee selected by the secretary from among those who, at any election held pursuant to Rule .0103(c) of this Chapter, have been elected nominees for Board membership but not appointed to the Board.</w:t>
      </w:r>
    </w:p>
    <w:p w14:paraId="009419B6" w14:textId="77777777" w:rsidR="006A0BDB" w:rsidRPr="006922FD" w:rsidRDefault="006A0BDB" w:rsidP="001D2CEB">
      <w:pPr>
        <w:pStyle w:val="Paragraph"/>
      </w:pPr>
      <w:r w:rsidRPr="006922FD">
        <w:t>(c)  Notice of hearing. The secretary shall provide notice of the probable cause hearing in accordance with G.S. 150B-38(b).</w:t>
      </w:r>
    </w:p>
    <w:p w14:paraId="4CAAF92A" w14:textId="77777777" w:rsidR="006A0BDB" w:rsidRPr="006922FD" w:rsidRDefault="006A0BDB" w:rsidP="001D2CEB">
      <w:pPr>
        <w:pStyle w:val="Paragraph"/>
      </w:pPr>
      <w:r w:rsidRPr="006922FD">
        <w:t>(d)  Conduct of Probable Cause Hearing. The secretary, or designee per Subparagraph (b)(1)</w:t>
      </w:r>
      <w:r>
        <w:t xml:space="preserve"> </w:t>
      </w:r>
      <w:r w:rsidRPr="006922FD">
        <w:t>of this Rule, shall preside over the probable cause hearing. The Chiropractic Review Committee may consider evidence at the probable cause hearing that would not be admissible if offered at the hearing in a contested case.</w:t>
      </w:r>
    </w:p>
    <w:p w14:paraId="562593E1" w14:textId="77777777" w:rsidR="006A0BDB" w:rsidRPr="006922FD" w:rsidRDefault="006A0BDB" w:rsidP="001D2CEB">
      <w:pPr>
        <w:pStyle w:val="Paragraph"/>
      </w:pPr>
      <w:r w:rsidRPr="006922FD">
        <w:t>(e)  Action by the Chiropractic Review Committee. After examining the evidence presented at the probable cause hearing, the Chiropractic Review Committee shall dispose of each charge in a complaint as follows:</w:t>
      </w:r>
    </w:p>
    <w:p w14:paraId="7AA6F8F3" w14:textId="77777777" w:rsidR="006A0BDB" w:rsidRPr="006922FD" w:rsidRDefault="006A0BDB" w:rsidP="001D2CEB">
      <w:pPr>
        <w:pStyle w:val="SubParagraph"/>
        <w:tabs>
          <w:tab w:val="clear" w:pos="1800"/>
        </w:tabs>
      </w:pPr>
      <w:r w:rsidRPr="006922FD">
        <w:t>(1)</w:t>
      </w:r>
      <w:r w:rsidRPr="006922FD">
        <w:tab/>
        <w:t>If no probable cause exists to believe that a violation of G.S. 90-154 has occurred, the charge shall be dismissed;</w:t>
      </w:r>
    </w:p>
    <w:p w14:paraId="72A976CA" w14:textId="77777777" w:rsidR="006A0BDB" w:rsidRPr="006922FD" w:rsidRDefault="006A0BDB" w:rsidP="001D2CEB">
      <w:pPr>
        <w:pStyle w:val="SubParagraph"/>
        <w:tabs>
          <w:tab w:val="clear" w:pos="1800"/>
        </w:tabs>
      </w:pPr>
      <w:r w:rsidRPr="006922FD">
        <w:t>(2)</w:t>
      </w:r>
      <w:r w:rsidRPr="006922FD">
        <w:tab/>
        <w:t>If probable cause exists to believe that a violation of G.S. 90-154 has occurred, and if the Committee and licensee at issue fail to resolve the matter through settlement, the case</w:t>
      </w:r>
      <w:r>
        <w:t xml:space="preserve"> </w:t>
      </w:r>
      <w:r w:rsidRPr="006922FD">
        <w:t>shall be considered a "contested case" and set for hearing before either the Board, or an Administrative Law Judge at the NC Office of Administrative Hearings, in accordance with G.S. 150B-40.</w:t>
      </w:r>
      <w:r>
        <w:t xml:space="preserve"> </w:t>
      </w:r>
    </w:p>
    <w:p w14:paraId="6A3F0E9A" w14:textId="77777777" w:rsidR="006A0BDB" w:rsidRPr="006922FD" w:rsidRDefault="006A0BDB" w:rsidP="001D2CEB">
      <w:pPr>
        <w:pStyle w:val="Base"/>
      </w:pPr>
    </w:p>
    <w:p w14:paraId="10202774" w14:textId="77777777" w:rsidR="006A0BDB" w:rsidRPr="006922FD" w:rsidRDefault="006A0BDB" w:rsidP="001D2CEB">
      <w:pPr>
        <w:pStyle w:val="History"/>
      </w:pPr>
      <w:r w:rsidRPr="006922FD">
        <w:t>History Note:</w:t>
      </w:r>
      <w:r w:rsidRPr="006922FD">
        <w:tab/>
        <w:t>Authority G.S. 90-141; 90-143; 90-154;</w:t>
      </w:r>
    </w:p>
    <w:p w14:paraId="3C964A22" w14:textId="77777777" w:rsidR="006A0BDB" w:rsidRPr="006922FD" w:rsidRDefault="006A0BDB" w:rsidP="001D2CEB">
      <w:pPr>
        <w:pStyle w:val="HistoryAfter"/>
      </w:pPr>
      <w:r w:rsidRPr="006922FD">
        <w:t>Eff. December 1, 1988;</w:t>
      </w:r>
    </w:p>
    <w:p w14:paraId="6CA6CEA5" w14:textId="77777777" w:rsidR="006A0BDB" w:rsidRPr="006922FD" w:rsidRDefault="006A0BDB" w:rsidP="001D2CEB">
      <w:pPr>
        <w:pStyle w:val="HistoryAfter"/>
      </w:pPr>
      <w:r w:rsidRPr="006922FD">
        <w:t>Amended Eff. October 1, 2016;</w:t>
      </w:r>
    </w:p>
    <w:p w14:paraId="5652770B" w14:textId="77777777" w:rsidR="006A0BDB" w:rsidRPr="006922FD" w:rsidRDefault="006A0BDB" w:rsidP="001D2CEB">
      <w:pPr>
        <w:pStyle w:val="HistoryAfter"/>
      </w:pPr>
      <w:r w:rsidRPr="006922FD">
        <w:t>Pursuant to G.S. 150B-21.3A, rule is necessary without substantive public interest Eff. April 27, 2019;</w:t>
      </w:r>
    </w:p>
    <w:p w14:paraId="34ADB870" w14:textId="77777777" w:rsidR="006A0BDB" w:rsidRPr="006922FD" w:rsidRDefault="006A0BDB" w:rsidP="001D2CEB">
      <w:pPr>
        <w:pStyle w:val="HistoryAfter"/>
      </w:pPr>
      <w:r w:rsidRPr="006922FD">
        <w:t>Amended Eff. January 1, 2020.</w:t>
      </w:r>
    </w:p>
    <w:p w14:paraId="0789798E" w14:textId="77777777" w:rsidR="006A0BDB" w:rsidRPr="006922FD" w:rsidRDefault="006A0BDB" w:rsidP="001D2CEB">
      <w:pPr>
        <w:pStyle w:val="Base"/>
      </w:pPr>
    </w:p>
    <w:p w14:paraId="40090065" w14:textId="77777777" w:rsidR="006A0BDB" w:rsidRPr="006301D7" w:rsidRDefault="006A0BDB" w:rsidP="001D2CEB">
      <w:pPr>
        <w:pStyle w:val="Rule"/>
      </w:pPr>
      <w:r w:rsidRPr="006301D7">
        <w:t>21 NCAC 10 .0706</w:t>
      </w:r>
      <w:r w:rsidRPr="006301D7">
        <w:tab/>
        <w:t>CONDUCT OF BOARD HEARING</w:t>
      </w:r>
    </w:p>
    <w:p w14:paraId="34610B4B" w14:textId="77777777" w:rsidR="006A0BDB" w:rsidRPr="006301D7" w:rsidRDefault="006A0BDB" w:rsidP="001D2CEB">
      <w:pPr>
        <w:pStyle w:val="Paragraph"/>
      </w:pPr>
      <w:r w:rsidRPr="006301D7">
        <w:t>(a)  General. Hearings in contested cases shall be conducted by a majority of the Board, unless a majority of the Board votes to designate an administrative law judge to preside at the hearing in the Office of Administrative Hearings</w:t>
      </w:r>
      <w:r>
        <w:t xml:space="preserve">. </w:t>
      </w:r>
      <w:r w:rsidRPr="006301D7">
        <w:t>The president shall serve as presiding officer at Board Hearings unless he or she is absent or disqualified, in which case the vice-president shall preside. Board Hearings shall be conducted as prescribed by G.S. 150B-40.</w:t>
      </w:r>
    </w:p>
    <w:p w14:paraId="09FB059B" w14:textId="77777777" w:rsidR="006A0BDB" w:rsidRPr="006301D7" w:rsidRDefault="006A0BDB" w:rsidP="001D2CEB">
      <w:pPr>
        <w:pStyle w:val="Paragraph"/>
      </w:pPr>
      <w:r w:rsidRPr="006301D7">
        <w:t>(b)  Disqualification. An affidavit seeking disqualification of any Board member, if filed in good faith and in a timely manner,</w:t>
      </w:r>
      <w:r>
        <w:t xml:space="preserve"> </w:t>
      </w:r>
      <w:r w:rsidRPr="006301D7">
        <w:t>shall be ruled on by the remaining members of the Board. An affidavit is considered timely if it is filed:</w:t>
      </w:r>
    </w:p>
    <w:p w14:paraId="7E12B81D" w14:textId="77777777" w:rsidR="006A0BDB" w:rsidRPr="006301D7" w:rsidRDefault="006A0BDB" w:rsidP="001D2CEB">
      <w:pPr>
        <w:pStyle w:val="SubParagraph"/>
        <w:tabs>
          <w:tab w:val="clear" w:pos="1800"/>
        </w:tabs>
      </w:pPr>
      <w:r w:rsidRPr="006301D7">
        <w:t>(1)</w:t>
      </w:r>
      <w:r w:rsidRPr="006301D7">
        <w:tab/>
        <w:t>Prior to the hearing; or</w:t>
      </w:r>
    </w:p>
    <w:p w14:paraId="2F2E2234" w14:textId="77777777" w:rsidR="006A0BDB" w:rsidRPr="006301D7" w:rsidRDefault="006A0BDB" w:rsidP="001D2CEB">
      <w:pPr>
        <w:pStyle w:val="SubParagraph"/>
        <w:tabs>
          <w:tab w:val="clear" w:pos="1800"/>
        </w:tabs>
      </w:pPr>
      <w:r w:rsidRPr="006301D7">
        <w:t>(2)</w:t>
      </w:r>
      <w:r w:rsidRPr="006301D7">
        <w:tab/>
        <w:t>As soon after the commencement of the hearing as the affiant becomes aware of facts</w:t>
      </w:r>
      <w:r>
        <w:t xml:space="preserve"> </w:t>
      </w:r>
      <w:r w:rsidRPr="006301D7">
        <w:t>that give rise to his or her belief that a Board member should be disqualified.</w:t>
      </w:r>
    </w:p>
    <w:p w14:paraId="17E2ED80" w14:textId="77777777" w:rsidR="006A0BDB" w:rsidRPr="006301D7" w:rsidRDefault="006A0BDB" w:rsidP="001D2CEB">
      <w:pPr>
        <w:pStyle w:val="Paragraph"/>
      </w:pPr>
      <w:r w:rsidRPr="006301D7">
        <w:t>(c)  Evidence. The admission of evidence in a Board Hearing on a contested case shall be as prescribed in G.S. 150B-41.</w:t>
      </w:r>
    </w:p>
    <w:p w14:paraId="77BDFB59" w14:textId="77777777" w:rsidR="006A0BDB" w:rsidRPr="006301D7" w:rsidRDefault="006A0BDB" w:rsidP="001D2CEB">
      <w:pPr>
        <w:pStyle w:val="Base"/>
      </w:pPr>
    </w:p>
    <w:p w14:paraId="4E6079D8" w14:textId="77777777" w:rsidR="006A0BDB" w:rsidRPr="006301D7" w:rsidRDefault="006A0BDB" w:rsidP="001D2CEB">
      <w:pPr>
        <w:pStyle w:val="History"/>
      </w:pPr>
      <w:r w:rsidRPr="006301D7">
        <w:t>History Note:</w:t>
      </w:r>
      <w:r w:rsidRPr="006301D7">
        <w:tab/>
        <w:t>Authority G.S. 150B</w:t>
      </w:r>
      <w:r w:rsidRPr="006301D7">
        <w:noBreakHyphen/>
        <w:t>40; 150B</w:t>
      </w:r>
      <w:r w:rsidRPr="006301D7">
        <w:noBreakHyphen/>
        <w:t>41;</w:t>
      </w:r>
    </w:p>
    <w:p w14:paraId="662F3EB0" w14:textId="77777777" w:rsidR="006A0BDB" w:rsidRPr="006301D7" w:rsidRDefault="006A0BDB" w:rsidP="001D2CEB">
      <w:pPr>
        <w:pStyle w:val="HistoryAfter"/>
      </w:pPr>
      <w:r w:rsidRPr="006301D7">
        <w:t>Eff. February 1, 1976;</w:t>
      </w:r>
    </w:p>
    <w:p w14:paraId="3D84E35E" w14:textId="77777777" w:rsidR="006A0BDB" w:rsidRPr="006301D7" w:rsidRDefault="006A0BDB" w:rsidP="001D2CEB">
      <w:pPr>
        <w:pStyle w:val="HistoryAfter"/>
      </w:pPr>
      <w:r w:rsidRPr="006301D7">
        <w:t>Readopted Eff. January 27, 1978;</w:t>
      </w:r>
    </w:p>
    <w:p w14:paraId="2E136989" w14:textId="77777777" w:rsidR="006A0BDB" w:rsidRPr="006301D7" w:rsidRDefault="006A0BDB" w:rsidP="001D2CEB">
      <w:pPr>
        <w:pStyle w:val="HistoryAfter"/>
      </w:pPr>
      <w:r w:rsidRPr="006301D7">
        <w:t>Amended Eff. January 1, 1989;</w:t>
      </w:r>
    </w:p>
    <w:p w14:paraId="39C48530" w14:textId="77777777" w:rsidR="006A0BDB" w:rsidRPr="006301D7" w:rsidRDefault="006A0BDB" w:rsidP="001D2CEB">
      <w:pPr>
        <w:pStyle w:val="HistoryAfter"/>
      </w:pPr>
      <w:r w:rsidRPr="006301D7">
        <w:t>Expired Eff. May 1, 2019 pursuant to G.S. 150B-21.3.A;</w:t>
      </w:r>
    </w:p>
    <w:p w14:paraId="433642CD" w14:textId="77777777" w:rsidR="006A0BDB" w:rsidRPr="006301D7" w:rsidRDefault="006A0BDB" w:rsidP="001D2CEB">
      <w:pPr>
        <w:pStyle w:val="HistoryAfter"/>
      </w:pPr>
      <w:r w:rsidRPr="006301D7">
        <w:t>Readopted Eff. January 1, 2020.</w:t>
      </w:r>
    </w:p>
    <w:p w14:paraId="13AD8D70" w14:textId="77777777" w:rsidR="006A0BDB" w:rsidRDefault="006A0BDB" w:rsidP="001D2CEB">
      <w:pPr>
        <w:pStyle w:val="Base"/>
      </w:pPr>
    </w:p>
    <w:p w14:paraId="0417C8CC" w14:textId="77777777" w:rsidR="006A0BDB" w:rsidRPr="00562EF1" w:rsidRDefault="006A0BDB" w:rsidP="001D2CEB">
      <w:pPr>
        <w:pStyle w:val="Rule"/>
      </w:pPr>
      <w:r w:rsidRPr="00562EF1">
        <w:t>21 NCAC 10 .0708</w:t>
      </w:r>
      <w:r w:rsidRPr="00562EF1">
        <w:tab/>
        <w:t>CONTINUANCES FOR BOARD HEARINGS</w:t>
      </w:r>
    </w:p>
    <w:p w14:paraId="1F7EFC0C" w14:textId="77777777" w:rsidR="006A0BDB" w:rsidRPr="00562EF1" w:rsidRDefault="006A0BDB" w:rsidP="001D2CEB">
      <w:pPr>
        <w:pStyle w:val="Paragraph"/>
      </w:pPr>
      <w:r w:rsidRPr="00562EF1">
        <w:t>(a)  Consistent with G.S. 150B-40(b), all motions for continuance shall be addressed to the secretary, or the designated presiding officer of the contested case hearing. All motions for continuance shall be in writing and received in the office of the Board no less than seven calendar days before the hearing date.</w:t>
      </w:r>
    </w:p>
    <w:p w14:paraId="65982C34" w14:textId="77777777" w:rsidR="006A0BDB" w:rsidRPr="00562EF1" w:rsidRDefault="006A0BDB" w:rsidP="001D2CEB">
      <w:pPr>
        <w:pStyle w:val="Paragraph"/>
      </w:pPr>
      <w:r w:rsidRPr="00562EF1">
        <w:t>(b)  Motions for a continuance of a hearing may be granted upon a showing of</w:t>
      </w:r>
      <w:r>
        <w:t xml:space="preserve"> </w:t>
      </w:r>
      <w:r w:rsidRPr="00562EF1">
        <w:t>good cause. In determining whether good cause exists, the presiding officer shall consider the ability of the party requesting a continuance to proceed without a continuance.</w:t>
      </w:r>
      <w:r>
        <w:t xml:space="preserve"> </w:t>
      </w:r>
    </w:p>
    <w:p w14:paraId="19E4AA8C" w14:textId="77777777" w:rsidR="006A0BDB" w:rsidRPr="00562EF1" w:rsidRDefault="006A0BDB" w:rsidP="001D2CEB">
      <w:pPr>
        <w:pStyle w:val="Paragraph"/>
      </w:pPr>
      <w:r w:rsidRPr="00562EF1">
        <w:t>(c)  A motion for a continuance filed less than seven calendar days from the date of the hearing shall be denied if a continuance has been previously granted unless the reason for the motion could not have been ascertained earlier.</w:t>
      </w:r>
    </w:p>
    <w:p w14:paraId="746F86A9" w14:textId="77777777" w:rsidR="006A0BDB" w:rsidRPr="00562EF1" w:rsidRDefault="006A0BDB" w:rsidP="001D2CEB">
      <w:pPr>
        <w:pStyle w:val="Base"/>
      </w:pPr>
    </w:p>
    <w:p w14:paraId="758DFE5F" w14:textId="77777777" w:rsidR="006A0BDB" w:rsidRPr="00562EF1" w:rsidRDefault="006A0BDB" w:rsidP="001D2CEB">
      <w:pPr>
        <w:pStyle w:val="History"/>
      </w:pPr>
      <w:r w:rsidRPr="00562EF1">
        <w:t>History Note:</w:t>
      </w:r>
      <w:r w:rsidRPr="00562EF1">
        <w:tab/>
        <w:t>Authority G.S. 90-156; 150B</w:t>
      </w:r>
      <w:r w:rsidRPr="00562EF1">
        <w:noBreakHyphen/>
        <w:t>38(h);</w:t>
      </w:r>
    </w:p>
    <w:p w14:paraId="636481D0" w14:textId="77777777" w:rsidR="006A0BDB" w:rsidRPr="00562EF1" w:rsidRDefault="006A0BDB" w:rsidP="001D2CEB">
      <w:pPr>
        <w:pStyle w:val="HistoryAfter"/>
      </w:pPr>
      <w:r w:rsidRPr="00562EF1">
        <w:t>Eff. January 1, 2020.</w:t>
      </w:r>
    </w:p>
    <w:p w14:paraId="21D4F9C8" w14:textId="77777777" w:rsidR="006A0BDB" w:rsidRPr="00562EF1" w:rsidRDefault="006A0BDB" w:rsidP="001D2CEB">
      <w:pPr>
        <w:pStyle w:val="Base"/>
      </w:pPr>
    </w:p>
    <w:p w14:paraId="027F32BF" w14:textId="77777777" w:rsidR="006A0BDB" w:rsidRPr="00212A88" w:rsidRDefault="006A0BDB" w:rsidP="001D2CEB">
      <w:pPr>
        <w:pStyle w:val="Rule"/>
      </w:pPr>
      <w:r w:rsidRPr="00212A88">
        <w:t>21 NCAC 10 .0709</w:t>
      </w:r>
      <w:r w:rsidRPr="00212A88">
        <w:tab/>
        <w:t>SUBPOENAS</w:t>
      </w:r>
    </w:p>
    <w:p w14:paraId="64CA68A1" w14:textId="77777777" w:rsidR="006A0BDB" w:rsidRPr="00212A88" w:rsidRDefault="006A0BDB" w:rsidP="001D2CEB">
      <w:pPr>
        <w:pStyle w:val="Paragraph"/>
      </w:pPr>
      <w:r w:rsidRPr="00212A88">
        <w:t>(a)  Requests for subpoenas for the attendance and testimony of witnesses or for the production of documents, either at a Board Hearing or for the purposes of discovery, shall:</w:t>
      </w:r>
    </w:p>
    <w:p w14:paraId="441CDEE1" w14:textId="77777777" w:rsidR="006A0BDB" w:rsidRPr="00212A88" w:rsidRDefault="006A0BDB" w:rsidP="001D2CEB">
      <w:pPr>
        <w:pStyle w:val="SubParagraph"/>
        <w:tabs>
          <w:tab w:val="clear" w:pos="1800"/>
        </w:tabs>
      </w:pPr>
      <w:r w:rsidRPr="00212A88">
        <w:t>(1)</w:t>
      </w:r>
      <w:r w:rsidRPr="00212A88">
        <w:tab/>
        <w:t>be made in writing to the Board;</w:t>
      </w:r>
    </w:p>
    <w:p w14:paraId="229F27EB" w14:textId="77777777" w:rsidR="006A0BDB" w:rsidRPr="00212A88" w:rsidRDefault="006A0BDB" w:rsidP="001D2CEB">
      <w:pPr>
        <w:pStyle w:val="SubParagraph"/>
        <w:tabs>
          <w:tab w:val="clear" w:pos="1800"/>
        </w:tabs>
      </w:pPr>
      <w:r w:rsidRPr="00212A88">
        <w:t>(2)</w:t>
      </w:r>
      <w:r w:rsidRPr="00212A88">
        <w:tab/>
        <w:t>identify any document sought;</w:t>
      </w:r>
    </w:p>
    <w:p w14:paraId="4ECB3577" w14:textId="77777777" w:rsidR="006A0BDB" w:rsidRPr="00212A88" w:rsidRDefault="006A0BDB" w:rsidP="001D2CEB">
      <w:pPr>
        <w:pStyle w:val="SubParagraph"/>
        <w:tabs>
          <w:tab w:val="clear" w:pos="1800"/>
        </w:tabs>
      </w:pPr>
      <w:r w:rsidRPr="00212A88">
        <w:t>(3)</w:t>
      </w:r>
      <w:r w:rsidRPr="00212A88">
        <w:tab/>
        <w:t>include the full name and home or business address of all persons to be subpoenaed; and</w:t>
      </w:r>
    </w:p>
    <w:p w14:paraId="64CF00ED" w14:textId="77777777" w:rsidR="006A0BDB" w:rsidRPr="00212A88" w:rsidRDefault="006A0BDB" w:rsidP="001D2CEB">
      <w:pPr>
        <w:pStyle w:val="SubParagraph"/>
        <w:tabs>
          <w:tab w:val="clear" w:pos="1800"/>
        </w:tabs>
      </w:pPr>
      <w:r w:rsidRPr="00212A88">
        <w:t>(4)</w:t>
      </w:r>
      <w:r w:rsidRPr="00212A88">
        <w:tab/>
        <w:t>if known, the date, time, and place for responding to the subpoena.</w:t>
      </w:r>
    </w:p>
    <w:p w14:paraId="7463771C" w14:textId="77777777" w:rsidR="006A0BDB" w:rsidRPr="00212A88" w:rsidRDefault="006A0BDB" w:rsidP="001D2CEB">
      <w:pPr>
        <w:pStyle w:val="Paragraph"/>
      </w:pPr>
      <w:r w:rsidRPr="00212A88">
        <w:t>The Board shall issue the requested subpoenas within three days of receipt of the request.</w:t>
      </w:r>
    </w:p>
    <w:p w14:paraId="26DD6668" w14:textId="77777777" w:rsidR="006A0BDB" w:rsidRPr="00212A88" w:rsidRDefault="006A0BDB" w:rsidP="001D2CEB">
      <w:pPr>
        <w:pStyle w:val="Paragraph"/>
      </w:pPr>
      <w:r w:rsidRPr="00212A88">
        <w:t>(b)  Subpoenas shall contain the following:</w:t>
      </w:r>
    </w:p>
    <w:p w14:paraId="16AE79BA" w14:textId="77777777" w:rsidR="006A0BDB" w:rsidRPr="00212A88" w:rsidRDefault="006A0BDB" w:rsidP="001D2CEB">
      <w:pPr>
        <w:pStyle w:val="SubParagraph"/>
        <w:tabs>
          <w:tab w:val="clear" w:pos="1800"/>
        </w:tabs>
      </w:pPr>
      <w:r w:rsidRPr="00212A88">
        <w:t>(1)</w:t>
      </w:r>
      <w:r w:rsidRPr="00212A88">
        <w:tab/>
        <w:t>the caption of the case;</w:t>
      </w:r>
    </w:p>
    <w:p w14:paraId="3E809529" w14:textId="77777777" w:rsidR="006A0BDB" w:rsidRPr="00212A88" w:rsidRDefault="006A0BDB" w:rsidP="001D2CEB">
      <w:pPr>
        <w:pStyle w:val="SubParagraph"/>
        <w:tabs>
          <w:tab w:val="clear" w:pos="1800"/>
        </w:tabs>
      </w:pPr>
      <w:r w:rsidRPr="00212A88">
        <w:t>(2)</w:t>
      </w:r>
      <w:r w:rsidRPr="00212A88">
        <w:tab/>
        <w:t>the name and address of the person subpoenaed;</w:t>
      </w:r>
    </w:p>
    <w:p w14:paraId="65E70F66" w14:textId="77777777" w:rsidR="006A0BDB" w:rsidRPr="00212A88" w:rsidRDefault="006A0BDB" w:rsidP="001D2CEB">
      <w:pPr>
        <w:pStyle w:val="SubParagraph"/>
        <w:tabs>
          <w:tab w:val="clear" w:pos="1800"/>
        </w:tabs>
      </w:pPr>
      <w:r w:rsidRPr="00212A88">
        <w:t>(3)</w:t>
      </w:r>
      <w:r w:rsidRPr="00212A88">
        <w:tab/>
        <w:t>the date, hour, and location of the hearing in which the witness is commanded to appear;</w:t>
      </w:r>
    </w:p>
    <w:p w14:paraId="6C469D29" w14:textId="77777777" w:rsidR="006A0BDB" w:rsidRPr="00212A88" w:rsidRDefault="006A0BDB" w:rsidP="001D2CEB">
      <w:pPr>
        <w:pStyle w:val="SubParagraph"/>
        <w:tabs>
          <w:tab w:val="clear" w:pos="1800"/>
        </w:tabs>
      </w:pPr>
      <w:r w:rsidRPr="00212A88">
        <w:t>(4)</w:t>
      </w:r>
      <w:r w:rsidRPr="00212A88">
        <w:tab/>
        <w:t>a particularized description of the books, papers, records, or objects the witness is directed to bring with him to the hearing, if any;</w:t>
      </w:r>
    </w:p>
    <w:p w14:paraId="6C081751" w14:textId="77777777" w:rsidR="006A0BDB" w:rsidRPr="00212A88" w:rsidRDefault="006A0BDB" w:rsidP="001D2CEB">
      <w:pPr>
        <w:pStyle w:val="SubParagraph"/>
        <w:tabs>
          <w:tab w:val="clear" w:pos="1800"/>
        </w:tabs>
      </w:pPr>
      <w:r w:rsidRPr="00212A88">
        <w:t>(5)</w:t>
      </w:r>
      <w:r w:rsidRPr="00212A88">
        <w:tab/>
        <w:t>the identity of the party on whose application the subpoena was issued;</w:t>
      </w:r>
    </w:p>
    <w:p w14:paraId="0D736E26" w14:textId="77777777" w:rsidR="006A0BDB" w:rsidRPr="00212A88" w:rsidRDefault="006A0BDB" w:rsidP="001D2CEB">
      <w:pPr>
        <w:pStyle w:val="SubParagraph"/>
        <w:tabs>
          <w:tab w:val="clear" w:pos="1800"/>
        </w:tabs>
      </w:pPr>
      <w:r w:rsidRPr="00212A88">
        <w:t>(6)</w:t>
      </w:r>
      <w:r w:rsidRPr="00212A88">
        <w:tab/>
        <w:t>the date of issue;</w:t>
      </w:r>
    </w:p>
    <w:p w14:paraId="205554B0" w14:textId="77777777" w:rsidR="006A0BDB" w:rsidRPr="00212A88" w:rsidRDefault="006A0BDB" w:rsidP="001D2CEB">
      <w:pPr>
        <w:pStyle w:val="SubParagraph"/>
        <w:tabs>
          <w:tab w:val="clear" w:pos="1800"/>
        </w:tabs>
      </w:pPr>
      <w:r w:rsidRPr="00212A88">
        <w:t>(7)</w:t>
      </w:r>
      <w:r w:rsidRPr="00212A88">
        <w:tab/>
        <w:t>the signature of the presiding officer or his designee; and</w:t>
      </w:r>
    </w:p>
    <w:p w14:paraId="049EB636" w14:textId="77777777" w:rsidR="006A0BDB" w:rsidRPr="00212A88" w:rsidRDefault="006A0BDB" w:rsidP="001D2CEB">
      <w:pPr>
        <w:pStyle w:val="SubParagraph"/>
        <w:tabs>
          <w:tab w:val="clear" w:pos="1800"/>
        </w:tabs>
      </w:pPr>
      <w:r w:rsidRPr="00212A88">
        <w:t>(8)</w:t>
      </w:r>
      <w:r w:rsidRPr="00212A88">
        <w:tab/>
        <w:t>a "return of service." The "return of service" form as filled out, shall show:</w:t>
      </w:r>
    </w:p>
    <w:p w14:paraId="57C0FA07" w14:textId="77777777" w:rsidR="006A0BDB" w:rsidRPr="00212A88" w:rsidRDefault="006A0BDB" w:rsidP="001D2CEB">
      <w:pPr>
        <w:pStyle w:val="Part"/>
        <w:tabs>
          <w:tab w:val="clear" w:pos="2520"/>
        </w:tabs>
      </w:pPr>
      <w:r w:rsidRPr="00212A88">
        <w:t>(A)</w:t>
      </w:r>
      <w:r w:rsidRPr="00212A88">
        <w:tab/>
        <w:t>the name and capacity of the person serving the subpoena;</w:t>
      </w:r>
    </w:p>
    <w:p w14:paraId="2144B22A" w14:textId="77777777" w:rsidR="006A0BDB" w:rsidRPr="00212A88" w:rsidRDefault="006A0BDB" w:rsidP="001D2CEB">
      <w:pPr>
        <w:pStyle w:val="Part"/>
        <w:tabs>
          <w:tab w:val="clear" w:pos="2520"/>
        </w:tabs>
      </w:pPr>
      <w:r w:rsidRPr="00212A88">
        <w:t>(B)</w:t>
      </w:r>
      <w:r w:rsidRPr="00212A88">
        <w:tab/>
        <w:t>the date on which the subpoena was delivered to the person directed to make service;</w:t>
      </w:r>
    </w:p>
    <w:p w14:paraId="6373C401" w14:textId="77777777" w:rsidR="006A0BDB" w:rsidRPr="00212A88" w:rsidRDefault="006A0BDB" w:rsidP="001D2CEB">
      <w:pPr>
        <w:pStyle w:val="Part"/>
        <w:tabs>
          <w:tab w:val="clear" w:pos="2520"/>
        </w:tabs>
      </w:pPr>
      <w:r w:rsidRPr="00212A88">
        <w:t>(C)</w:t>
      </w:r>
      <w:r w:rsidRPr="00212A88">
        <w:tab/>
        <w:t>the date on which service was made;</w:t>
      </w:r>
    </w:p>
    <w:p w14:paraId="6B3356E4" w14:textId="77777777" w:rsidR="006A0BDB" w:rsidRPr="00212A88" w:rsidRDefault="006A0BDB" w:rsidP="001D2CEB">
      <w:pPr>
        <w:pStyle w:val="Part"/>
        <w:tabs>
          <w:tab w:val="clear" w:pos="2520"/>
        </w:tabs>
      </w:pPr>
      <w:r w:rsidRPr="00212A88">
        <w:t>(D)</w:t>
      </w:r>
      <w:r w:rsidRPr="00212A88">
        <w:tab/>
        <w:t>the person on whom service was made;</w:t>
      </w:r>
    </w:p>
    <w:p w14:paraId="2B9964B0" w14:textId="77777777" w:rsidR="006A0BDB" w:rsidRPr="00212A88" w:rsidRDefault="006A0BDB" w:rsidP="001D2CEB">
      <w:pPr>
        <w:pStyle w:val="Part"/>
        <w:tabs>
          <w:tab w:val="clear" w:pos="2520"/>
        </w:tabs>
      </w:pPr>
      <w:r w:rsidRPr="00212A88">
        <w:t>(E)</w:t>
      </w:r>
      <w:r w:rsidRPr="00212A88">
        <w:tab/>
        <w:t>the manner in which service was made; and</w:t>
      </w:r>
    </w:p>
    <w:p w14:paraId="36B87128" w14:textId="77777777" w:rsidR="006A0BDB" w:rsidRPr="00212A88" w:rsidRDefault="006A0BDB" w:rsidP="001D2CEB">
      <w:pPr>
        <w:pStyle w:val="Part"/>
        <w:tabs>
          <w:tab w:val="clear" w:pos="2520"/>
        </w:tabs>
      </w:pPr>
      <w:r w:rsidRPr="00212A88">
        <w:t>(F)</w:t>
      </w:r>
      <w:r w:rsidRPr="00212A88">
        <w:tab/>
        <w:t>the signature of the person making service.</w:t>
      </w:r>
    </w:p>
    <w:p w14:paraId="5CD9CE5E" w14:textId="77777777" w:rsidR="006A0BDB" w:rsidRPr="00212A88" w:rsidRDefault="006A0BDB" w:rsidP="001D2CEB">
      <w:pPr>
        <w:pStyle w:val="Paragraph"/>
      </w:pPr>
      <w:r w:rsidRPr="00212A88">
        <w:t>(c)  Subpoenas shall be served in a manner set forth in Rule 45 of the N.C. Rules of Civil Procedure.</w:t>
      </w:r>
    </w:p>
    <w:p w14:paraId="2ACEC6E3" w14:textId="77777777" w:rsidR="006A0BDB" w:rsidRPr="00212A88" w:rsidRDefault="006A0BDB" w:rsidP="001D2CEB">
      <w:pPr>
        <w:pStyle w:val="Paragraph"/>
      </w:pPr>
      <w:r w:rsidRPr="00212A88">
        <w:t>(d)  Any person receiving a subpoena from the Board may object thereto by filing a written objection to the subpoena with the Board's office. Written objections shall comply with Rule 45 of the N.C. Rules of Civil Procedure.</w:t>
      </w:r>
    </w:p>
    <w:p w14:paraId="59B0CB07" w14:textId="77777777" w:rsidR="006A0BDB" w:rsidRPr="00212A88" w:rsidRDefault="006A0BDB" w:rsidP="001D2CEB">
      <w:pPr>
        <w:pStyle w:val="Paragraph"/>
      </w:pPr>
      <w:r w:rsidRPr="00212A88">
        <w:t>(e)  The party who requested the subpoena may file a written response to the objection. The written response shall be served by the requesting party on the objecting witness with the filing of the response with the Board.</w:t>
      </w:r>
    </w:p>
    <w:p w14:paraId="6E69C034" w14:textId="77777777" w:rsidR="006A0BDB" w:rsidRPr="00212A88" w:rsidRDefault="006A0BDB" w:rsidP="001D2CEB">
      <w:pPr>
        <w:pStyle w:val="Paragraph"/>
      </w:pPr>
      <w:r w:rsidRPr="00212A88">
        <w:t>(f)  After receipt of the objection and response thereto, if any, the Board shall issue a notice of a Hearing on the motion to the party who requested the subpoena and the party challenging the subpoena to be scheduled as soon as practicable, at which time evidence and testimony may be presented, limited to the narrow questions raised by the objection and response.</w:t>
      </w:r>
    </w:p>
    <w:p w14:paraId="69FF83F9" w14:textId="77777777" w:rsidR="006A0BDB" w:rsidRPr="00212A88" w:rsidRDefault="006A0BDB" w:rsidP="001D2CEB">
      <w:pPr>
        <w:pStyle w:val="Paragraph"/>
      </w:pPr>
      <w:r w:rsidRPr="00212A88">
        <w:t>(g)  After the close of such Board Hearing, a majority of the Board members</w:t>
      </w:r>
      <w:r>
        <w:t xml:space="preserve"> </w:t>
      </w:r>
      <w:r w:rsidRPr="00212A88">
        <w:t>hearing the contested case shall</w:t>
      </w:r>
      <w:r>
        <w:t xml:space="preserve"> </w:t>
      </w:r>
      <w:r w:rsidRPr="00212A88">
        <w:t>rule on the challenge and issue a written decision. A copy of the decision will be issued to all parties and made a part of the record.</w:t>
      </w:r>
    </w:p>
    <w:p w14:paraId="0A76D5AE" w14:textId="77777777" w:rsidR="006A0BDB" w:rsidRPr="00212A88" w:rsidRDefault="006A0BDB" w:rsidP="001D2CEB">
      <w:pPr>
        <w:pStyle w:val="History"/>
      </w:pPr>
      <w:r w:rsidRPr="00212A88">
        <w:t>History Note:</w:t>
      </w:r>
      <w:r w:rsidRPr="00212A88">
        <w:tab/>
        <w:t>Authority G.S. 150B-38; 150B-39; 150B-40;</w:t>
      </w:r>
    </w:p>
    <w:p w14:paraId="0BF02F1C" w14:textId="77777777" w:rsidR="006A0BDB" w:rsidRPr="00212A88" w:rsidRDefault="006A0BDB" w:rsidP="001D2CEB">
      <w:pPr>
        <w:pStyle w:val="HistoryAfter"/>
      </w:pPr>
      <w:r w:rsidRPr="00212A88">
        <w:t>Eff. January 1, 2020.</w:t>
      </w:r>
    </w:p>
    <w:p w14:paraId="184BEFCF" w14:textId="77777777" w:rsidR="006A0BDB" w:rsidRPr="00212A88" w:rsidRDefault="006A0BDB" w:rsidP="001D2CEB">
      <w:pPr>
        <w:pStyle w:val="Base"/>
      </w:pPr>
    </w:p>
    <w:p w14:paraId="343B993D" w14:textId="77777777" w:rsidR="006A0BDB" w:rsidRDefault="006A0BDB" w:rsidP="001D2CEB">
      <w:pPr>
        <w:pStyle w:val="Base"/>
        <w:jc w:val="center"/>
      </w:pPr>
      <w:r>
        <w:t>* * * * * * * * * * * * * * * * * * * *</w:t>
      </w:r>
    </w:p>
    <w:p w14:paraId="6D72861C" w14:textId="77777777" w:rsidR="006A0BDB" w:rsidRDefault="006A0BDB" w:rsidP="001D2CEB">
      <w:pPr>
        <w:pStyle w:val="Base"/>
      </w:pPr>
    </w:p>
    <w:p w14:paraId="5D8FCEEA" w14:textId="77777777" w:rsidR="006A0BDB" w:rsidRDefault="006A0BDB" w:rsidP="001D2CEB">
      <w:pPr>
        <w:pStyle w:val="Chapter"/>
      </w:pPr>
      <w:r>
        <w:t>Chapter 38 – board of Occupational Therapy</w:t>
      </w:r>
    </w:p>
    <w:p w14:paraId="7101D2D4" w14:textId="77777777" w:rsidR="006A0BDB" w:rsidRDefault="006A0BDB" w:rsidP="001D2CEB">
      <w:pPr>
        <w:pStyle w:val="Base"/>
      </w:pPr>
    </w:p>
    <w:p w14:paraId="6E01F777" w14:textId="77777777" w:rsidR="006A0BDB" w:rsidRPr="00725E30" w:rsidRDefault="006A0BDB" w:rsidP="001D2CEB">
      <w:pPr>
        <w:pStyle w:val="Rule"/>
      </w:pPr>
      <w:r w:rsidRPr="00725E30">
        <w:t>21 NCAC 38 .0801</w:t>
      </w:r>
      <w:r w:rsidRPr="00725E30">
        <w:tab/>
        <w:t>CONTINUING COMPETENCE DEFINITIONS</w:t>
      </w:r>
    </w:p>
    <w:p w14:paraId="5C7F7229" w14:textId="77777777" w:rsidR="006A0BDB" w:rsidRPr="00725E30" w:rsidRDefault="006A0BDB" w:rsidP="001D2CEB">
      <w:pPr>
        <w:pStyle w:val="Paragraph"/>
      </w:pPr>
      <w:r w:rsidRPr="00725E30">
        <w:t>As used in this Section:</w:t>
      </w:r>
    </w:p>
    <w:p w14:paraId="204B7852" w14:textId="77777777" w:rsidR="006A0BDB" w:rsidRPr="00725E30" w:rsidRDefault="006A0BDB" w:rsidP="001D2CEB">
      <w:pPr>
        <w:pStyle w:val="Item"/>
        <w:tabs>
          <w:tab w:val="clear" w:pos="1800"/>
        </w:tabs>
      </w:pPr>
      <w:r w:rsidRPr="00725E30">
        <w:t>(1)</w:t>
      </w:r>
      <w:r w:rsidRPr="00725E30">
        <w:tab/>
        <w:t>"AOTA Approved Provider Program" means a voluntary process of review and approval of continuing education (CE) providers by the American Occupational Therapy Association (AOTA) based on criteria and guidelines that assess a provider's ability to develop and implement CE activities that are relevant to the practice of occupational therapy.</w:t>
      </w:r>
    </w:p>
    <w:p w14:paraId="0A53AB13" w14:textId="77777777" w:rsidR="006A0BDB" w:rsidRPr="00725E30" w:rsidRDefault="006A0BDB" w:rsidP="001D2CEB">
      <w:pPr>
        <w:pStyle w:val="Item"/>
        <w:tabs>
          <w:tab w:val="clear" w:pos="1800"/>
        </w:tabs>
      </w:pPr>
      <w:r w:rsidRPr="00725E30">
        <w:t>(2)</w:t>
      </w:r>
      <w:r w:rsidRPr="00725E30">
        <w:tab/>
        <w:t xml:space="preserve">"Contact Hour" means a unit of measure for a continuing education activity. One contact hour equals 60 minutes in a learning activity, excluding meals and breaks. </w:t>
      </w:r>
    </w:p>
    <w:p w14:paraId="46D69DBE" w14:textId="77777777" w:rsidR="006A0BDB" w:rsidRPr="00725E30" w:rsidRDefault="006A0BDB" w:rsidP="001D2CEB">
      <w:pPr>
        <w:pStyle w:val="Item"/>
        <w:tabs>
          <w:tab w:val="clear" w:pos="1800"/>
        </w:tabs>
      </w:pPr>
      <w:r w:rsidRPr="00725E30">
        <w:t>(3)</w:t>
      </w:r>
      <w:r w:rsidRPr="00725E30">
        <w:tab/>
        <w:t>"Continuing Competence" means a process in which an occupational therapist or an occupational therapy assistant develops and maintains the knowledge, performance skills, interpersonal abilities, critical reasoning skills, and ethical practice reasoning skills necessary to perform his or her occupational therapy professional responsibilities.</w:t>
      </w:r>
    </w:p>
    <w:p w14:paraId="326E5173" w14:textId="77777777" w:rsidR="006A0BDB" w:rsidRPr="00725E30" w:rsidRDefault="006A0BDB" w:rsidP="001D2CEB">
      <w:pPr>
        <w:pStyle w:val="Item"/>
        <w:tabs>
          <w:tab w:val="clear" w:pos="1800"/>
        </w:tabs>
      </w:pPr>
      <w:r w:rsidRPr="00725E30">
        <w:t>(4)</w:t>
      </w:r>
      <w:r w:rsidRPr="00725E30">
        <w:tab/>
        <w:t>"Continuing Education" means structured educational experiences beyond academic degree work that are intended to provide knowledge in a particular area.</w:t>
      </w:r>
    </w:p>
    <w:p w14:paraId="4D3770EF" w14:textId="77777777" w:rsidR="006A0BDB" w:rsidRPr="00725E30" w:rsidRDefault="006A0BDB" w:rsidP="001D2CEB">
      <w:pPr>
        <w:pStyle w:val="Item"/>
        <w:tabs>
          <w:tab w:val="clear" w:pos="1800"/>
        </w:tabs>
      </w:pPr>
      <w:r w:rsidRPr="00725E30">
        <w:t>(5)</w:t>
      </w:r>
      <w:r w:rsidRPr="00725E30">
        <w:tab/>
        <w:t>"Continuing Education Credit" means credit given for a formalized activity in the form of contact hours or continuing education units.</w:t>
      </w:r>
    </w:p>
    <w:p w14:paraId="62F45797" w14:textId="77777777" w:rsidR="006A0BDB" w:rsidRPr="00725E30" w:rsidRDefault="006A0BDB" w:rsidP="001D2CEB">
      <w:pPr>
        <w:pStyle w:val="Item"/>
        <w:tabs>
          <w:tab w:val="clear" w:pos="1800"/>
        </w:tabs>
      </w:pPr>
      <w:r w:rsidRPr="00725E30">
        <w:t>(6)</w:t>
      </w:r>
      <w:r w:rsidRPr="00725E30">
        <w:tab/>
        <w:t xml:space="preserve">"Continuing Education Unit (CEU)" means a unit of measure for continuing education. One </w:t>
      </w:r>
      <w:r w:rsidRPr="00725E30">
        <w:lastRenderedPageBreak/>
        <w:t>CEU is defined as 10 contact hours of participation in a learning activity excluding meals and breaks.</w:t>
      </w:r>
    </w:p>
    <w:p w14:paraId="52D122BB" w14:textId="77777777" w:rsidR="006A0BDB" w:rsidRPr="00725E30" w:rsidRDefault="006A0BDB" w:rsidP="001D2CEB">
      <w:pPr>
        <w:pStyle w:val="Item"/>
        <w:tabs>
          <w:tab w:val="clear" w:pos="1800"/>
        </w:tabs>
      </w:pPr>
      <w:r w:rsidRPr="00725E30">
        <w:t>(7)</w:t>
      </w:r>
      <w:r w:rsidRPr="00725E30">
        <w:tab/>
        <w:t>"Peer Reviewed" means any written work that is blind reviewed by more than one person.</w:t>
      </w:r>
    </w:p>
    <w:p w14:paraId="3C2E48D5" w14:textId="77777777" w:rsidR="006A0BDB" w:rsidRPr="00725E30" w:rsidRDefault="006A0BDB" w:rsidP="001D2CEB">
      <w:pPr>
        <w:pStyle w:val="Item"/>
        <w:tabs>
          <w:tab w:val="clear" w:pos="1800"/>
        </w:tabs>
      </w:pPr>
      <w:r w:rsidRPr="00725E30">
        <w:t>(8)</w:t>
      </w:r>
      <w:r w:rsidRPr="00725E30">
        <w:tab/>
        <w:t>"Points" means an assigned unit of measure for each continuing competence activity as set forth in Rule .0805 of this Section.</w:t>
      </w:r>
    </w:p>
    <w:p w14:paraId="56ACF89B" w14:textId="77777777" w:rsidR="006A0BDB" w:rsidRPr="00725E30" w:rsidRDefault="006A0BDB" w:rsidP="001D2CEB">
      <w:pPr>
        <w:pStyle w:val="Base"/>
      </w:pPr>
    </w:p>
    <w:p w14:paraId="44CA3B5C" w14:textId="77777777" w:rsidR="006A0BDB" w:rsidRPr="00725E30" w:rsidRDefault="006A0BDB" w:rsidP="001D2CEB">
      <w:pPr>
        <w:pStyle w:val="History"/>
      </w:pPr>
      <w:r w:rsidRPr="00725E30">
        <w:t>History Note:</w:t>
      </w:r>
      <w:r w:rsidRPr="00725E30">
        <w:tab/>
        <w:t>Authority G.S. 90-270.69; 90-270.75(a);</w:t>
      </w:r>
    </w:p>
    <w:p w14:paraId="1D54053A" w14:textId="77777777" w:rsidR="006A0BDB" w:rsidRPr="00725E30" w:rsidRDefault="006A0BDB" w:rsidP="001D2CEB">
      <w:pPr>
        <w:pStyle w:val="HistoryAfter"/>
      </w:pPr>
      <w:r w:rsidRPr="00725E30">
        <w:t>Eff. July 1, 2007;</w:t>
      </w:r>
    </w:p>
    <w:p w14:paraId="3B593C84" w14:textId="77777777" w:rsidR="006A0BDB" w:rsidRPr="00725E30" w:rsidRDefault="006A0BDB" w:rsidP="001D2CEB">
      <w:pPr>
        <w:pStyle w:val="HistoryAfter"/>
      </w:pPr>
      <w:r w:rsidRPr="00725E30">
        <w:t>Pursuant to G.S. 150B-21.3A, rule is necessary without substantive public interest Eff. July 23, 2016;</w:t>
      </w:r>
    </w:p>
    <w:p w14:paraId="69736180" w14:textId="77777777" w:rsidR="006A0BDB" w:rsidRPr="00725E30" w:rsidRDefault="006A0BDB" w:rsidP="001D2CEB">
      <w:pPr>
        <w:pStyle w:val="HistoryAfter"/>
      </w:pPr>
      <w:r w:rsidRPr="00725E30">
        <w:t>Amended Eff. January 1, 2020.</w:t>
      </w:r>
    </w:p>
    <w:p w14:paraId="0A706BA2" w14:textId="77777777" w:rsidR="006A0BDB" w:rsidRPr="00725E30" w:rsidRDefault="006A0BDB" w:rsidP="001D2CEB">
      <w:pPr>
        <w:pStyle w:val="Base"/>
      </w:pPr>
    </w:p>
    <w:p w14:paraId="15DDCA32" w14:textId="77777777" w:rsidR="006A0BDB" w:rsidRPr="00002A90" w:rsidRDefault="006A0BDB" w:rsidP="001D2CEB">
      <w:pPr>
        <w:pStyle w:val="Rule"/>
      </w:pPr>
      <w:r w:rsidRPr="00002A90">
        <w:t>21 NCAC 38 .0804</w:t>
      </w:r>
      <w:r w:rsidRPr="00002A90">
        <w:tab/>
        <w:t>SCOPE OF QUALIFIED ACTIVITIES FOR MAINTAINING CONTINUING COMPETENCE</w:t>
      </w:r>
    </w:p>
    <w:p w14:paraId="78A2974F" w14:textId="77777777" w:rsidR="006A0BDB" w:rsidRPr="00002A90" w:rsidRDefault="006A0BDB" w:rsidP="001D2CEB">
      <w:pPr>
        <w:pStyle w:val="Paragraph"/>
      </w:pPr>
      <w:r w:rsidRPr="00002A90">
        <w:t>(a)  To be approved by the Board, activities that qualify for maintaining continuing competence as set forth in Rule .0805 of this Section must be related to the licensee's current or anticipated roles and responsibilities in occupational therapy by enhancing the licensee's continuing competence.</w:t>
      </w:r>
    </w:p>
    <w:p w14:paraId="1093A5EB" w14:textId="77777777" w:rsidR="006A0BDB" w:rsidRPr="00002A90" w:rsidRDefault="006A0BDB" w:rsidP="001D2CEB">
      <w:pPr>
        <w:pStyle w:val="Paragraph"/>
      </w:pPr>
      <w:r w:rsidRPr="00002A90">
        <w:t>(b)  Subject matter for approved activities include research; theoretical or practical content related to the practice of occupational therapy; or the development, administration, supervision, and teaching of clinical practice or service delivery programs by occupational therapists or occupational therapy assistants.</w:t>
      </w:r>
    </w:p>
    <w:p w14:paraId="0B50D15C" w14:textId="77777777" w:rsidR="006A0BDB" w:rsidRPr="00002A90" w:rsidRDefault="006A0BDB" w:rsidP="001D2CEB">
      <w:pPr>
        <w:pStyle w:val="Paragraph"/>
      </w:pPr>
      <w:r w:rsidRPr="00002A90">
        <w:t>(c)  Documentation of completion of continuing competence activities must be submitted to the Board as set forth in Rule .0805 of this Section.</w:t>
      </w:r>
    </w:p>
    <w:p w14:paraId="367C779C" w14:textId="77777777" w:rsidR="006A0BDB" w:rsidRPr="00002A90" w:rsidRDefault="006A0BDB" w:rsidP="001D2CEB">
      <w:pPr>
        <w:pStyle w:val="Base"/>
      </w:pPr>
    </w:p>
    <w:p w14:paraId="6005768F" w14:textId="77777777" w:rsidR="006A0BDB" w:rsidRPr="00002A90" w:rsidRDefault="006A0BDB" w:rsidP="001D2CEB">
      <w:pPr>
        <w:pStyle w:val="History"/>
      </w:pPr>
      <w:r w:rsidRPr="00002A90">
        <w:t>History Note:</w:t>
      </w:r>
      <w:r w:rsidRPr="00002A90">
        <w:tab/>
        <w:t>Authority G.S. 90-270.69; 90-270.75(a);</w:t>
      </w:r>
    </w:p>
    <w:p w14:paraId="4CA23273" w14:textId="77777777" w:rsidR="006A0BDB" w:rsidRPr="00002A90" w:rsidRDefault="006A0BDB" w:rsidP="001D2CEB">
      <w:pPr>
        <w:pStyle w:val="HistoryAfter"/>
      </w:pPr>
      <w:r w:rsidRPr="00002A90">
        <w:t>Eff. July 1, 2007;</w:t>
      </w:r>
    </w:p>
    <w:p w14:paraId="05765234" w14:textId="77777777" w:rsidR="006A0BDB" w:rsidRPr="00002A90" w:rsidRDefault="006A0BDB" w:rsidP="001D2CEB">
      <w:pPr>
        <w:pStyle w:val="HistoryAfter"/>
      </w:pPr>
      <w:r w:rsidRPr="00002A90">
        <w:t>Pursuant to G.S. 150B-21.3A, rule is necessary without substantive public interest Eff. July 23, 2016;</w:t>
      </w:r>
    </w:p>
    <w:p w14:paraId="273C4200" w14:textId="77777777" w:rsidR="006A0BDB" w:rsidRPr="00002A90" w:rsidRDefault="006A0BDB" w:rsidP="001D2CEB">
      <w:pPr>
        <w:pStyle w:val="HistoryAfter"/>
      </w:pPr>
      <w:r w:rsidRPr="00002A90">
        <w:t>Amended Eff. January 1, 2020.</w:t>
      </w:r>
    </w:p>
    <w:p w14:paraId="4DBCBAD0" w14:textId="77777777" w:rsidR="006A0BDB" w:rsidRPr="00002A90" w:rsidRDefault="006A0BDB" w:rsidP="001D2CEB">
      <w:pPr>
        <w:pStyle w:val="Base"/>
      </w:pPr>
    </w:p>
    <w:p w14:paraId="5C579BF9" w14:textId="77777777" w:rsidR="006A0BDB" w:rsidRPr="00375705" w:rsidRDefault="006A0BDB" w:rsidP="001D2CEB">
      <w:pPr>
        <w:pStyle w:val="Rule"/>
      </w:pPr>
      <w:r w:rsidRPr="00375705">
        <w:t>21 NCAC 38 .0805</w:t>
      </w:r>
      <w:r w:rsidRPr="00375705">
        <w:tab/>
        <w:t>QUALIFIED ACTIVITIES FOR MAINTAINING CONTINUING COMPETENCE</w:t>
      </w:r>
    </w:p>
    <w:p w14:paraId="28077434" w14:textId="77777777" w:rsidR="006A0BDB" w:rsidRPr="00375705" w:rsidRDefault="006A0BDB" w:rsidP="001D2CEB">
      <w:pPr>
        <w:pStyle w:val="Paragraph"/>
      </w:pPr>
      <w:r w:rsidRPr="00375705">
        <w:t>Activities that qualify for maintaining continuing competence shall include the following:</w:t>
      </w:r>
    </w:p>
    <w:p w14:paraId="4101B313" w14:textId="77777777" w:rsidR="006A0BDB" w:rsidRPr="00375705" w:rsidRDefault="006A0BDB" w:rsidP="001D2CEB">
      <w:pPr>
        <w:pStyle w:val="Item"/>
        <w:tabs>
          <w:tab w:val="clear" w:pos="1800"/>
        </w:tabs>
      </w:pPr>
      <w:r w:rsidRPr="00375705">
        <w:t>(1)</w:t>
      </w:r>
      <w:r w:rsidRPr="00375705">
        <w:tab/>
        <w:t>Continuing Education:</w:t>
      </w:r>
    </w:p>
    <w:p w14:paraId="793FC4FA" w14:textId="77777777" w:rsidR="006A0BDB" w:rsidRPr="00375705" w:rsidRDefault="006A0BDB" w:rsidP="001D2CEB">
      <w:pPr>
        <w:pStyle w:val="SubItemLvl1"/>
        <w:tabs>
          <w:tab w:val="clear" w:pos="2520"/>
        </w:tabs>
      </w:pPr>
      <w:r w:rsidRPr="00375705">
        <w:t>(a)</w:t>
      </w:r>
      <w:r w:rsidRPr="00375705">
        <w:tab/>
        <w:t>Includes attendance and participation at a live presentation such as a workshop, seminar, conference, or in-service educational program and may include participation in other continuing education activities that require an assessment of learning. Examples of continuing education include electronic or Web-based courses, AOTA Self-Paced Clinical Courses or other formalized self-study courses, or AOTA Continuing Education Articles;</w:t>
      </w:r>
    </w:p>
    <w:p w14:paraId="1E74AC4C" w14:textId="77777777" w:rsidR="006A0BDB" w:rsidRPr="00375705" w:rsidRDefault="006A0BDB" w:rsidP="001D2CEB">
      <w:pPr>
        <w:pStyle w:val="SubItemLvl1"/>
        <w:tabs>
          <w:tab w:val="clear" w:pos="2520"/>
        </w:tabs>
      </w:pPr>
      <w:r w:rsidRPr="00375705">
        <w:t>(b)</w:t>
      </w:r>
      <w:r w:rsidRPr="00375705">
        <w:tab/>
        <w:t xml:space="preserve">A licensee shall earn one point for each contact hour that is awarded by </w:t>
      </w:r>
      <w:r w:rsidRPr="00375705">
        <w:t>the provider. There are no maximum points in this category; and</w:t>
      </w:r>
    </w:p>
    <w:p w14:paraId="7D02B4A6" w14:textId="77777777" w:rsidR="006A0BDB" w:rsidRPr="00375705" w:rsidRDefault="006A0BDB" w:rsidP="001D2CEB">
      <w:pPr>
        <w:pStyle w:val="SubItemLvl1"/>
        <w:tabs>
          <w:tab w:val="clear" w:pos="2520"/>
        </w:tabs>
      </w:pPr>
      <w:r w:rsidRPr="00375705">
        <w:t>(c)</w:t>
      </w:r>
      <w:r w:rsidRPr="00375705">
        <w:tab/>
        <w:t>Documentation shall include a certificate of completion including name of course, date, author/instructor, sponsoring organization, location, and number of hours attended.</w:t>
      </w:r>
    </w:p>
    <w:p w14:paraId="6BD94AB9" w14:textId="77777777" w:rsidR="006A0BDB" w:rsidRPr="00375705" w:rsidRDefault="006A0BDB" w:rsidP="001D2CEB">
      <w:pPr>
        <w:pStyle w:val="Item"/>
        <w:tabs>
          <w:tab w:val="clear" w:pos="1800"/>
        </w:tabs>
      </w:pPr>
      <w:r w:rsidRPr="00375705">
        <w:t>(2)</w:t>
      </w:r>
      <w:r w:rsidRPr="00375705">
        <w:tab/>
        <w:t>Academic Coursework:</w:t>
      </w:r>
    </w:p>
    <w:p w14:paraId="0A149651" w14:textId="77777777" w:rsidR="006A0BDB" w:rsidRPr="00375705" w:rsidRDefault="006A0BDB" w:rsidP="001D2CEB">
      <w:pPr>
        <w:pStyle w:val="SubItemLvl1"/>
        <w:tabs>
          <w:tab w:val="clear" w:pos="2520"/>
        </w:tabs>
      </w:pPr>
      <w:r w:rsidRPr="00375705">
        <w:t>(a)</w:t>
      </w:r>
      <w:r w:rsidRPr="00375705">
        <w:tab/>
        <w:t>Includes participation in on-site or distance learning academic courses from a university, college, or vocational technical adult education course related to the practice of occupational therapy;</w:t>
      </w:r>
    </w:p>
    <w:p w14:paraId="52D765AF" w14:textId="77777777" w:rsidR="006A0BDB" w:rsidRPr="00375705" w:rsidRDefault="006A0BDB" w:rsidP="001D2CEB">
      <w:pPr>
        <w:pStyle w:val="SubItemLvl1"/>
        <w:tabs>
          <w:tab w:val="clear" w:pos="2520"/>
        </w:tabs>
      </w:pPr>
      <w:r w:rsidRPr="00375705">
        <w:t>(b)</w:t>
      </w:r>
      <w:r w:rsidRPr="00375705">
        <w:tab/>
        <w:t>A licensee shall earn one point for each contact hour, up to a maximum of six points, except that a</w:t>
      </w:r>
      <w:r>
        <w:t xml:space="preserve"> </w:t>
      </w:r>
      <w:r w:rsidRPr="00375705">
        <w:t>licensee enrolled in a graduate or post-graduate OT curriculum has no maximum points in this category; and</w:t>
      </w:r>
    </w:p>
    <w:p w14:paraId="2C64D69F" w14:textId="77777777" w:rsidR="006A0BDB" w:rsidRPr="00375705" w:rsidRDefault="006A0BDB" w:rsidP="001D2CEB">
      <w:pPr>
        <w:pStyle w:val="SubItemLvl1"/>
        <w:tabs>
          <w:tab w:val="clear" w:pos="2520"/>
        </w:tabs>
      </w:pPr>
      <w:r w:rsidRPr="00375705">
        <w:t>(c)</w:t>
      </w:r>
      <w:r w:rsidRPr="00375705">
        <w:tab/>
        <w:t>Documentation shall include an original official transcript indicating completion of the course, date, and a description of the course from the school catalogue or course syllabus.</w:t>
      </w:r>
    </w:p>
    <w:p w14:paraId="338A68C1" w14:textId="77777777" w:rsidR="006A0BDB" w:rsidRPr="00375705" w:rsidRDefault="006A0BDB" w:rsidP="001D2CEB">
      <w:pPr>
        <w:pStyle w:val="Item"/>
        <w:tabs>
          <w:tab w:val="clear" w:pos="1800"/>
        </w:tabs>
      </w:pPr>
      <w:r w:rsidRPr="00375705">
        <w:t>(3)</w:t>
      </w:r>
      <w:r w:rsidRPr="00375705">
        <w:tab/>
        <w:t>Small Group Study:</w:t>
      </w:r>
    </w:p>
    <w:p w14:paraId="5FE18988" w14:textId="77777777" w:rsidR="006A0BDB" w:rsidRPr="00375705" w:rsidRDefault="006A0BDB" w:rsidP="001D2CEB">
      <w:pPr>
        <w:pStyle w:val="SubItemLvl1"/>
        <w:tabs>
          <w:tab w:val="clear" w:pos="2520"/>
        </w:tabs>
      </w:pPr>
      <w:r w:rsidRPr="00375705">
        <w:t>(a)</w:t>
      </w:r>
      <w:r w:rsidRPr="00375705">
        <w:tab/>
        <w:t>Includes review and discussion of journal articles, clinical videotapes or audiotapes by at least two licensed practitioners;</w:t>
      </w:r>
    </w:p>
    <w:p w14:paraId="6A6602F1" w14:textId="77777777" w:rsidR="006A0BDB" w:rsidRPr="00375705" w:rsidRDefault="006A0BDB" w:rsidP="001D2CEB">
      <w:pPr>
        <w:pStyle w:val="SubItemLvl1"/>
        <w:tabs>
          <w:tab w:val="clear" w:pos="2520"/>
        </w:tabs>
      </w:pPr>
      <w:r w:rsidRPr="00375705">
        <w:t>(b)</w:t>
      </w:r>
      <w:r w:rsidRPr="00375705">
        <w:tab/>
        <w:t>A licensee shall earn one point for three contact hours up to a maximum of three points; and</w:t>
      </w:r>
    </w:p>
    <w:p w14:paraId="668BBDE7" w14:textId="77777777" w:rsidR="006A0BDB" w:rsidRPr="00375705" w:rsidRDefault="006A0BDB" w:rsidP="001D2CEB">
      <w:pPr>
        <w:pStyle w:val="SubItemLvl1"/>
        <w:tabs>
          <w:tab w:val="clear" w:pos="2520"/>
        </w:tabs>
      </w:pPr>
      <w:r w:rsidRPr="00375705">
        <w:t>(c)</w:t>
      </w:r>
      <w:r w:rsidRPr="00375705">
        <w:tab/>
        <w:t>Documentation shall include title, author, publisher, time spent, and date of completion. Licensee must complete the Small Group Study Form provided by the NCBOT and include a statement that describes how the activity relates to a licensee's current or anticipated roles and responsibilities.</w:t>
      </w:r>
    </w:p>
    <w:p w14:paraId="1A012568" w14:textId="77777777" w:rsidR="006A0BDB" w:rsidRPr="00375705" w:rsidRDefault="006A0BDB" w:rsidP="001D2CEB">
      <w:pPr>
        <w:pStyle w:val="Item"/>
        <w:tabs>
          <w:tab w:val="clear" w:pos="1800"/>
        </w:tabs>
      </w:pPr>
      <w:r w:rsidRPr="00375705">
        <w:t>(4)</w:t>
      </w:r>
      <w:r w:rsidRPr="00375705">
        <w:tab/>
        <w:t>Mentorship Agreement:</w:t>
      </w:r>
    </w:p>
    <w:p w14:paraId="3904BC22" w14:textId="77777777" w:rsidR="006A0BDB" w:rsidRPr="00375705" w:rsidRDefault="006A0BDB" w:rsidP="001D2CEB">
      <w:pPr>
        <w:pStyle w:val="SubItemLvl1"/>
        <w:tabs>
          <w:tab w:val="clear" w:pos="2520"/>
        </w:tabs>
      </w:pPr>
      <w:r w:rsidRPr="00375705">
        <w:t>(a)</w:t>
      </w:r>
      <w:r w:rsidRPr="00375705">
        <w:tab/>
        <w:t>Participation as a Mentee:</w:t>
      </w:r>
    </w:p>
    <w:p w14:paraId="05B2246B" w14:textId="77777777" w:rsidR="006A0BDB" w:rsidRPr="00375705" w:rsidRDefault="006A0BDB" w:rsidP="001D2CEB">
      <w:pPr>
        <w:pStyle w:val="SubItemLvl2"/>
      </w:pPr>
      <w:r w:rsidRPr="00375705">
        <w:t>(i)</w:t>
      </w:r>
      <w:r w:rsidRPr="00375705">
        <w:tab/>
        <w:t xml:space="preserve">Participation in a formalized mentorship agreement with a mentor as defined by a signed contract between the occupational therapy practitioner mentor and the occupational therapy practitioner mentee that outlines specific goals and objectives and designates the plan of activities that are to be met by the mentee. These activities must be related to the development of new </w:t>
      </w:r>
      <w:r w:rsidRPr="00375705">
        <w:lastRenderedPageBreak/>
        <w:t>occupational therapy skills outside current required job performance;</w:t>
      </w:r>
    </w:p>
    <w:p w14:paraId="1E2BDBF7" w14:textId="77777777" w:rsidR="006A0BDB" w:rsidRPr="00375705" w:rsidRDefault="006A0BDB" w:rsidP="001D2CEB">
      <w:pPr>
        <w:pStyle w:val="SubItemLvl2"/>
      </w:pPr>
      <w:r w:rsidRPr="00375705">
        <w:t>(ii)</w:t>
      </w:r>
      <w:r w:rsidRPr="00375705">
        <w:tab/>
        <w:t>A licensee shall earn one point for each 10 contact hours spent in activities directly related to achievement of goals and objectives up to a maximum of two points; and</w:t>
      </w:r>
    </w:p>
    <w:p w14:paraId="13A243F6" w14:textId="77777777" w:rsidR="006A0BDB" w:rsidRPr="00375705" w:rsidRDefault="006A0BDB" w:rsidP="001D2CEB">
      <w:pPr>
        <w:pStyle w:val="SubItemLvl2"/>
      </w:pPr>
      <w:r w:rsidRPr="00375705">
        <w:t>(iii)</w:t>
      </w:r>
      <w:r w:rsidRPr="00375705">
        <w:tab/>
        <w:t>Documentation shall include name of mentor and mentee, copy of signed contract, dates, hours spent and focus of mentorship activities, and outcomes of mentorship agreement.</w:t>
      </w:r>
    </w:p>
    <w:p w14:paraId="5315F4CE" w14:textId="77777777" w:rsidR="006A0BDB" w:rsidRPr="00375705" w:rsidRDefault="006A0BDB" w:rsidP="001D2CEB">
      <w:pPr>
        <w:pStyle w:val="SubItemLvl1"/>
        <w:tabs>
          <w:tab w:val="clear" w:pos="2520"/>
        </w:tabs>
      </w:pPr>
      <w:r w:rsidRPr="00375705">
        <w:t>(b)</w:t>
      </w:r>
      <w:r w:rsidRPr="00375705">
        <w:tab/>
        <w:t>Participation as Mentor:</w:t>
      </w:r>
    </w:p>
    <w:p w14:paraId="0C5D64C5" w14:textId="77777777" w:rsidR="006A0BDB" w:rsidRPr="00375705" w:rsidRDefault="006A0BDB" w:rsidP="001D2CEB">
      <w:pPr>
        <w:pStyle w:val="SubItemLvl2"/>
      </w:pPr>
      <w:r w:rsidRPr="00375705">
        <w:t>(i)</w:t>
      </w:r>
      <w:r w:rsidRPr="00375705">
        <w:tab/>
        <w:t>Participation in a formalized mentorship agreement with an occupational therapy practitioner or post Level II OT or OTA fieldwork student mentee as defined by a signed contract between the mentor and mentee that designates the responsibilities of the mentor and specific goals and objectives that are to be met by the mentee. These activities must be related to the development of occupational therapy skills for the mentee. The mentorship must not be part of the mentor's current required job responsibilities;</w:t>
      </w:r>
    </w:p>
    <w:p w14:paraId="75EF9C8D" w14:textId="77777777" w:rsidR="006A0BDB" w:rsidRPr="00375705" w:rsidRDefault="006A0BDB" w:rsidP="001D2CEB">
      <w:pPr>
        <w:pStyle w:val="SubItemLvl2"/>
      </w:pPr>
      <w:r w:rsidRPr="00375705">
        <w:t>(ii)</w:t>
      </w:r>
      <w:r w:rsidRPr="00375705">
        <w:tab/>
        <w:t>A licensee shall earn one point for each four hours spent in mentorship activities as a mentor up to a maximum of five points; and</w:t>
      </w:r>
    </w:p>
    <w:p w14:paraId="0455B5E7" w14:textId="77777777" w:rsidR="006A0BDB" w:rsidRPr="00375705" w:rsidRDefault="006A0BDB" w:rsidP="001D2CEB">
      <w:pPr>
        <w:pStyle w:val="SubItemLvl2"/>
      </w:pPr>
      <w:r w:rsidRPr="00375705">
        <w:t>(iii)</w:t>
      </w:r>
      <w:r w:rsidRPr="00375705">
        <w:tab/>
        <w:t>Documentation shall include name of mentor and mentee, copy of signed contract, dates, hours spent and focus of mentorship activities, and outcomes of mentorship agreement.</w:t>
      </w:r>
    </w:p>
    <w:p w14:paraId="673008F3" w14:textId="77777777" w:rsidR="006A0BDB" w:rsidRPr="00375705" w:rsidRDefault="006A0BDB" w:rsidP="001D2CEB">
      <w:pPr>
        <w:pStyle w:val="Item"/>
        <w:tabs>
          <w:tab w:val="clear" w:pos="1800"/>
        </w:tabs>
      </w:pPr>
      <w:r w:rsidRPr="00375705">
        <w:t>(5)</w:t>
      </w:r>
      <w:r w:rsidRPr="00375705">
        <w:tab/>
        <w:t>Fieldwork Supervision:</w:t>
      </w:r>
    </w:p>
    <w:p w14:paraId="38D44EA9" w14:textId="77777777" w:rsidR="006A0BDB" w:rsidRPr="00375705" w:rsidRDefault="006A0BDB" w:rsidP="001D2CEB">
      <w:pPr>
        <w:pStyle w:val="SubItemLvl1"/>
        <w:tabs>
          <w:tab w:val="clear" w:pos="2520"/>
        </w:tabs>
      </w:pPr>
      <w:r w:rsidRPr="00375705">
        <w:t>(a)</w:t>
      </w:r>
      <w:r w:rsidRPr="00375705">
        <w:tab/>
        <w:t>Participation as the primary clinical fieldwork educator for Level I or Level II OT or OTA fieldwork students;</w:t>
      </w:r>
    </w:p>
    <w:p w14:paraId="43DA70F3" w14:textId="77777777" w:rsidR="006A0BDB" w:rsidRPr="00375705" w:rsidRDefault="006A0BDB" w:rsidP="001D2CEB">
      <w:pPr>
        <w:pStyle w:val="SubItemLvl1"/>
        <w:tabs>
          <w:tab w:val="clear" w:pos="2520"/>
        </w:tabs>
      </w:pPr>
      <w:r w:rsidRPr="00375705">
        <w:t>(b)</w:t>
      </w:r>
      <w:r w:rsidRPr="00375705">
        <w:tab/>
        <w:t>A licensee shall earn one-half point for each 20 hours of fieldwork, up to a maximum of 12 points; points for Level I may not exceed six.</w:t>
      </w:r>
    </w:p>
    <w:p w14:paraId="2E2C0607" w14:textId="77777777" w:rsidR="006A0BDB" w:rsidRPr="00375705" w:rsidRDefault="006A0BDB" w:rsidP="001D2CEB">
      <w:pPr>
        <w:pStyle w:val="SubItemLvl1"/>
        <w:tabs>
          <w:tab w:val="clear" w:pos="2520"/>
        </w:tabs>
      </w:pPr>
      <w:r w:rsidRPr="00375705">
        <w:t>(c)</w:t>
      </w:r>
      <w:r w:rsidRPr="00375705">
        <w:tab/>
        <w:t>Documentation shall include verification provided by the school to the fieldwork educator with the name of student, school, and dates of fieldwork or the signature page of the completed student evaluation form. Evaluation scores and comments shall be deleted or blocked out; and</w:t>
      </w:r>
    </w:p>
    <w:p w14:paraId="69EFF5A9" w14:textId="77777777" w:rsidR="006A0BDB" w:rsidRPr="00375705" w:rsidRDefault="006A0BDB" w:rsidP="001D2CEB">
      <w:pPr>
        <w:pStyle w:val="SubItemLvl1"/>
        <w:tabs>
          <w:tab w:val="clear" w:pos="2520"/>
        </w:tabs>
      </w:pPr>
      <w:r w:rsidRPr="00375705">
        <w:t>(d)</w:t>
      </w:r>
      <w:r w:rsidRPr="00375705">
        <w:tab/>
        <w:t>If fieldwork spans two licensure years, credit shall be given only for the year it is completed.</w:t>
      </w:r>
    </w:p>
    <w:p w14:paraId="35B03A4C" w14:textId="77777777" w:rsidR="006A0BDB" w:rsidRPr="00375705" w:rsidRDefault="006A0BDB" w:rsidP="001D2CEB">
      <w:pPr>
        <w:pStyle w:val="Item"/>
        <w:tabs>
          <w:tab w:val="clear" w:pos="1800"/>
        </w:tabs>
      </w:pPr>
      <w:r w:rsidRPr="00375705">
        <w:t>(6)</w:t>
      </w:r>
      <w:r w:rsidRPr="00375705">
        <w:tab/>
        <w:t>Professional Writing:</w:t>
      </w:r>
    </w:p>
    <w:p w14:paraId="44B950A6" w14:textId="77777777" w:rsidR="006A0BDB" w:rsidRPr="00375705" w:rsidRDefault="006A0BDB" w:rsidP="001D2CEB">
      <w:pPr>
        <w:pStyle w:val="SubItemLvl1"/>
        <w:tabs>
          <w:tab w:val="clear" w:pos="2520"/>
        </w:tabs>
      </w:pPr>
      <w:r w:rsidRPr="00375705">
        <w:t>(a)</w:t>
      </w:r>
      <w:r w:rsidRPr="00375705">
        <w:tab/>
        <w:t>Publication of a peer-reviewed book, chapter, article, or contracted review of occupational therapy resource material;</w:t>
      </w:r>
    </w:p>
    <w:p w14:paraId="1457BE62" w14:textId="77777777" w:rsidR="006A0BDB" w:rsidRPr="00375705" w:rsidRDefault="006A0BDB" w:rsidP="001D2CEB">
      <w:pPr>
        <w:pStyle w:val="SubItemLvl1"/>
        <w:tabs>
          <w:tab w:val="clear" w:pos="2520"/>
        </w:tabs>
      </w:pPr>
      <w:r w:rsidRPr="00375705">
        <w:t>(b)</w:t>
      </w:r>
      <w:r w:rsidRPr="00375705">
        <w:tab/>
        <w:t>During the year written, edited, or reviewed a licensee shall earn:</w:t>
      </w:r>
    </w:p>
    <w:p w14:paraId="052F736C" w14:textId="77777777" w:rsidR="006A0BDB" w:rsidRPr="00375705" w:rsidRDefault="006A0BDB" w:rsidP="001D2CEB">
      <w:pPr>
        <w:pStyle w:val="SubItemLvl2"/>
      </w:pPr>
      <w:r w:rsidRPr="00375705">
        <w:t>(i)</w:t>
      </w:r>
      <w:r w:rsidRPr="00375705">
        <w:tab/>
        <w:t>15 points as author of a book;</w:t>
      </w:r>
    </w:p>
    <w:p w14:paraId="086BA418" w14:textId="77777777" w:rsidR="006A0BDB" w:rsidRPr="00375705" w:rsidRDefault="006A0BDB" w:rsidP="001D2CEB">
      <w:pPr>
        <w:pStyle w:val="SubItemLvl2"/>
      </w:pPr>
      <w:r w:rsidRPr="00375705">
        <w:t>(ii)</w:t>
      </w:r>
      <w:r w:rsidRPr="00375705">
        <w:tab/>
        <w:t>10 points as author of a chapter;</w:t>
      </w:r>
    </w:p>
    <w:p w14:paraId="2482E67E" w14:textId="77777777" w:rsidR="006A0BDB" w:rsidRPr="00375705" w:rsidRDefault="006A0BDB" w:rsidP="001D2CEB">
      <w:pPr>
        <w:pStyle w:val="SubItemLvl2"/>
      </w:pPr>
      <w:r w:rsidRPr="00375705">
        <w:t>(iii)</w:t>
      </w:r>
      <w:r w:rsidRPr="00375705">
        <w:tab/>
        <w:t>Five points as author of a peer-reviewed article;</w:t>
      </w:r>
    </w:p>
    <w:p w14:paraId="4CD124F9" w14:textId="77777777" w:rsidR="006A0BDB" w:rsidRPr="00375705" w:rsidRDefault="006A0BDB" w:rsidP="001D2CEB">
      <w:pPr>
        <w:pStyle w:val="SubItemLvl2"/>
      </w:pPr>
      <w:r w:rsidRPr="00375705">
        <w:t>(iv)</w:t>
      </w:r>
      <w:r w:rsidRPr="00375705">
        <w:tab/>
        <w:t>Five points as a contracted reviewer of a print or multimedia occupational therapy resource; or</w:t>
      </w:r>
    </w:p>
    <w:p w14:paraId="0E843CF3" w14:textId="77777777" w:rsidR="006A0BDB" w:rsidRPr="00375705" w:rsidRDefault="006A0BDB" w:rsidP="001D2CEB">
      <w:pPr>
        <w:pStyle w:val="SubItemLvl2"/>
      </w:pPr>
      <w:r w:rsidRPr="00375705">
        <w:t>(v)</w:t>
      </w:r>
      <w:r w:rsidRPr="00375705">
        <w:tab/>
        <w:t>10 points as listed editor of a book.</w:t>
      </w:r>
    </w:p>
    <w:p w14:paraId="0222FD9D" w14:textId="77777777" w:rsidR="006A0BDB" w:rsidRPr="00375705" w:rsidRDefault="006A0BDB" w:rsidP="001D2CEB">
      <w:pPr>
        <w:pStyle w:val="SubItemLvl1"/>
        <w:tabs>
          <w:tab w:val="clear" w:pos="2520"/>
        </w:tabs>
      </w:pPr>
      <w:r w:rsidRPr="00375705">
        <w:t>(c)</w:t>
      </w:r>
      <w:r w:rsidRPr="00375705">
        <w:tab/>
        <w:t>Documentation shall consist of full reference for publication including title, author, editor, and date of publication; or copy of acceptance letter, if not yet published; and</w:t>
      </w:r>
    </w:p>
    <w:p w14:paraId="13682084" w14:textId="77777777" w:rsidR="006A0BDB" w:rsidRPr="00375705" w:rsidRDefault="006A0BDB" w:rsidP="001D2CEB">
      <w:pPr>
        <w:pStyle w:val="SubItemLvl1"/>
        <w:tabs>
          <w:tab w:val="clear" w:pos="2520"/>
        </w:tabs>
      </w:pPr>
      <w:r w:rsidRPr="00375705">
        <w:t>(d)</w:t>
      </w:r>
      <w:r w:rsidRPr="00375705">
        <w:tab/>
        <w:t>Credit for submitted items shall be given for one licensure period only.</w:t>
      </w:r>
    </w:p>
    <w:p w14:paraId="1CB42F71" w14:textId="77777777" w:rsidR="006A0BDB" w:rsidRPr="00375705" w:rsidRDefault="006A0BDB" w:rsidP="001D2CEB">
      <w:pPr>
        <w:pStyle w:val="Item"/>
        <w:tabs>
          <w:tab w:val="clear" w:pos="1800"/>
        </w:tabs>
      </w:pPr>
      <w:r w:rsidRPr="00375705">
        <w:t>(7)</w:t>
      </w:r>
      <w:r w:rsidRPr="00375705">
        <w:tab/>
        <w:t>Presentation and Instruction:</w:t>
      </w:r>
    </w:p>
    <w:p w14:paraId="478CB11B" w14:textId="77777777" w:rsidR="006A0BDB" w:rsidRPr="00375705" w:rsidRDefault="006A0BDB" w:rsidP="001D2CEB">
      <w:pPr>
        <w:pStyle w:val="SubItemLvl1"/>
        <w:tabs>
          <w:tab w:val="clear" w:pos="2520"/>
        </w:tabs>
      </w:pPr>
      <w:r w:rsidRPr="00375705">
        <w:t>(a)</w:t>
      </w:r>
      <w:r w:rsidRPr="00375705">
        <w:tab/>
        <w:t>Presentation of an academic course or peer-reviewed or non peer-reviewed workshop, seminar, in-service, electronic or Web-based course for the first time or for which more than 50% of the material has been revised related to occupational therapy;</w:t>
      </w:r>
    </w:p>
    <w:p w14:paraId="7B733557" w14:textId="77777777" w:rsidR="006A0BDB" w:rsidRPr="00375705" w:rsidRDefault="006A0BDB" w:rsidP="001D2CEB">
      <w:pPr>
        <w:pStyle w:val="SubItemLvl1"/>
        <w:tabs>
          <w:tab w:val="clear" w:pos="2520"/>
        </w:tabs>
      </w:pPr>
      <w:r w:rsidRPr="00375705">
        <w:t>(b)</w:t>
      </w:r>
      <w:r w:rsidRPr="00375705">
        <w:tab/>
        <w:t>A licensee shall earn two points for one contact hour that is awarded for an activity, up to a maximum of six points; and</w:t>
      </w:r>
    </w:p>
    <w:p w14:paraId="0DD25753" w14:textId="77777777" w:rsidR="006A0BDB" w:rsidRPr="00375705" w:rsidRDefault="006A0BDB" w:rsidP="001D2CEB">
      <w:pPr>
        <w:pStyle w:val="SubItemLvl1"/>
        <w:tabs>
          <w:tab w:val="clear" w:pos="2520"/>
        </w:tabs>
      </w:pPr>
      <w:r w:rsidRPr="00375705">
        <w:t>(c)</w:t>
      </w:r>
      <w:r w:rsidRPr="00375705">
        <w:tab/>
        <w:t>Documentation shall include a copy of official program, schedule, or syllabus including presentation title, date, hours of presentation, and type of audience or verification of such, signed by the sponsor.</w:t>
      </w:r>
    </w:p>
    <w:p w14:paraId="596CC36C" w14:textId="77777777" w:rsidR="006A0BDB" w:rsidRPr="00375705" w:rsidRDefault="006A0BDB" w:rsidP="001D2CEB">
      <w:pPr>
        <w:pStyle w:val="Item"/>
        <w:tabs>
          <w:tab w:val="clear" w:pos="1800"/>
        </w:tabs>
      </w:pPr>
      <w:r w:rsidRPr="00375705">
        <w:t>(8)</w:t>
      </w:r>
      <w:r w:rsidRPr="00375705">
        <w:tab/>
        <w:t>Professional Meetings and Activities:</w:t>
      </w:r>
    </w:p>
    <w:p w14:paraId="3C91EFE2" w14:textId="77777777" w:rsidR="006A0BDB" w:rsidRPr="00375705" w:rsidRDefault="006A0BDB" w:rsidP="001D2CEB">
      <w:pPr>
        <w:pStyle w:val="SubItemLvl1"/>
        <w:tabs>
          <w:tab w:val="clear" w:pos="2520"/>
        </w:tabs>
      </w:pPr>
      <w:r w:rsidRPr="00375705">
        <w:t>(a)</w:t>
      </w:r>
      <w:r w:rsidRPr="00375705">
        <w:tab/>
        <w:t>Includes participation in board or committee work with agencies or organizations to promote and enhance the practice of occupational therapy;</w:t>
      </w:r>
    </w:p>
    <w:p w14:paraId="45AC8F49" w14:textId="77777777" w:rsidR="006A0BDB" w:rsidRPr="00375705" w:rsidRDefault="006A0BDB" w:rsidP="001D2CEB">
      <w:pPr>
        <w:pStyle w:val="SubItemLvl1"/>
        <w:tabs>
          <w:tab w:val="clear" w:pos="2520"/>
        </w:tabs>
      </w:pPr>
      <w:r w:rsidRPr="00375705">
        <w:lastRenderedPageBreak/>
        <w:t>(b)</w:t>
      </w:r>
      <w:r w:rsidRPr="00375705">
        <w:tab/>
        <w:t>A licensee shall earn one point for five hours, up to a maximum of two points for participation on committees or boards; and</w:t>
      </w:r>
    </w:p>
    <w:p w14:paraId="0801C9BA" w14:textId="77777777" w:rsidR="006A0BDB" w:rsidRPr="00375705" w:rsidRDefault="006A0BDB" w:rsidP="001D2CEB">
      <w:pPr>
        <w:pStyle w:val="SubItemLvl1"/>
        <w:tabs>
          <w:tab w:val="clear" w:pos="2520"/>
        </w:tabs>
      </w:pPr>
      <w:r w:rsidRPr="00375705">
        <w:t>(c)</w:t>
      </w:r>
      <w:r w:rsidRPr="00375705">
        <w:tab/>
        <w:t>Documentation must include name of committee or board, name of agency or organization, purpose of service, description of licensee's role, and hours of participation must be signed by an officer or representative of the organization or committee.</w:t>
      </w:r>
    </w:p>
    <w:p w14:paraId="47A48EC1" w14:textId="77777777" w:rsidR="006A0BDB" w:rsidRPr="00375705" w:rsidRDefault="006A0BDB" w:rsidP="001D2CEB">
      <w:pPr>
        <w:pStyle w:val="Item"/>
        <w:tabs>
          <w:tab w:val="clear" w:pos="1800"/>
        </w:tabs>
      </w:pPr>
      <w:r w:rsidRPr="00375705">
        <w:t>(9)</w:t>
      </w:r>
      <w:r w:rsidRPr="00375705">
        <w:tab/>
        <w:t>Board Certification or Specialty Certification:</w:t>
      </w:r>
    </w:p>
    <w:p w14:paraId="0F056612" w14:textId="77777777" w:rsidR="006A0BDB" w:rsidRPr="00375705" w:rsidRDefault="006A0BDB" w:rsidP="001D2CEB">
      <w:pPr>
        <w:pStyle w:val="SubItemLvl1"/>
        <w:tabs>
          <w:tab w:val="clear" w:pos="2520"/>
        </w:tabs>
      </w:pPr>
      <w:r w:rsidRPr="00375705">
        <w:t>(a)</w:t>
      </w:r>
      <w:r w:rsidRPr="00375705">
        <w:tab/>
        <w:t>The Board shall recognize completion of activities that result in board certification or specialty certification by AOTA during the current licensure period;</w:t>
      </w:r>
    </w:p>
    <w:p w14:paraId="5D297FDA" w14:textId="77777777" w:rsidR="006A0BDB" w:rsidRPr="00375705" w:rsidRDefault="006A0BDB" w:rsidP="001D2CEB">
      <w:pPr>
        <w:pStyle w:val="SubItemLvl1"/>
        <w:tabs>
          <w:tab w:val="clear" w:pos="2520"/>
        </w:tabs>
      </w:pPr>
      <w:r w:rsidRPr="00375705">
        <w:t>(b)</w:t>
      </w:r>
      <w:r w:rsidRPr="00375705">
        <w:tab/>
        <w:t>A licensee shall earn 15 points for each board certification or specialty certification credential earned or re-certified during the current licensure period; and</w:t>
      </w:r>
    </w:p>
    <w:p w14:paraId="1C1ABAB2" w14:textId="77777777" w:rsidR="006A0BDB" w:rsidRPr="00375705" w:rsidRDefault="006A0BDB" w:rsidP="001D2CEB">
      <w:pPr>
        <w:pStyle w:val="SubItemLvl1"/>
        <w:tabs>
          <w:tab w:val="clear" w:pos="2520"/>
        </w:tabs>
      </w:pPr>
      <w:r w:rsidRPr="00375705">
        <w:t>(c)</w:t>
      </w:r>
      <w:r w:rsidRPr="00375705">
        <w:tab/>
        <w:t>Documentation shall include certificate of completion or other documentation from the recognized certifying body that identifies satisfactory completion of requirements for obtaining board certification or specialty certification or recertification.</w:t>
      </w:r>
    </w:p>
    <w:p w14:paraId="4878F2BD" w14:textId="77777777" w:rsidR="006A0BDB" w:rsidRPr="00375705" w:rsidRDefault="006A0BDB" w:rsidP="001D2CEB">
      <w:pPr>
        <w:pStyle w:val="Item"/>
        <w:tabs>
          <w:tab w:val="clear" w:pos="1800"/>
        </w:tabs>
      </w:pPr>
      <w:r w:rsidRPr="00375705">
        <w:t>(10)</w:t>
      </w:r>
      <w:r w:rsidRPr="00375705">
        <w:tab/>
        <w:t>Research and Grants:</w:t>
      </w:r>
    </w:p>
    <w:p w14:paraId="63051FB7" w14:textId="77777777" w:rsidR="006A0BDB" w:rsidRPr="00375705" w:rsidRDefault="006A0BDB" w:rsidP="001D2CEB">
      <w:pPr>
        <w:pStyle w:val="SubItemLvl1"/>
        <w:tabs>
          <w:tab w:val="clear" w:pos="2520"/>
        </w:tabs>
      </w:pPr>
      <w:r w:rsidRPr="00375705">
        <w:t>(a)</w:t>
      </w:r>
      <w:r w:rsidRPr="00375705">
        <w:tab/>
        <w:t>Development of or participation in a research project or grant proposal relevant to occupational therapy;</w:t>
      </w:r>
    </w:p>
    <w:p w14:paraId="569E8E44" w14:textId="77777777" w:rsidR="006A0BDB" w:rsidRPr="00375705" w:rsidRDefault="006A0BDB" w:rsidP="001D2CEB">
      <w:pPr>
        <w:pStyle w:val="SubItemLvl1"/>
        <w:tabs>
          <w:tab w:val="clear" w:pos="2520"/>
        </w:tabs>
      </w:pPr>
      <w:r w:rsidRPr="00375705">
        <w:t>(b)</w:t>
      </w:r>
      <w:r w:rsidRPr="00375705">
        <w:tab/>
        <w:t>A licensee shall earn one point for each three hours spent working on a research project or grant proposal, up to a maximum of five points; and</w:t>
      </w:r>
    </w:p>
    <w:p w14:paraId="1BC497EE" w14:textId="77777777" w:rsidR="006A0BDB" w:rsidRPr="00375705" w:rsidRDefault="006A0BDB" w:rsidP="001D2CEB">
      <w:pPr>
        <w:pStyle w:val="SubItemLvl1"/>
        <w:tabs>
          <w:tab w:val="clear" w:pos="2520"/>
        </w:tabs>
      </w:pPr>
      <w:r w:rsidRPr="00375705">
        <w:t>(c)</w:t>
      </w:r>
      <w:r w:rsidRPr="00375705">
        <w:tab/>
        <w:t>Documentation includes verification from the primary investigator indicating the name of the research project, dates of participation, major hypotheses or objectives of the project, and licensee's role in the project or name of grant proposal, name of grant source, purpose and objectives of the project, and verification from the grant author regarding licensee's role in the development of the grant if not the author.</w:t>
      </w:r>
    </w:p>
    <w:p w14:paraId="6005350A" w14:textId="77777777" w:rsidR="006A0BDB" w:rsidRPr="00375705" w:rsidRDefault="006A0BDB" w:rsidP="001D2CEB">
      <w:pPr>
        <w:pStyle w:val="Base"/>
      </w:pPr>
    </w:p>
    <w:p w14:paraId="42D0A796" w14:textId="77777777" w:rsidR="006A0BDB" w:rsidRPr="00375705" w:rsidRDefault="006A0BDB" w:rsidP="001D2CEB">
      <w:pPr>
        <w:pStyle w:val="History"/>
      </w:pPr>
      <w:r w:rsidRPr="00375705">
        <w:t>History Note:</w:t>
      </w:r>
      <w:r w:rsidRPr="00375705">
        <w:tab/>
        <w:t>Authority G.S. 90-270.69; 90-270.75(a);</w:t>
      </w:r>
    </w:p>
    <w:p w14:paraId="59B9EEFF" w14:textId="77777777" w:rsidR="006A0BDB" w:rsidRPr="00375705" w:rsidRDefault="006A0BDB" w:rsidP="001D2CEB">
      <w:pPr>
        <w:pStyle w:val="HistoryAfter"/>
      </w:pPr>
      <w:r w:rsidRPr="00375705">
        <w:t>Eff. July 1, 2007;</w:t>
      </w:r>
    </w:p>
    <w:p w14:paraId="4D128DBE" w14:textId="77777777" w:rsidR="006A0BDB" w:rsidRPr="00375705" w:rsidRDefault="006A0BDB" w:rsidP="001D2CEB">
      <w:pPr>
        <w:pStyle w:val="HistoryAfter"/>
      </w:pPr>
      <w:r w:rsidRPr="00375705">
        <w:t>Pursuant to G.S. 150B-21.3A, rule is necessary without substantive public interest Eff. July 23, 2016;</w:t>
      </w:r>
    </w:p>
    <w:p w14:paraId="5BD49B72" w14:textId="77777777" w:rsidR="006A0BDB" w:rsidRPr="00375705" w:rsidRDefault="006A0BDB" w:rsidP="001D2CEB">
      <w:pPr>
        <w:pStyle w:val="HistoryAfter"/>
      </w:pPr>
      <w:r w:rsidRPr="00375705">
        <w:t>Amended Eff. January 1, 2020.</w:t>
      </w:r>
    </w:p>
    <w:p w14:paraId="065C5410" w14:textId="77777777" w:rsidR="006A0BDB" w:rsidRPr="00375705" w:rsidRDefault="006A0BDB" w:rsidP="001D2CEB">
      <w:pPr>
        <w:pStyle w:val="Base"/>
      </w:pPr>
    </w:p>
    <w:p w14:paraId="1F118FA7" w14:textId="77777777" w:rsidR="006A0BDB" w:rsidRPr="00C05190" w:rsidRDefault="006A0BDB" w:rsidP="001D2CEB">
      <w:pPr>
        <w:pStyle w:val="Base"/>
        <w:sectPr w:rsidR="006A0BDB" w:rsidRPr="00C05190" w:rsidSect="001D2CEB">
          <w:type w:val="continuous"/>
          <w:pgSz w:w="12240" w:h="15840"/>
          <w:pgMar w:top="360" w:right="720" w:bottom="360" w:left="720" w:header="360" w:footer="360" w:gutter="0"/>
          <w:cols w:num="2" w:space="360"/>
          <w:docGrid w:linePitch="360"/>
        </w:sectPr>
      </w:pPr>
    </w:p>
    <w:p w14:paraId="7FC0C917" w14:textId="77777777" w:rsidR="006A0BDB" w:rsidRPr="00F777AB" w:rsidRDefault="006A0BDB" w:rsidP="001D2CEB"/>
    <w:p w14:paraId="21EF65E0" w14:textId="77777777" w:rsidR="006A0BDB" w:rsidRPr="004242FB" w:rsidRDefault="006A0BDB" w:rsidP="001D2CEB">
      <w:pPr>
        <w:pStyle w:val="Base"/>
      </w:pPr>
    </w:p>
    <w:p w14:paraId="31FB9FD4" w14:textId="77777777" w:rsidR="00D52FD0" w:rsidRDefault="00D52FD0" w:rsidP="00D52FD0">
      <w:pPr>
        <w:pStyle w:val="Base"/>
      </w:pPr>
    </w:p>
    <w:p w14:paraId="1D2F5798" w14:textId="77777777"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00FD65CE"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3C4011F3" w14:textId="38271A5C"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E43A7C">
              <w:rPr>
                <w:i/>
                <w:iCs/>
              </w:rPr>
              <w:t>February 20</w:t>
            </w:r>
            <w:r w:rsidR="00F84D63">
              <w:rPr>
                <w:i/>
                <w:iCs/>
              </w:rPr>
              <w:t>, 20</w:t>
            </w:r>
            <w:r w:rsidR="00E43A7C">
              <w:rPr>
                <w:i/>
                <w:iCs/>
              </w:rPr>
              <w:t>20</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1437511A" w14:textId="77777777" w:rsidR="00AF2B36" w:rsidRPr="00AF2B36" w:rsidRDefault="00AF2B36" w:rsidP="00AF2B36">
      <w:pPr>
        <w:suppressAutoHyphens/>
        <w:jc w:val="center"/>
        <w:outlineLvl w:val="4"/>
        <w:rPr>
          <w:rFonts w:ascii="Arial" w:eastAsia="Arial Unicode MS" w:hAnsi="Arial" w:cs="Arial"/>
          <w:b/>
          <w:snapToGrid w:val="0"/>
          <w:kern w:val="0"/>
        </w:rPr>
      </w:pPr>
    </w:p>
    <w:p w14:paraId="292F0DF1" w14:textId="77777777" w:rsidR="00AF2B36" w:rsidRPr="00AF2B36" w:rsidRDefault="00AF2B36" w:rsidP="00AF2B36">
      <w:pPr>
        <w:jc w:val="center"/>
        <w:rPr>
          <w:rFonts w:ascii="Arial" w:hAnsi="Arial" w:cs="Arial"/>
          <w:b/>
          <w:bCs/>
        </w:rPr>
      </w:pPr>
      <w:r w:rsidRPr="00AF2B36">
        <w:rPr>
          <w:rFonts w:ascii="Arial" w:hAnsi="Arial" w:cs="Arial"/>
          <w:b/>
          <w:bCs/>
        </w:rPr>
        <w:t>RULES REVIEW COMMISSION MEMBERS</w:t>
      </w:r>
    </w:p>
    <w:p w14:paraId="0D369E13" w14:textId="77777777"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14:paraId="7E1633F9" w14:textId="77777777" w:rsidTr="00482A05">
        <w:tc>
          <w:tcPr>
            <w:tcW w:w="5400" w:type="dxa"/>
            <w:hideMark/>
          </w:tcPr>
          <w:p w14:paraId="035AEDA0" w14:textId="77777777"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14:paraId="525ABD1F" w14:textId="77777777" w:rsidR="00BF431E" w:rsidRPr="00AF2B36" w:rsidRDefault="00BF431E" w:rsidP="00BF431E">
            <w:pPr>
              <w:jc w:val="center"/>
              <w:rPr>
                <w:rFonts w:ascii="Arial" w:hAnsi="Arial" w:cs="Arial"/>
              </w:rPr>
            </w:pPr>
            <w:r w:rsidRPr="00AF2B36">
              <w:rPr>
                <w:rFonts w:ascii="Arial" w:hAnsi="Arial" w:cs="Arial"/>
                <w:b/>
              </w:rPr>
              <w:t>Appointed by House</w:t>
            </w:r>
          </w:p>
        </w:tc>
      </w:tr>
      <w:tr w:rsidR="00803AC4" w:rsidRPr="00AF2B36" w14:paraId="7500870A" w14:textId="77777777" w:rsidTr="00482A05">
        <w:tc>
          <w:tcPr>
            <w:tcW w:w="5400" w:type="dxa"/>
            <w:hideMark/>
          </w:tcPr>
          <w:p w14:paraId="34D4DA95" w14:textId="1C4242F8" w:rsidR="00803AC4" w:rsidRPr="00AF2B36" w:rsidRDefault="00803AC4" w:rsidP="00803AC4">
            <w:pPr>
              <w:jc w:val="center"/>
              <w:rPr>
                <w:rFonts w:ascii="Arial" w:hAnsi="Arial" w:cs="Arial"/>
              </w:rPr>
            </w:pPr>
            <w:r w:rsidRPr="00AF2B36">
              <w:rPr>
                <w:rFonts w:ascii="Arial" w:hAnsi="Arial" w:cs="Arial"/>
              </w:rPr>
              <w:t>Jeff Hyde (Chair)</w:t>
            </w:r>
          </w:p>
        </w:tc>
        <w:tc>
          <w:tcPr>
            <w:tcW w:w="5400" w:type="dxa"/>
            <w:hideMark/>
          </w:tcPr>
          <w:p w14:paraId="64D25B2C" w14:textId="3ED02B0D" w:rsidR="00803AC4" w:rsidRPr="00AF2B36" w:rsidRDefault="00803AC4" w:rsidP="00803AC4">
            <w:pPr>
              <w:jc w:val="center"/>
              <w:rPr>
                <w:rFonts w:ascii="Arial" w:hAnsi="Arial" w:cs="Arial"/>
              </w:rPr>
            </w:pPr>
            <w:r w:rsidRPr="00AF2B36">
              <w:rPr>
                <w:rFonts w:ascii="Arial" w:hAnsi="Arial" w:cs="Arial"/>
                <w:kern w:val="0"/>
              </w:rPr>
              <w:t>Jeanette Doran</w:t>
            </w:r>
            <w:r>
              <w:rPr>
                <w:rFonts w:ascii="Arial" w:hAnsi="Arial" w:cs="Arial"/>
                <w:kern w:val="0"/>
              </w:rPr>
              <w:t xml:space="preserve"> (1</w:t>
            </w:r>
            <w:r w:rsidRPr="00521BC9">
              <w:rPr>
                <w:rFonts w:ascii="Arial" w:hAnsi="Arial" w:cs="Arial"/>
                <w:kern w:val="0"/>
                <w:vertAlign w:val="superscript"/>
              </w:rPr>
              <w:t>st</w:t>
            </w:r>
            <w:r>
              <w:rPr>
                <w:rFonts w:ascii="Arial" w:hAnsi="Arial" w:cs="Arial"/>
                <w:kern w:val="0"/>
              </w:rPr>
              <w:t xml:space="preserve"> Vice Chair)</w:t>
            </w:r>
          </w:p>
        </w:tc>
      </w:tr>
      <w:tr w:rsidR="00803AC4" w:rsidRPr="00AF2B36" w14:paraId="277E786C" w14:textId="77777777" w:rsidTr="00482A05">
        <w:tc>
          <w:tcPr>
            <w:tcW w:w="5400" w:type="dxa"/>
          </w:tcPr>
          <w:p w14:paraId="30498597" w14:textId="392077CB" w:rsidR="00803AC4" w:rsidRPr="00AF2B36" w:rsidRDefault="00803AC4" w:rsidP="00803AC4">
            <w:pPr>
              <w:jc w:val="center"/>
              <w:rPr>
                <w:rFonts w:ascii="Arial" w:hAnsi="Arial" w:cs="Arial"/>
              </w:rPr>
            </w:pPr>
            <w:r w:rsidRPr="00AF2B36">
              <w:rPr>
                <w:rFonts w:ascii="Arial" w:hAnsi="Arial" w:cs="Arial"/>
              </w:rPr>
              <w:t>Robert A. Bryan, Jr.</w:t>
            </w:r>
          </w:p>
        </w:tc>
        <w:tc>
          <w:tcPr>
            <w:tcW w:w="5400" w:type="dxa"/>
          </w:tcPr>
          <w:p w14:paraId="0F96CE8C" w14:textId="019FCA19" w:rsidR="00803AC4" w:rsidRPr="00AF2B36" w:rsidRDefault="00803AC4" w:rsidP="00803AC4">
            <w:pPr>
              <w:jc w:val="center"/>
              <w:rPr>
                <w:rFonts w:ascii="Arial" w:hAnsi="Arial" w:cs="Arial"/>
                <w:kern w:val="0"/>
              </w:rPr>
            </w:pPr>
            <w:r>
              <w:rPr>
                <w:rFonts w:ascii="Arial" w:hAnsi="Arial" w:cs="Arial"/>
                <w:kern w:val="0"/>
              </w:rPr>
              <w:t>Andrew P. Atkins</w:t>
            </w:r>
          </w:p>
        </w:tc>
      </w:tr>
      <w:tr w:rsidR="00803AC4" w:rsidRPr="00AF2B36" w14:paraId="0185310B" w14:textId="77777777" w:rsidTr="00482A05">
        <w:tc>
          <w:tcPr>
            <w:tcW w:w="5400" w:type="dxa"/>
            <w:hideMark/>
          </w:tcPr>
          <w:p w14:paraId="39DE9D7A" w14:textId="572BF1C6" w:rsidR="00803AC4" w:rsidRPr="00AF2B36" w:rsidRDefault="00803AC4" w:rsidP="00803AC4">
            <w:pPr>
              <w:jc w:val="center"/>
              <w:rPr>
                <w:rFonts w:ascii="Arial" w:hAnsi="Arial" w:cs="Arial"/>
              </w:rPr>
            </w:pPr>
            <w:r w:rsidRPr="00AF2B36">
              <w:rPr>
                <w:rFonts w:ascii="Arial" w:hAnsi="Arial" w:cs="Arial"/>
              </w:rPr>
              <w:t>Margaret Currin</w:t>
            </w:r>
          </w:p>
        </w:tc>
        <w:tc>
          <w:tcPr>
            <w:tcW w:w="5400" w:type="dxa"/>
            <w:hideMark/>
          </w:tcPr>
          <w:p w14:paraId="2C4C2DC9" w14:textId="7D712296" w:rsidR="00803AC4" w:rsidRDefault="00803AC4" w:rsidP="00803AC4">
            <w:pPr>
              <w:jc w:val="center"/>
              <w:rPr>
                <w:rFonts w:ascii="Arial" w:hAnsi="Arial" w:cs="Arial"/>
                <w:kern w:val="0"/>
              </w:rPr>
            </w:pPr>
            <w:r>
              <w:rPr>
                <w:rFonts w:ascii="Arial" w:hAnsi="Arial" w:cs="Arial"/>
                <w:kern w:val="0"/>
              </w:rPr>
              <w:t>Anna Baird Choi (2</w:t>
            </w:r>
            <w:r w:rsidRPr="00521BC9">
              <w:rPr>
                <w:rFonts w:ascii="Arial" w:hAnsi="Arial" w:cs="Arial"/>
                <w:kern w:val="0"/>
                <w:vertAlign w:val="superscript"/>
              </w:rPr>
              <w:t>nd</w:t>
            </w:r>
            <w:r>
              <w:rPr>
                <w:rFonts w:ascii="Arial" w:hAnsi="Arial" w:cs="Arial"/>
                <w:kern w:val="0"/>
              </w:rPr>
              <w:t xml:space="preserve"> Vice Chair)</w:t>
            </w:r>
          </w:p>
        </w:tc>
      </w:tr>
      <w:tr w:rsidR="00803AC4" w:rsidRPr="00AF2B36" w14:paraId="297E87B3" w14:textId="77777777" w:rsidTr="00482A05">
        <w:tc>
          <w:tcPr>
            <w:tcW w:w="5400" w:type="dxa"/>
            <w:hideMark/>
          </w:tcPr>
          <w:p w14:paraId="6DB72F3C" w14:textId="1A5FC1A8" w:rsidR="00803AC4" w:rsidRPr="00AF2B36" w:rsidRDefault="00803AC4" w:rsidP="00803AC4">
            <w:pPr>
              <w:jc w:val="center"/>
              <w:rPr>
                <w:rFonts w:ascii="Arial" w:hAnsi="Arial" w:cs="Arial"/>
              </w:rPr>
            </w:pPr>
            <w:r w:rsidRPr="00B1265F">
              <w:rPr>
                <w:rFonts w:ascii="Arial" w:hAnsi="Arial" w:cs="Arial"/>
              </w:rPr>
              <w:t>Brian P. LiVecchi</w:t>
            </w:r>
          </w:p>
        </w:tc>
        <w:tc>
          <w:tcPr>
            <w:tcW w:w="5400" w:type="dxa"/>
            <w:hideMark/>
          </w:tcPr>
          <w:p w14:paraId="279C1280" w14:textId="7E32A5DC" w:rsidR="00803AC4" w:rsidRPr="00AF2B36" w:rsidRDefault="00803AC4" w:rsidP="00803AC4">
            <w:pPr>
              <w:jc w:val="center"/>
              <w:rPr>
                <w:rFonts w:ascii="Arial" w:hAnsi="Arial" w:cs="Arial"/>
                <w:kern w:val="0"/>
              </w:rPr>
            </w:pPr>
            <w:r w:rsidRPr="00AF2B36">
              <w:rPr>
                <w:rFonts w:ascii="Arial" w:hAnsi="Arial" w:cs="Arial"/>
                <w:kern w:val="0"/>
              </w:rPr>
              <w:t>Paul Powell</w:t>
            </w:r>
          </w:p>
        </w:tc>
      </w:tr>
      <w:tr w:rsidR="00803AC4" w:rsidRPr="00AF2B36" w14:paraId="655A9294" w14:textId="77777777" w:rsidTr="00482A05">
        <w:tc>
          <w:tcPr>
            <w:tcW w:w="5400" w:type="dxa"/>
            <w:hideMark/>
          </w:tcPr>
          <w:p w14:paraId="7628B7A3" w14:textId="7811DC62" w:rsidR="00803AC4" w:rsidRPr="00AF2B36" w:rsidRDefault="00803AC4" w:rsidP="00803AC4">
            <w:pPr>
              <w:jc w:val="center"/>
              <w:rPr>
                <w:rFonts w:ascii="Arial" w:hAnsi="Arial" w:cs="Arial"/>
              </w:rPr>
            </w:pPr>
            <w:r>
              <w:rPr>
                <w:rFonts w:ascii="Arial" w:hAnsi="Arial" w:cs="Arial"/>
              </w:rPr>
              <w:t>W. Tommy Tucker, Sr.</w:t>
            </w:r>
          </w:p>
        </w:tc>
        <w:tc>
          <w:tcPr>
            <w:tcW w:w="5400" w:type="dxa"/>
            <w:hideMark/>
          </w:tcPr>
          <w:p w14:paraId="1319F1B6" w14:textId="2921C589" w:rsidR="00803AC4" w:rsidRPr="00AF2B36" w:rsidRDefault="00803AC4" w:rsidP="00803AC4">
            <w:pPr>
              <w:jc w:val="center"/>
              <w:rPr>
                <w:rFonts w:ascii="Arial" w:hAnsi="Arial" w:cs="Arial"/>
                <w:kern w:val="0"/>
              </w:rPr>
            </w:pPr>
            <w:r>
              <w:rPr>
                <w:rFonts w:ascii="Arial" w:hAnsi="Arial" w:cs="Arial"/>
                <w:kern w:val="0"/>
              </w:rPr>
              <w:t>Garth Dunklin</w:t>
            </w:r>
          </w:p>
        </w:tc>
      </w:tr>
      <w:tr w:rsidR="00BF431E" w:rsidRPr="00AF2B36" w14:paraId="2912BD03" w14:textId="77777777" w:rsidTr="00482A05">
        <w:tc>
          <w:tcPr>
            <w:tcW w:w="5400" w:type="dxa"/>
          </w:tcPr>
          <w:p w14:paraId="5EB63232" w14:textId="77777777" w:rsidR="00BF431E" w:rsidRPr="00AF2B36" w:rsidRDefault="00BF431E" w:rsidP="00BF431E">
            <w:pPr>
              <w:jc w:val="center"/>
              <w:rPr>
                <w:rFonts w:ascii="Arial" w:hAnsi="Arial" w:cs="Arial"/>
                <w:kern w:val="0"/>
              </w:rPr>
            </w:pPr>
          </w:p>
        </w:tc>
        <w:tc>
          <w:tcPr>
            <w:tcW w:w="5400" w:type="dxa"/>
          </w:tcPr>
          <w:p w14:paraId="0EB0A0BA" w14:textId="77777777" w:rsidR="00BF431E" w:rsidRPr="00AF2B36" w:rsidRDefault="00BF431E" w:rsidP="00BF431E">
            <w:pPr>
              <w:jc w:val="center"/>
              <w:rPr>
                <w:rFonts w:ascii="Arial" w:hAnsi="Arial" w:cs="Arial"/>
                <w:kern w:val="0"/>
              </w:rPr>
            </w:pPr>
          </w:p>
        </w:tc>
      </w:tr>
    </w:tbl>
    <w:p w14:paraId="4EE9F3D5" w14:textId="77777777" w:rsidR="00AF2B36" w:rsidRPr="00AF2B36" w:rsidRDefault="00AF2B36" w:rsidP="00AF2B36">
      <w:pPr>
        <w:jc w:val="center"/>
        <w:rPr>
          <w:rFonts w:ascii="Arial" w:hAnsi="Arial" w:cs="Arial"/>
          <w:b/>
          <w:bCs/>
        </w:rPr>
      </w:pPr>
      <w:r w:rsidRPr="00AF2B36">
        <w:rPr>
          <w:rFonts w:ascii="Arial" w:hAnsi="Arial" w:cs="Arial"/>
          <w:b/>
          <w:bCs/>
        </w:rPr>
        <w:t>COMMISSION COUNSEL</w:t>
      </w:r>
    </w:p>
    <w:p w14:paraId="44C36FA4" w14:textId="77777777" w:rsidR="00C2243A" w:rsidRPr="00AF2B36" w:rsidRDefault="00C2243A" w:rsidP="00C2243A">
      <w:pPr>
        <w:jc w:val="center"/>
        <w:rPr>
          <w:rFonts w:ascii="Arial" w:hAnsi="Arial" w:cs="Arial"/>
          <w:bCs/>
        </w:rPr>
      </w:pPr>
      <w:r w:rsidRPr="00AF2B36">
        <w:rPr>
          <w:rFonts w:ascii="Arial" w:hAnsi="Arial" w:cs="Arial"/>
          <w:bCs/>
        </w:rPr>
        <w:t>Amber Cronk May</w:t>
      </w:r>
      <w:r w:rsidRPr="00AF2B36">
        <w:rPr>
          <w:rFonts w:ascii="Arial" w:hAnsi="Arial" w:cs="Arial"/>
          <w:bCs/>
        </w:rPr>
        <w:tab/>
        <w:t>(919)</w:t>
      </w:r>
      <w:r>
        <w:rPr>
          <w:rFonts w:ascii="Arial" w:hAnsi="Arial" w:cs="Arial"/>
          <w:bCs/>
        </w:rPr>
        <w:t xml:space="preserve"> </w:t>
      </w:r>
      <w:r w:rsidRPr="00AF2B36">
        <w:rPr>
          <w:rFonts w:ascii="Arial" w:hAnsi="Arial" w:cs="Arial"/>
          <w:bCs/>
        </w:rPr>
        <w:t>431-3074</w:t>
      </w:r>
    </w:p>
    <w:p w14:paraId="189EB04F" w14:textId="77777777" w:rsidR="00C2243A" w:rsidRDefault="00C2243A" w:rsidP="00C2243A">
      <w:pPr>
        <w:jc w:val="center"/>
        <w:rPr>
          <w:rFonts w:ascii="Arial" w:hAnsi="Arial" w:cs="Arial"/>
          <w:bCs/>
        </w:rPr>
      </w:pPr>
      <w:r w:rsidRPr="00AF2B36">
        <w:rPr>
          <w:rFonts w:ascii="Arial" w:hAnsi="Arial" w:cs="Arial"/>
          <w:bCs/>
        </w:rPr>
        <w:t>Amanda Reeder</w:t>
      </w:r>
      <w:r w:rsidRPr="00AF2B36">
        <w:rPr>
          <w:rFonts w:ascii="Arial" w:hAnsi="Arial" w:cs="Arial"/>
          <w:bCs/>
        </w:rPr>
        <w:tab/>
        <w:t>(919)</w:t>
      </w:r>
      <w:r>
        <w:rPr>
          <w:rFonts w:ascii="Arial" w:hAnsi="Arial" w:cs="Arial"/>
          <w:bCs/>
        </w:rPr>
        <w:t xml:space="preserve"> </w:t>
      </w:r>
      <w:r w:rsidRPr="00AF2B36">
        <w:rPr>
          <w:rFonts w:ascii="Arial" w:hAnsi="Arial" w:cs="Arial"/>
          <w:bCs/>
        </w:rPr>
        <w:t>431-3079</w:t>
      </w:r>
    </w:p>
    <w:p w14:paraId="1ADE965A" w14:textId="532592B8" w:rsidR="00C2243A" w:rsidRDefault="00C2243A" w:rsidP="00C2243A">
      <w:pPr>
        <w:jc w:val="center"/>
        <w:rPr>
          <w:rFonts w:ascii="Arial" w:hAnsi="Arial" w:cs="Arial"/>
          <w:bCs/>
        </w:rPr>
      </w:pPr>
      <w:r>
        <w:rPr>
          <w:rFonts w:ascii="Arial" w:hAnsi="Arial" w:cs="Arial"/>
          <w:bCs/>
        </w:rPr>
        <w:t>Ashley Snyder</w:t>
      </w:r>
      <w:r>
        <w:rPr>
          <w:rFonts w:ascii="Arial" w:hAnsi="Arial" w:cs="Arial"/>
          <w:bCs/>
        </w:rPr>
        <w:tab/>
      </w:r>
      <w:r>
        <w:rPr>
          <w:rFonts w:ascii="Arial" w:hAnsi="Arial" w:cs="Arial"/>
          <w:bCs/>
        </w:rPr>
        <w:tab/>
        <w:t xml:space="preserve">(919) </w:t>
      </w:r>
      <w:r w:rsidRPr="00AF2B36">
        <w:rPr>
          <w:rFonts w:ascii="Arial" w:hAnsi="Arial" w:cs="Arial"/>
          <w:bCs/>
        </w:rPr>
        <w:t>431-</w:t>
      </w:r>
      <w:bookmarkStart w:id="15" w:name="_Hlk9587698"/>
      <w:r w:rsidRPr="00AF2B36">
        <w:rPr>
          <w:rFonts w:ascii="Arial" w:hAnsi="Arial" w:cs="Arial"/>
          <w:bCs/>
        </w:rPr>
        <w:t>3081</w:t>
      </w:r>
      <w:bookmarkEnd w:id="15"/>
    </w:p>
    <w:p w14:paraId="637A7B2D" w14:textId="77777777" w:rsidR="00C2243A" w:rsidRDefault="00C2243A" w:rsidP="00C2243A">
      <w:pPr>
        <w:jc w:val="center"/>
        <w:rPr>
          <w:rFonts w:ascii="Arial" w:hAnsi="Arial" w:cs="Arial"/>
          <w:bCs/>
        </w:rPr>
      </w:pPr>
    </w:p>
    <w:p w14:paraId="7A715809" w14:textId="77777777"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14:paraId="694B482E" w14:textId="5C4BDA63" w:rsidR="00C42DAE" w:rsidRDefault="00AD619A" w:rsidP="00AD619A">
      <w:pPr>
        <w:tabs>
          <w:tab w:val="left" w:pos="3600"/>
          <w:tab w:val="right" w:pos="7380"/>
        </w:tabs>
        <w:jc w:val="left"/>
        <w:rPr>
          <w:rFonts w:ascii="Arial" w:hAnsi="Arial" w:cs="Arial"/>
        </w:rPr>
      </w:pPr>
      <w:r>
        <w:rPr>
          <w:rFonts w:ascii="Arial" w:hAnsi="Arial" w:cs="Arial"/>
        </w:rPr>
        <w:tab/>
      </w:r>
      <w:r w:rsidR="00E43A7C">
        <w:rPr>
          <w:rFonts w:ascii="Arial" w:hAnsi="Arial" w:cs="Arial"/>
        </w:rPr>
        <w:t>February 20</w:t>
      </w:r>
      <w:r>
        <w:rPr>
          <w:rFonts w:ascii="Arial" w:hAnsi="Arial" w:cs="Arial"/>
        </w:rPr>
        <w:t>, 20</w:t>
      </w:r>
      <w:r w:rsidR="00F5634B">
        <w:rPr>
          <w:rFonts w:ascii="Arial" w:hAnsi="Arial" w:cs="Arial"/>
        </w:rPr>
        <w:t>20</w:t>
      </w:r>
      <w:r w:rsidR="00C42DAE">
        <w:rPr>
          <w:rFonts w:ascii="Arial" w:hAnsi="Arial" w:cs="Arial"/>
        </w:rPr>
        <w:tab/>
      </w:r>
      <w:r w:rsidR="00E43A7C">
        <w:rPr>
          <w:rFonts w:ascii="Arial" w:hAnsi="Arial" w:cs="Arial"/>
        </w:rPr>
        <w:t>March 19</w:t>
      </w:r>
      <w:r w:rsidR="00C42DAE">
        <w:rPr>
          <w:rFonts w:ascii="Arial" w:hAnsi="Arial" w:cs="Arial"/>
        </w:rPr>
        <w:t>, 20</w:t>
      </w:r>
      <w:r w:rsidR="00F5634B">
        <w:rPr>
          <w:rFonts w:ascii="Arial" w:hAnsi="Arial" w:cs="Arial"/>
        </w:rPr>
        <w:t>20</w:t>
      </w:r>
    </w:p>
    <w:p w14:paraId="081CF0BE" w14:textId="525F8C1D" w:rsidR="00C42DAE" w:rsidRPr="00AF2B36" w:rsidRDefault="00AD619A" w:rsidP="00AD619A">
      <w:pPr>
        <w:tabs>
          <w:tab w:val="left" w:pos="3600"/>
          <w:tab w:val="right" w:pos="7380"/>
        </w:tabs>
        <w:jc w:val="left"/>
        <w:rPr>
          <w:rFonts w:ascii="Arial" w:hAnsi="Arial" w:cs="Arial"/>
        </w:rPr>
      </w:pPr>
      <w:r>
        <w:rPr>
          <w:rFonts w:ascii="Arial" w:hAnsi="Arial" w:cs="Arial"/>
        </w:rPr>
        <w:tab/>
      </w:r>
      <w:r w:rsidR="00E43A7C">
        <w:rPr>
          <w:rFonts w:ascii="Arial" w:hAnsi="Arial" w:cs="Arial"/>
        </w:rPr>
        <w:t>April 16</w:t>
      </w:r>
      <w:r w:rsidR="00C42DAE">
        <w:rPr>
          <w:rFonts w:ascii="Arial" w:hAnsi="Arial" w:cs="Arial"/>
        </w:rPr>
        <w:t>, 20</w:t>
      </w:r>
      <w:r w:rsidR="00F5634B">
        <w:rPr>
          <w:rFonts w:ascii="Arial" w:hAnsi="Arial" w:cs="Arial"/>
        </w:rPr>
        <w:t>20</w:t>
      </w:r>
      <w:r>
        <w:rPr>
          <w:rFonts w:ascii="Arial" w:hAnsi="Arial" w:cs="Arial"/>
        </w:rPr>
        <w:tab/>
      </w:r>
      <w:r w:rsidR="00E43A7C">
        <w:rPr>
          <w:rFonts w:ascii="Arial" w:hAnsi="Arial" w:cs="Arial"/>
        </w:rPr>
        <w:t>May 21</w:t>
      </w:r>
      <w:r w:rsidR="00C42DAE">
        <w:rPr>
          <w:rFonts w:ascii="Arial" w:hAnsi="Arial" w:cs="Arial"/>
        </w:rPr>
        <w:t>, 20</w:t>
      </w:r>
      <w:r w:rsidR="00F5634B">
        <w:rPr>
          <w:rFonts w:ascii="Arial" w:hAnsi="Arial" w:cs="Arial"/>
        </w:rPr>
        <w:t>20</w:t>
      </w:r>
    </w:p>
    <w:p w14:paraId="594C6F4E" w14:textId="77777777" w:rsidR="00AF2B36" w:rsidRPr="00AF2B36" w:rsidRDefault="00AF2B36" w:rsidP="00AF2B36">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3641ACFF" w14:textId="77777777" w:rsidR="00D52FD0" w:rsidRDefault="00D52FD0" w:rsidP="00D52FD0">
      <w:pPr>
        <w:rPr>
          <w:kern w:val="0"/>
        </w:rPr>
        <w:sectPr w:rsidR="00D52FD0">
          <w:headerReference w:type="default" r:id="rId24"/>
          <w:footerReference w:type="default" r:id="rId25"/>
          <w:pgSz w:w="12240" w:h="15840"/>
          <w:pgMar w:top="360" w:right="720" w:bottom="360" w:left="720" w:header="360" w:footer="360" w:gutter="0"/>
          <w:cols w:space="720"/>
        </w:sectPr>
      </w:pPr>
    </w:p>
    <w:p w14:paraId="2A41722E" w14:textId="77777777" w:rsidR="00E43A7C" w:rsidRPr="00BF1F42" w:rsidRDefault="00E43A7C" w:rsidP="00BF1F42">
      <w:pPr>
        <w:pStyle w:val="Section"/>
        <w:rPr>
          <w:rFonts w:ascii="Arial" w:hAnsi="Arial" w:cs="Arial"/>
          <w:i/>
        </w:rPr>
      </w:pPr>
      <w:r w:rsidRPr="00BF1F42">
        <w:rPr>
          <w:rFonts w:ascii="Arial" w:hAnsi="Arial" w:cs="Arial"/>
          <w:i/>
        </w:rPr>
        <w:t>AGENDA</w:t>
      </w:r>
    </w:p>
    <w:p w14:paraId="2BC61299" w14:textId="77777777" w:rsidR="00E43A7C" w:rsidRPr="00BF1F42" w:rsidRDefault="00E43A7C" w:rsidP="00BF1F42">
      <w:pPr>
        <w:pStyle w:val="Section"/>
        <w:rPr>
          <w:rFonts w:ascii="Arial" w:hAnsi="Arial" w:cs="Arial"/>
          <w:i/>
        </w:rPr>
      </w:pPr>
      <w:r w:rsidRPr="00BF1F42">
        <w:rPr>
          <w:rFonts w:ascii="Arial" w:hAnsi="Arial" w:cs="Arial"/>
          <w:i/>
        </w:rPr>
        <w:t>RULES REVIEW COMMISSION</w:t>
      </w:r>
    </w:p>
    <w:p w14:paraId="68C440C9" w14:textId="77777777" w:rsidR="00E43A7C" w:rsidRPr="00BF1F42" w:rsidRDefault="00E43A7C" w:rsidP="00BF1F42">
      <w:pPr>
        <w:pStyle w:val="Chapter"/>
        <w:rPr>
          <w:rFonts w:ascii="Arial" w:hAnsi="Arial" w:cs="Arial"/>
          <w:i/>
        </w:rPr>
      </w:pPr>
      <w:r w:rsidRPr="00BF1F42">
        <w:rPr>
          <w:rFonts w:ascii="Arial" w:hAnsi="Arial" w:cs="Arial"/>
          <w:i/>
        </w:rPr>
        <w:t>Thursday, February 20, 2020 9:00 A.M.</w:t>
      </w:r>
    </w:p>
    <w:p w14:paraId="4BF64A9E" w14:textId="77777777" w:rsidR="00E43A7C" w:rsidRDefault="00E43A7C" w:rsidP="00BF1F42">
      <w:pPr>
        <w:pStyle w:val="Paragraph"/>
        <w:jc w:val="center"/>
        <w:rPr>
          <w:rFonts w:ascii="Arial" w:hAnsi="Arial" w:cs="Arial"/>
          <w:b/>
          <w:i/>
        </w:rPr>
      </w:pPr>
      <w:r w:rsidRPr="00BF1F42">
        <w:rPr>
          <w:rFonts w:ascii="Arial" w:hAnsi="Arial" w:cs="Arial"/>
          <w:b/>
          <w:i/>
        </w:rPr>
        <w:t>1711 New Hope Church Rd., Raleigh, NC 27609</w:t>
      </w:r>
    </w:p>
    <w:p w14:paraId="429962F2" w14:textId="77777777" w:rsidR="00E43A7C" w:rsidRPr="00BF1F42" w:rsidRDefault="00E43A7C" w:rsidP="00BF1F42">
      <w:pPr>
        <w:pStyle w:val="Paragraph"/>
        <w:jc w:val="center"/>
        <w:rPr>
          <w:rFonts w:ascii="Arial" w:hAnsi="Arial" w:cs="Arial"/>
          <w:b/>
          <w:i/>
        </w:rPr>
      </w:pPr>
    </w:p>
    <w:p w14:paraId="1175A5B3" w14:textId="77777777" w:rsidR="00E43A7C" w:rsidRPr="00BF1F42" w:rsidRDefault="00E43A7C" w:rsidP="00E43A7C">
      <w:pPr>
        <w:pStyle w:val="ListParagraph"/>
        <w:numPr>
          <w:ilvl w:val="0"/>
          <w:numId w:val="4"/>
        </w:numPr>
        <w:spacing w:after="120"/>
        <w:rPr>
          <w:snapToGrid w:val="0"/>
          <w:kern w:val="0"/>
        </w:rPr>
      </w:pPr>
      <w:r w:rsidRPr="00BF1F42">
        <w:rPr>
          <w:snapToGrid w:val="0"/>
          <w:kern w:val="0"/>
        </w:rPr>
        <w:t>Ethics reminder by the chair as set out in G.S. 138A-15(e)</w:t>
      </w:r>
    </w:p>
    <w:p w14:paraId="696277F3" w14:textId="77777777" w:rsidR="00E43A7C" w:rsidRPr="00BF1F42" w:rsidRDefault="00E43A7C" w:rsidP="00E43A7C">
      <w:pPr>
        <w:pStyle w:val="Paragraph"/>
        <w:numPr>
          <w:ilvl w:val="0"/>
          <w:numId w:val="4"/>
        </w:numPr>
        <w:suppressAutoHyphens/>
        <w:spacing w:after="120"/>
        <w:rPr>
          <w:rFonts w:ascii="Arial" w:hAnsi="Arial" w:cs="Arial"/>
        </w:rPr>
      </w:pPr>
      <w:r w:rsidRPr="00BF1F42">
        <w:rPr>
          <w:rFonts w:ascii="Arial" w:hAnsi="Arial" w:cs="Arial"/>
        </w:rPr>
        <w:t>Approval of the minutes from the last meeting</w:t>
      </w:r>
    </w:p>
    <w:p w14:paraId="01A0A0C3" w14:textId="77777777" w:rsidR="00E43A7C" w:rsidRPr="00BF1F42" w:rsidRDefault="00E43A7C" w:rsidP="00E43A7C">
      <w:pPr>
        <w:pStyle w:val="Paragraph"/>
        <w:numPr>
          <w:ilvl w:val="0"/>
          <w:numId w:val="4"/>
        </w:numPr>
        <w:tabs>
          <w:tab w:val="left" w:pos="720"/>
        </w:tabs>
        <w:suppressAutoHyphens/>
        <w:rPr>
          <w:rFonts w:ascii="Arial" w:hAnsi="Arial" w:cs="Arial"/>
        </w:rPr>
      </w:pPr>
      <w:r w:rsidRPr="00BF1F42">
        <w:rPr>
          <w:rFonts w:ascii="Arial" w:hAnsi="Arial" w:cs="Arial"/>
        </w:rPr>
        <w:t>Follow-up matters</w:t>
      </w:r>
    </w:p>
    <w:p w14:paraId="0A441982" w14:textId="77777777" w:rsidR="00E43A7C" w:rsidRPr="00BF1F42" w:rsidRDefault="00E43A7C" w:rsidP="00E43A7C">
      <w:pPr>
        <w:pStyle w:val="ListParagraph"/>
        <w:numPr>
          <w:ilvl w:val="0"/>
          <w:numId w:val="5"/>
        </w:numPr>
      </w:pPr>
      <w:r w:rsidRPr="00BF1F42">
        <w:t>Department of Natural and Cultural Resources - 07 NCAC 13F .0202, .0303, .0304 (Reeder)</w:t>
      </w:r>
    </w:p>
    <w:p w14:paraId="71933A56" w14:textId="77777777" w:rsidR="00E43A7C" w:rsidRPr="00BF1F42" w:rsidRDefault="00E43A7C" w:rsidP="00E43A7C">
      <w:pPr>
        <w:pStyle w:val="ListParagraph"/>
        <w:numPr>
          <w:ilvl w:val="0"/>
          <w:numId w:val="5"/>
        </w:numPr>
      </w:pPr>
      <w:r w:rsidRPr="00BF1F42">
        <w:t>Board of Elections - 08 NCAC 10B .0103 (May)</w:t>
      </w:r>
    </w:p>
    <w:p w14:paraId="3831DDBB" w14:textId="77777777" w:rsidR="00E43A7C" w:rsidRPr="00BF1F42" w:rsidRDefault="00E43A7C" w:rsidP="00E43A7C">
      <w:pPr>
        <w:pStyle w:val="ListParagraph"/>
        <w:numPr>
          <w:ilvl w:val="0"/>
          <w:numId w:val="5"/>
        </w:numPr>
      </w:pPr>
      <w:r w:rsidRPr="00BF1F42">
        <w:t>Commission for the Blind - 10A NCAC 63C .0203, .0204, .0403, .0601 (Reeder)</w:t>
      </w:r>
    </w:p>
    <w:p w14:paraId="6C142121" w14:textId="77777777" w:rsidR="00E43A7C" w:rsidRPr="00BF1F42" w:rsidRDefault="00E43A7C" w:rsidP="00E43A7C">
      <w:pPr>
        <w:pStyle w:val="ListParagraph"/>
        <w:numPr>
          <w:ilvl w:val="0"/>
          <w:numId w:val="5"/>
        </w:numPr>
      </w:pPr>
      <w:r w:rsidRPr="00BF1F42">
        <w:t>Criminal Justice Education and Training Standards Commission – 12 NCAC 09E .0105 (Snyder)</w:t>
      </w:r>
    </w:p>
    <w:p w14:paraId="5B47D2CB" w14:textId="77777777" w:rsidR="00E43A7C" w:rsidRPr="00BF1F42" w:rsidRDefault="00E43A7C" w:rsidP="00E43A7C">
      <w:pPr>
        <w:pStyle w:val="ListParagraph"/>
        <w:numPr>
          <w:ilvl w:val="0"/>
          <w:numId w:val="5"/>
        </w:numPr>
      </w:pPr>
      <w:r w:rsidRPr="00BF1F42">
        <w:t xml:space="preserve">Private Protective Services Board - 14B NCAC 16 .0114, .0201, .0202, .0203, .0205, .0502, .0701, .0702, .0705, .0706, .0801, .0802, .0806, .0902, .0903, .0904, .0909, .0910, .0911, .0912, .1301, .1302, .1306, .1401, .1402, .1406 (Reeder) </w:t>
      </w:r>
    </w:p>
    <w:p w14:paraId="6D6E8D7C" w14:textId="77777777" w:rsidR="00E43A7C" w:rsidRPr="00BF1F42" w:rsidRDefault="00E43A7C" w:rsidP="00E43A7C">
      <w:pPr>
        <w:pStyle w:val="ListParagraph"/>
        <w:numPr>
          <w:ilvl w:val="0"/>
          <w:numId w:val="5"/>
        </w:numPr>
      </w:pPr>
      <w:r w:rsidRPr="00BF1F42">
        <w:t>Environmental Management Commission - 15A NCAC 02B .0240 (Reeder)</w:t>
      </w:r>
    </w:p>
    <w:p w14:paraId="4536C2C9" w14:textId="77777777" w:rsidR="00E43A7C" w:rsidRPr="00BF1F42" w:rsidRDefault="00E43A7C" w:rsidP="00E43A7C">
      <w:pPr>
        <w:pStyle w:val="ListParagraph"/>
        <w:numPr>
          <w:ilvl w:val="0"/>
          <w:numId w:val="5"/>
        </w:numPr>
      </w:pPr>
      <w:r w:rsidRPr="00BF1F42">
        <w:t>Environmental Management Commission - 15A NCAC 02B .0402, .0403, .0404, .0406, .0407, .0408, .0501, .0502, .0503, .0504, .0505, .0506, .0508, .0511; 02H .0101, .0102, .0103, .0105, .0106, .0107, .0108, .0109, .0111, .0112, .0113, .0114, .0115, .0116, .0117, .0118, .0120, .0121, .0124, .0125, .0127, .0138, .0139, .0140, .0141, .0142, .0143, .0401, .0402, .0403, .0404, .0405, .0406, .0407, .1201, .1202, .1203, .1204, .1205, .1206 (May)</w:t>
      </w:r>
    </w:p>
    <w:p w14:paraId="60DB72DB" w14:textId="77777777" w:rsidR="00E43A7C" w:rsidRPr="00BF1F42" w:rsidRDefault="00E43A7C" w:rsidP="00E43A7C">
      <w:pPr>
        <w:pStyle w:val="ListParagraph"/>
        <w:numPr>
          <w:ilvl w:val="0"/>
          <w:numId w:val="5"/>
        </w:numPr>
      </w:pPr>
      <w:r w:rsidRPr="00BF1F42">
        <w:t>Sedimentation Control Commission - 15A NCAC 04A .0101, .0105; 04B .0105, .0106, .0107, .0108, .0109, .0110, .0111, .0112, .0113, .0115, .0118, .0120, .0124, .0125, .0126, .0127, .0129, .0130, 0131, .0132; 04C .0103, .0106, .0107, .0108, .0110, .0111; 04D .0102; 04E .0101, .0102, .0104, .0201, .0203, .0403, .0405, .0406, .0501, .0502, .0503, .0504 (Reeder)</w:t>
      </w:r>
    </w:p>
    <w:p w14:paraId="5DD23398" w14:textId="77777777" w:rsidR="00E43A7C" w:rsidRPr="00BF1F42" w:rsidRDefault="00E43A7C" w:rsidP="00E43A7C">
      <w:pPr>
        <w:pStyle w:val="ListParagraph"/>
        <w:numPr>
          <w:ilvl w:val="0"/>
          <w:numId w:val="5"/>
        </w:numPr>
      </w:pPr>
      <w:r w:rsidRPr="00BF1F42">
        <w:t>Coastal Resources Commission - 15A NCAC 07H .0304, .0305, .0309, .0313, .1901, .1902, .1904, .1905 (Snyder)</w:t>
      </w:r>
    </w:p>
    <w:p w14:paraId="6412279B" w14:textId="77777777" w:rsidR="00E43A7C" w:rsidRPr="00BF1F42" w:rsidRDefault="00E43A7C" w:rsidP="00E43A7C">
      <w:pPr>
        <w:pStyle w:val="ListParagraph"/>
        <w:numPr>
          <w:ilvl w:val="0"/>
          <w:numId w:val="5"/>
        </w:numPr>
      </w:pPr>
      <w:r w:rsidRPr="00BF1F42">
        <w:t>Wildlife Resources Commission - 15A NCAC 10F .0306 (Snyder)</w:t>
      </w:r>
    </w:p>
    <w:p w14:paraId="278659E6" w14:textId="77777777" w:rsidR="00E43A7C" w:rsidRPr="00BF1F42" w:rsidRDefault="00E43A7C" w:rsidP="00E43A7C">
      <w:pPr>
        <w:pStyle w:val="ListParagraph"/>
        <w:numPr>
          <w:ilvl w:val="0"/>
          <w:numId w:val="5"/>
        </w:numPr>
      </w:pPr>
      <w:r w:rsidRPr="00BF1F42">
        <w:t>Board of Examiners of Electrical Contractors - 21 NCAC 18B .0212, .0303, .0404, .0408, .0901 (Reeder)</w:t>
      </w:r>
    </w:p>
    <w:p w14:paraId="6833984E" w14:textId="77777777" w:rsidR="00E43A7C" w:rsidRPr="00BF1F42" w:rsidRDefault="00E43A7C" w:rsidP="00BF1F42">
      <w:pPr>
        <w:ind w:left="1080" w:hanging="360"/>
        <w:rPr>
          <w:rFonts w:ascii="Arial" w:hAnsi="Arial" w:cs="Arial"/>
          <w:color w:val="000000" w:themeColor="text1"/>
        </w:rPr>
      </w:pPr>
      <w:r w:rsidRPr="00BF1F42">
        <w:rPr>
          <w:rFonts w:ascii="Arial" w:hAnsi="Arial" w:cs="Arial"/>
        </w:rPr>
        <w:t>L.</w:t>
      </w:r>
      <w:r w:rsidRPr="00BF1F42">
        <w:rPr>
          <w:rFonts w:ascii="Arial" w:hAnsi="Arial" w:cs="Arial"/>
        </w:rPr>
        <w:tab/>
      </w:r>
      <w:r w:rsidRPr="00BF1F42">
        <w:rPr>
          <w:rFonts w:ascii="Arial" w:hAnsi="Arial" w:cs="Arial"/>
          <w:color w:val="000000" w:themeColor="text1"/>
        </w:rPr>
        <w:t>State Board of Opticians – 21 NCAC 40 .0321 (Snyder)</w:t>
      </w:r>
    </w:p>
    <w:p w14:paraId="1E66DAAE" w14:textId="77777777" w:rsidR="00E43A7C" w:rsidRPr="00BF1F42" w:rsidRDefault="00E43A7C" w:rsidP="00BF1F42">
      <w:pPr>
        <w:ind w:left="1080" w:hanging="360"/>
        <w:rPr>
          <w:rFonts w:ascii="Arial" w:hAnsi="Arial" w:cs="Arial"/>
          <w:color w:val="000000" w:themeColor="text1"/>
        </w:rPr>
      </w:pPr>
      <w:r w:rsidRPr="00BF1F42">
        <w:rPr>
          <w:rFonts w:ascii="Arial" w:hAnsi="Arial" w:cs="Arial"/>
          <w:color w:val="000000" w:themeColor="text1"/>
        </w:rPr>
        <w:lastRenderedPageBreak/>
        <w:t>M.   Psychology Board - 21 NCAC 54 .1602, .1605, .1606, .1607, .1608, .1609, .1610, .1611, .1612, .1701, .1702, .1703, .1705, .1706, .1707, .1802, .1803, .1901, .1903, .1904, .2001, .2002, .2005, .2006, .2007, .2008, .2009, .2101, .2102, .2103, .2104, .2202, .2203, .2301, .2302, .2303, .2304, .2305, .2308, .2309, .2311, .2314, .2401, .2402, .2601, .2701, .2703, .2704, .2705, .2706, .2801, .2802, .2803, .2804, .2805, .2806 (May)</w:t>
      </w:r>
    </w:p>
    <w:p w14:paraId="6ADFFFBA" w14:textId="77777777" w:rsidR="00E43A7C" w:rsidRPr="00BF1F42" w:rsidRDefault="00E43A7C" w:rsidP="00BF1F42">
      <w:pPr>
        <w:spacing w:after="120"/>
        <w:ind w:left="1080" w:hanging="360"/>
        <w:rPr>
          <w:rFonts w:ascii="Arial" w:hAnsi="Arial" w:cs="Arial"/>
          <w:color w:val="000000" w:themeColor="text1"/>
        </w:rPr>
      </w:pPr>
      <w:r w:rsidRPr="00BF1F42">
        <w:rPr>
          <w:rFonts w:ascii="Arial" w:hAnsi="Arial" w:cs="Arial"/>
          <w:color w:val="000000" w:themeColor="text1"/>
        </w:rPr>
        <w:t>N.</w:t>
      </w:r>
      <w:r w:rsidRPr="00BF1F42">
        <w:rPr>
          <w:rFonts w:ascii="Arial" w:hAnsi="Arial" w:cs="Arial"/>
          <w:color w:val="000000" w:themeColor="text1"/>
        </w:rPr>
        <w:tab/>
        <w:t>Building Code Council - Residential Code, N1106.2 (R406.2); Energy Conservation Code, R202; Energy Conservation Code R406.2 (Reeder)</w:t>
      </w:r>
    </w:p>
    <w:p w14:paraId="2E627D74" w14:textId="77777777" w:rsidR="00E43A7C" w:rsidRPr="00BF1F42" w:rsidRDefault="00E43A7C" w:rsidP="00E43A7C">
      <w:pPr>
        <w:pStyle w:val="Paragraph"/>
        <w:numPr>
          <w:ilvl w:val="0"/>
          <w:numId w:val="4"/>
        </w:numPr>
        <w:tabs>
          <w:tab w:val="left" w:pos="720"/>
          <w:tab w:val="left" w:pos="2700"/>
        </w:tabs>
        <w:suppressAutoHyphens/>
        <w:rPr>
          <w:rFonts w:ascii="Arial" w:hAnsi="Arial" w:cs="Arial"/>
          <w:strike/>
          <w:color w:val="000000" w:themeColor="text1"/>
        </w:rPr>
      </w:pPr>
      <w:r w:rsidRPr="00BF1F42">
        <w:rPr>
          <w:rFonts w:ascii="Arial" w:hAnsi="Arial" w:cs="Arial"/>
          <w:color w:val="000000" w:themeColor="text1"/>
        </w:rPr>
        <w:t>Review of Log of Filings (Permanent Rules) for rules filed between December 23, 2019 through January 21, 2020</w:t>
      </w:r>
    </w:p>
    <w:p w14:paraId="1373A0C9"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Board of Agriculture (Snyder)</w:t>
      </w:r>
    </w:p>
    <w:p w14:paraId="55EC0A19"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Credit Union Division (Reeder)</w:t>
      </w:r>
    </w:p>
    <w:p w14:paraId="5B4C3B12"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Department of Insurance (Snyder)</w:t>
      </w:r>
    </w:p>
    <w:p w14:paraId="16830127"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Board of Dental Examiners (Snyder)</w:t>
      </w:r>
    </w:p>
    <w:p w14:paraId="3ACFDFF4"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Board of Nursing (May)</w:t>
      </w:r>
    </w:p>
    <w:p w14:paraId="53CF629D" w14:textId="77777777" w:rsidR="00E43A7C" w:rsidRPr="00BF1F42" w:rsidRDefault="00E43A7C" w:rsidP="00E43A7C">
      <w:pPr>
        <w:pStyle w:val="Paragraph"/>
        <w:numPr>
          <w:ilvl w:val="0"/>
          <w:numId w:val="8"/>
        </w:numPr>
        <w:tabs>
          <w:tab w:val="left" w:pos="720"/>
          <w:tab w:val="left" w:pos="2700"/>
        </w:tabs>
        <w:suppressAutoHyphens/>
        <w:ind w:left="1080"/>
        <w:rPr>
          <w:rFonts w:ascii="Arial" w:hAnsi="Arial" w:cs="Arial"/>
          <w:color w:val="000000" w:themeColor="text1"/>
        </w:rPr>
      </w:pPr>
      <w:r w:rsidRPr="00BF1F42">
        <w:rPr>
          <w:rFonts w:ascii="Arial" w:hAnsi="Arial" w:cs="Arial"/>
          <w:color w:val="000000" w:themeColor="text1"/>
        </w:rPr>
        <w:t>Board of Recreational Therapy Licensure (Reeder)</w:t>
      </w:r>
    </w:p>
    <w:p w14:paraId="56070C1B" w14:textId="77777777" w:rsidR="00E43A7C" w:rsidRPr="00BF1F42" w:rsidRDefault="00E43A7C" w:rsidP="00E43A7C">
      <w:pPr>
        <w:pStyle w:val="Paragraph"/>
        <w:numPr>
          <w:ilvl w:val="0"/>
          <w:numId w:val="8"/>
        </w:numPr>
        <w:tabs>
          <w:tab w:val="left" w:pos="720"/>
          <w:tab w:val="left" w:pos="2700"/>
        </w:tabs>
        <w:suppressAutoHyphens/>
        <w:spacing w:after="120"/>
        <w:ind w:left="1080"/>
        <w:rPr>
          <w:rFonts w:ascii="Arial" w:hAnsi="Arial" w:cs="Arial"/>
          <w:color w:val="000000" w:themeColor="text1"/>
        </w:rPr>
      </w:pPr>
      <w:r w:rsidRPr="00BF1F42">
        <w:rPr>
          <w:rFonts w:ascii="Arial" w:hAnsi="Arial" w:cs="Arial"/>
          <w:color w:val="000000" w:themeColor="text1"/>
        </w:rPr>
        <w:t xml:space="preserve">Building Code Council (Reeder) </w:t>
      </w:r>
    </w:p>
    <w:p w14:paraId="6768574D" w14:textId="77777777" w:rsidR="00E43A7C" w:rsidRPr="00BF1F42" w:rsidRDefault="00E43A7C" w:rsidP="00E43A7C">
      <w:pPr>
        <w:pStyle w:val="Paragraph"/>
        <w:numPr>
          <w:ilvl w:val="0"/>
          <w:numId w:val="4"/>
        </w:numPr>
        <w:tabs>
          <w:tab w:val="left" w:pos="720"/>
          <w:tab w:val="left" w:pos="2700"/>
        </w:tabs>
        <w:suppressAutoHyphens/>
        <w:spacing w:after="120"/>
        <w:rPr>
          <w:rFonts w:ascii="Arial" w:hAnsi="Arial" w:cs="Arial"/>
        </w:rPr>
      </w:pPr>
      <w:r w:rsidRPr="00BF1F42">
        <w:rPr>
          <w:rFonts w:ascii="Arial" w:hAnsi="Arial" w:cs="Arial"/>
        </w:rPr>
        <w:t xml:space="preserve">Review of Log of Filings (Temporary Rules) for any rule filed within 15 business days prior to the RRC Meeting </w:t>
      </w:r>
    </w:p>
    <w:p w14:paraId="28EA099A" w14:textId="77777777" w:rsidR="00E43A7C" w:rsidRPr="00BF1F42" w:rsidRDefault="00E43A7C" w:rsidP="00BF1F42">
      <w:pPr>
        <w:ind w:left="720" w:hanging="720"/>
        <w:rPr>
          <w:rFonts w:ascii="Arial" w:eastAsia="Calibri" w:hAnsi="Arial" w:cs="Arial"/>
          <w:color w:val="000000"/>
        </w:rPr>
      </w:pPr>
      <w:r w:rsidRPr="00BF1F42">
        <w:rPr>
          <w:rFonts w:ascii="Arial" w:eastAsia="Calibri" w:hAnsi="Arial" w:cs="Arial"/>
          <w:color w:val="000000"/>
        </w:rPr>
        <w:t>VI.</w:t>
      </w:r>
      <w:r w:rsidRPr="00BF1F42">
        <w:rPr>
          <w:rFonts w:ascii="Arial" w:eastAsia="Calibri" w:hAnsi="Arial" w:cs="Arial"/>
          <w:color w:val="000000"/>
        </w:rPr>
        <w:tab/>
        <w:t>Existing Rules Review</w:t>
      </w:r>
    </w:p>
    <w:p w14:paraId="357F309D" w14:textId="77777777" w:rsidR="00E43A7C" w:rsidRPr="00BF1F42" w:rsidRDefault="00E43A7C" w:rsidP="00E43A7C">
      <w:pPr>
        <w:pStyle w:val="ListParagraph"/>
        <w:numPr>
          <w:ilvl w:val="0"/>
          <w:numId w:val="6"/>
        </w:numPr>
        <w:suppressAutoHyphens/>
        <w:snapToGrid w:val="0"/>
        <w:spacing w:after="120"/>
        <w:ind w:left="994" w:hanging="274"/>
        <w:jc w:val="both"/>
        <w:outlineLvl w:val="4"/>
        <w:rPr>
          <w:rFonts w:eastAsia="Calibri"/>
          <w:color w:val="000000"/>
        </w:rPr>
      </w:pPr>
      <w:r w:rsidRPr="00BF1F42">
        <w:rPr>
          <w:rFonts w:eastAsia="Calibri"/>
          <w:color w:val="000000"/>
        </w:rPr>
        <w:t>Readoptions</w:t>
      </w:r>
    </w:p>
    <w:p w14:paraId="6B78BE71" w14:textId="77777777" w:rsidR="00E43A7C" w:rsidRPr="00BF1F42" w:rsidRDefault="00E43A7C" w:rsidP="00BF1F42">
      <w:pPr>
        <w:pStyle w:val="Paragraph"/>
        <w:ind w:left="720" w:hanging="720"/>
        <w:rPr>
          <w:rFonts w:ascii="Arial" w:hAnsi="Arial" w:cs="Arial"/>
        </w:rPr>
      </w:pPr>
      <w:r w:rsidRPr="00BF1F42">
        <w:rPr>
          <w:rFonts w:ascii="Arial" w:hAnsi="Arial" w:cs="Arial"/>
        </w:rPr>
        <w:t>VII.</w:t>
      </w:r>
      <w:r w:rsidRPr="00BF1F42">
        <w:rPr>
          <w:rFonts w:ascii="Arial" w:hAnsi="Arial" w:cs="Arial"/>
        </w:rPr>
        <w:tab/>
        <w:t>Commission Business</w:t>
      </w:r>
    </w:p>
    <w:p w14:paraId="122ED2DD" w14:textId="77777777" w:rsidR="00E43A7C" w:rsidRPr="00BF1F42" w:rsidRDefault="00E43A7C" w:rsidP="00E43A7C">
      <w:pPr>
        <w:pStyle w:val="ListParagraph"/>
        <w:numPr>
          <w:ilvl w:val="3"/>
          <w:numId w:val="7"/>
        </w:numPr>
        <w:ind w:left="990" w:hanging="270"/>
      </w:pPr>
      <w:r w:rsidRPr="00BF1F42">
        <w:t>Next meeting: Thursday, March 19, 2020</w:t>
      </w:r>
    </w:p>
    <w:p w14:paraId="295C2BA6" w14:textId="77777777" w:rsidR="00E43A7C" w:rsidRPr="00BF1F42" w:rsidRDefault="00E43A7C" w:rsidP="00BF1F42"/>
    <w:p w14:paraId="50033E18" w14:textId="77777777" w:rsidR="00E43A7C" w:rsidRPr="00BF1F42" w:rsidRDefault="00E43A7C" w:rsidP="00BF1F42">
      <w:pPr>
        <w:pBdr>
          <w:top w:val="single" w:sz="18" w:space="1" w:color="auto"/>
        </w:pBdr>
      </w:pPr>
    </w:p>
    <w:p w14:paraId="277200CD" w14:textId="77777777" w:rsidR="00E43A7C" w:rsidRPr="00BF1F42" w:rsidRDefault="00E43A7C" w:rsidP="00BF1F42">
      <w:pPr>
        <w:jc w:val="center"/>
        <w:rPr>
          <w:rFonts w:ascii="Arial" w:hAnsi="Arial" w:cs="Arial"/>
          <w:b/>
          <w:bCs/>
        </w:rPr>
      </w:pPr>
      <w:r w:rsidRPr="00BF1F42">
        <w:rPr>
          <w:rFonts w:ascii="Arial" w:hAnsi="Arial" w:cs="Arial"/>
          <w:b/>
          <w:bCs/>
        </w:rPr>
        <w:t>Commission Review</w:t>
      </w:r>
    </w:p>
    <w:p w14:paraId="5B958965" w14:textId="77777777" w:rsidR="00E43A7C" w:rsidRPr="00BF1F42" w:rsidRDefault="00E43A7C" w:rsidP="00BF1F42">
      <w:pPr>
        <w:jc w:val="center"/>
        <w:rPr>
          <w:rFonts w:ascii="Arial" w:hAnsi="Arial" w:cs="Arial"/>
          <w:b/>
          <w:bCs/>
          <w:i/>
          <w:iCs/>
        </w:rPr>
      </w:pPr>
      <w:r w:rsidRPr="00BF1F42">
        <w:rPr>
          <w:rFonts w:ascii="Arial" w:hAnsi="Arial" w:cs="Arial"/>
          <w:b/>
          <w:bCs/>
          <w:i/>
          <w:iCs/>
        </w:rPr>
        <w:t>Log of Permanent Rule Filings</w:t>
      </w:r>
    </w:p>
    <w:p w14:paraId="12C4C821" w14:textId="77777777" w:rsidR="00E43A7C" w:rsidRPr="00BF1F42" w:rsidRDefault="00E43A7C" w:rsidP="00BF1F42">
      <w:pPr>
        <w:jc w:val="center"/>
        <w:rPr>
          <w:rFonts w:ascii="Arial" w:hAnsi="Arial" w:cs="Arial"/>
          <w:b/>
          <w:bCs/>
          <w:i/>
          <w:iCs/>
        </w:rPr>
      </w:pPr>
      <w:r w:rsidRPr="00BF1F42">
        <w:rPr>
          <w:rFonts w:ascii="Arial" w:hAnsi="Arial" w:cs="Arial"/>
          <w:b/>
          <w:bCs/>
          <w:i/>
          <w:iCs/>
        </w:rPr>
        <w:t>December 23, 2019 through January 21, 2020</w:t>
      </w:r>
    </w:p>
    <w:p w14:paraId="223E44B3" w14:textId="77777777" w:rsidR="00E43A7C" w:rsidRPr="00BF1F42" w:rsidRDefault="00E43A7C" w:rsidP="00BF1F42"/>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754"/>
        <w:gridCol w:w="202"/>
        <w:gridCol w:w="882"/>
        <w:gridCol w:w="724"/>
        <w:gridCol w:w="516"/>
        <w:gridCol w:w="722"/>
      </w:tblGrid>
      <w:tr w:rsidR="00E43A7C" w:rsidRPr="00BF1F42" w14:paraId="708AD519" w14:textId="77777777" w:rsidTr="00BF1F42">
        <w:trPr>
          <w:tblCellSpacing w:w="15" w:type="dxa"/>
        </w:trPr>
        <w:tc>
          <w:tcPr>
            <w:tcW w:w="10740" w:type="dxa"/>
            <w:gridSpan w:val="6"/>
            <w:tcMar>
              <w:top w:w="375" w:type="dxa"/>
              <w:left w:w="15" w:type="dxa"/>
              <w:bottom w:w="15" w:type="dxa"/>
              <w:right w:w="15" w:type="dxa"/>
            </w:tcMar>
            <w:vAlign w:val="center"/>
            <w:hideMark/>
          </w:tcPr>
          <w:p w14:paraId="49DE4F08" w14:textId="77777777" w:rsidR="00E43A7C" w:rsidRPr="00BF1F42" w:rsidRDefault="00E43A7C" w:rsidP="00BF1F42">
            <w:pPr>
              <w:rPr>
                <w:rFonts w:ascii="Arial" w:hAnsi="Arial" w:cs="Arial"/>
                <w:b/>
                <w:bCs/>
                <w:caps/>
              </w:rPr>
            </w:pPr>
            <w:r w:rsidRPr="00BF1F42">
              <w:rPr>
                <w:rFonts w:ascii="Arial" w:hAnsi="Arial" w:cs="Arial"/>
                <w:b/>
                <w:bCs/>
                <w:caps/>
              </w:rPr>
              <w:t>Agriculture, Board of</w:t>
            </w:r>
          </w:p>
        </w:tc>
      </w:tr>
      <w:tr w:rsidR="00E43A7C" w:rsidRPr="00BF1F42" w14:paraId="6376E0AF" w14:textId="77777777" w:rsidTr="00BF1F42">
        <w:trPr>
          <w:tblCellSpacing w:w="15" w:type="dxa"/>
        </w:trPr>
        <w:tc>
          <w:tcPr>
            <w:tcW w:w="10740" w:type="dxa"/>
            <w:gridSpan w:val="6"/>
            <w:tcMar>
              <w:top w:w="144" w:type="dxa"/>
              <w:left w:w="144" w:type="dxa"/>
              <w:bottom w:w="144" w:type="dxa"/>
              <w:right w:w="144" w:type="dxa"/>
            </w:tcMar>
            <w:vAlign w:val="center"/>
            <w:hideMark/>
          </w:tcPr>
          <w:p w14:paraId="191E0F34" w14:textId="77777777" w:rsidR="00E43A7C" w:rsidRPr="00BF1F42" w:rsidRDefault="00E43A7C" w:rsidP="00BF1F42">
            <w:pPr>
              <w:rPr>
                <w:rFonts w:ascii="Arial" w:hAnsi="Arial" w:cs="Arial"/>
              </w:rPr>
            </w:pPr>
            <w:r w:rsidRPr="00BF1F42">
              <w:rPr>
                <w:rFonts w:ascii="Arial" w:hAnsi="Arial" w:cs="Arial"/>
              </w:rPr>
              <w:t xml:space="preserve">The rules in Chapter 9 are from the food and drug protection division. </w:t>
            </w:r>
          </w:p>
          <w:p w14:paraId="3139FFC1" w14:textId="77777777" w:rsidR="00E43A7C" w:rsidRPr="00BF1F42" w:rsidRDefault="00E43A7C" w:rsidP="00BF1F42">
            <w:pPr>
              <w:rPr>
                <w:rFonts w:ascii="Arial" w:hAnsi="Arial" w:cs="Arial"/>
              </w:rPr>
            </w:pPr>
          </w:p>
          <w:p w14:paraId="19155BFE" w14:textId="77777777" w:rsidR="00E43A7C" w:rsidRPr="00BF1F42" w:rsidRDefault="00E43A7C" w:rsidP="00BF1F42">
            <w:pPr>
              <w:rPr>
                <w:rFonts w:ascii="Arial" w:hAnsi="Arial" w:cs="Arial"/>
              </w:rPr>
            </w:pPr>
            <w:r w:rsidRPr="00BF1F42">
              <w:rPr>
                <w:rFonts w:ascii="Arial" w:hAnsi="Arial" w:cs="Arial"/>
              </w:rPr>
              <w:t>The rules in Subchapter 09E concern feed.</w:t>
            </w:r>
          </w:p>
        </w:tc>
      </w:tr>
      <w:tr w:rsidR="00E43A7C" w:rsidRPr="00BF1F42" w14:paraId="75D64591" w14:textId="77777777" w:rsidTr="00BF1F42">
        <w:trPr>
          <w:tblCellSpacing w:w="15" w:type="dxa"/>
        </w:trPr>
        <w:tc>
          <w:tcPr>
            <w:tcW w:w="7709" w:type="dxa"/>
            <w:hideMark/>
          </w:tcPr>
          <w:p w14:paraId="6296895E" w14:textId="77777777" w:rsidR="00E43A7C" w:rsidRPr="00BF1F42" w:rsidRDefault="00E43A7C" w:rsidP="00BF1F42">
            <w:pPr>
              <w:rPr>
                <w:rFonts w:ascii="Arial" w:hAnsi="Arial" w:cs="Arial"/>
              </w:rPr>
            </w:pPr>
            <w:r w:rsidRPr="00BF1F42">
              <w:rPr>
                <w:rFonts w:ascii="Arial" w:hAnsi="Arial" w:cs="Arial"/>
                <w:u w:val="single"/>
              </w:rPr>
              <w:t>Current Good Manufacturing Practice of the North Carolina...</w:t>
            </w:r>
          </w:p>
          <w:p w14:paraId="4420B54A" w14:textId="77777777" w:rsidR="00E43A7C" w:rsidRPr="00BF1F42" w:rsidRDefault="00E43A7C" w:rsidP="00BF1F42">
            <w:pPr>
              <w:rPr>
                <w:rFonts w:ascii="Arial" w:hAnsi="Arial" w:cs="Arial"/>
              </w:rPr>
            </w:pPr>
            <w:r w:rsidRPr="00BF1F42">
              <w:rPr>
                <w:rFonts w:ascii="Arial" w:hAnsi="Arial" w:cs="Arial"/>
              </w:rPr>
              <w:t>Adopt*</w:t>
            </w:r>
          </w:p>
        </w:tc>
        <w:tc>
          <w:tcPr>
            <w:tcW w:w="172" w:type="dxa"/>
            <w:vAlign w:val="center"/>
            <w:hideMark/>
          </w:tcPr>
          <w:p w14:paraId="35D79F1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BFE1815" w14:textId="77777777" w:rsidR="00E43A7C" w:rsidRPr="00BF1F42" w:rsidRDefault="00E43A7C" w:rsidP="00BF1F42">
            <w:pPr>
              <w:rPr>
                <w:rFonts w:ascii="Arial" w:hAnsi="Arial" w:cs="Arial"/>
              </w:rPr>
            </w:pPr>
            <w:r w:rsidRPr="00BF1F42">
              <w:rPr>
                <w:rFonts w:ascii="Arial" w:hAnsi="Arial" w:cs="Arial"/>
              </w:rPr>
              <w:t>02</w:t>
            </w:r>
          </w:p>
        </w:tc>
        <w:tc>
          <w:tcPr>
            <w:tcW w:w="694" w:type="dxa"/>
            <w:noWrap/>
            <w:hideMark/>
          </w:tcPr>
          <w:p w14:paraId="4DEEAD5A"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87D39B9" w14:textId="77777777" w:rsidR="00E43A7C" w:rsidRPr="00BF1F42" w:rsidRDefault="00E43A7C" w:rsidP="00BF1F42">
            <w:pPr>
              <w:rPr>
                <w:rFonts w:ascii="Arial" w:hAnsi="Arial" w:cs="Arial"/>
              </w:rPr>
            </w:pPr>
            <w:r w:rsidRPr="00BF1F42">
              <w:rPr>
                <w:rFonts w:ascii="Arial" w:hAnsi="Arial" w:cs="Arial"/>
              </w:rPr>
              <w:t>09E</w:t>
            </w:r>
          </w:p>
        </w:tc>
        <w:tc>
          <w:tcPr>
            <w:tcW w:w="677" w:type="dxa"/>
            <w:noWrap/>
            <w:hideMark/>
          </w:tcPr>
          <w:p w14:paraId="571C5ADA" w14:textId="77777777" w:rsidR="00E43A7C" w:rsidRPr="00BF1F42" w:rsidRDefault="00E43A7C" w:rsidP="00BF1F42">
            <w:pPr>
              <w:rPr>
                <w:rFonts w:ascii="Arial" w:hAnsi="Arial" w:cs="Arial"/>
              </w:rPr>
            </w:pPr>
            <w:r w:rsidRPr="00BF1F42">
              <w:rPr>
                <w:rFonts w:ascii="Arial" w:hAnsi="Arial" w:cs="Arial"/>
              </w:rPr>
              <w:t>.0116</w:t>
            </w:r>
          </w:p>
        </w:tc>
      </w:tr>
      <w:tr w:rsidR="00E43A7C" w:rsidRPr="00BF1F42" w14:paraId="4FBAA6BA" w14:textId="77777777" w:rsidTr="00BF1F42">
        <w:trPr>
          <w:tblCellSpacing w:w="15" w:type="dxa"/>
        </w:trPr>
        <w:tc>
          <w:tcPr>
            <w:tcW w:w="10740" w:type="dxa"/>
            <w:gridSpan w:val="6"/>
            <w:tcMar>
              <w:top w:w="375" w:type="dxa"/>
              <w:left w:w="15" w:type="dxa"/>
              <w:bottom w:w="15" w:type="dxa"/>
              <w:right w:w="15" w:type="dxa"/>
            </w:tcMar>
            <w:vAlign w:val="center"/>
            <w:hideMark/>
          </w:tcPr>
          <w:p w14:paraId="3837CCDA" w14:textId="77777777" w:rsidR="00E43A7C" w:rsidRPr="00BF1F42" w:rsidRDefault="00E43A7C" w:rsidP="00BF1F42">
            <w:pPr>
              <w:rPr>
                <w:rFonts w:ascii="Arial" w:hAnsi="Arial" w:cs="Arial"/>
                <w:b/>
                <w:bCs/>
                <w:caps/>
              </w:rPr>
            </w:pPr>
            <w:r w:rsidRPr="00BF1F42">
              <w:rPr>
                <w:rFonts w:ascii="Arial" w:hAnsi="Arial" w:cs="Arial"/>
                <w:b/>
                <w:bCs/>
                <w:caps/>
              </w:rPr>
              <w:t>Credit Union Division</w:t>
            </w:r>
          </w:p>
        </w:tc>
      </w:tr>
      <w:tr w:rsidR="00E43A7C" w:rsidRPr="00BF1F42" w14:paraId="47DF11A1" w14:textId="77777777" w:rsidTr="00BF1F42">
        <w:trPr>
          <w:tblCellSpacing w:w="15" w:type="dxa"/>
        </w:trPr>
        <w:tc>
          <w:tcPr>
            <w:tcW w:w="10740" w:type="dxa"/>
            <w:gridSpan w:val="6"/>
            <w:tcMar>
              <w:top w:w="144" w:type="dxa"/>
              <w:left w:w="144" w:type="dxa"/>
              <w:bottom w:w="144" w:type="dxa"/>
              <w:right w:w="144" w:type="dxa"/>
            </w:tcMar>
            <w:vAlign w:val="center"/>
            <w:hideMark/>
          </w:tcPr>
          <w:p w14:paraId="469B1E1D" w14:textId="77777777" w:rsidR="00E43A7C" w:rsidRPr="00BF1F42" w:rsidRDefault="00E43A7C" w:rsidP="00BF1F42">
            <w:pPr>
              <w:rPr>
                <w:rFonts w:ascii="Arial" w:hAnsi="Arial" w:cs="Arial"/>
              </w:rPr>
            </w:pPr>
            <w:r w:rsidRPr="00BF1F42">
              <w:rPr>
                <w:rFonts w:ascii="Arial" w:hAnsi="Arial" w:cs="Arial"/>
              </w:rPr>
              <w:t>The rules in Subchapter 6C concern credit unions and include general information (.0100); organization of credit unions (.0200); basic internal controls: accounting procedures and operation standards for state-chartered credit unions (.0300); loans (.0400); impairment and insolvency (.0500); dividends deposits and interest rebate (.0600); accounts (.0700); reports to administrator (.0800); pension plans (.0900); retention of records (.1000); forms used by credit union division (.1100); investments (.1200); reserves (.1300); and signature guarantee services.</w:t>
            </w:r>
          </w:p>
        </w:tc>
      </w:tr>
      <w:tr w:rsidR="00E43A7C" w:rsidRPr="00BF1F42" w14:paraId="58340916" w14:textId="77777777" w:rsidTr="00BF1F42">
        <w:trPr>
          <w:tblCellSpacing w:w="15" w:type="dxa"/>
        </w:trPr>
        <w:tc>
          <w:tcPr>
            <w:tcW w:w="7709" w:type="dxa"/>
            <w:hideMark/>
          </w:tcPr>
          <w:p w14:paraId="53B4382F" w14:textId="77777777" w:rsidR="00E43A7C" w:rsidRPr="00BF1F42" w:rsidRDefault="00E43A7C" w:rsidP="00BF1F42">
            <w:pPr>
              <w:rPr>
                <w:rFonts w:ascii="Arial" w:hAnsi="Arial" w:cs="Arial"/>
              </w:rPr>
            </w:pPr>
            <w:r w:rsidRPr="00BF1F42">
              <w:rPr>
                <w:rFonts w:ascii="Arial" w:hAnsi="Arial" w:cs="Arial"/>
                <w:u w:val="single"/>
              </w:rPr>
              <w:t>Other Reserves</w:t>
            </w:r>
          </w:p>
          <w:p w14:paraId="43DC5617"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76DF8339"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77BA1DDC" w14:textId="77777777" w:rsidR="00E43A7C" w:rsidRPr="00BF1F42" w:rsidRDefault="00E43A7C" w:rsidP="00BF1F42">
            <w:pPr>
              <w:rPr>
                <w:rFonts w:ascii="Arial" w:hAnsi="Arial" w:cs="Arial"/>
              </w:rPr>
            </w:pPr>
            <w:r w:rsidRPr="00BF1F42">
              <w:rPr>
                <w:rFonts w:ascii="Arial" w:hAnsi="Arial" w:cs="Arial"/>
              </w:rPr>
              <w:t>04</w:t>
            </w:r>
          </w:p>
        </w:tc>
        <w:tc>
          <w:tcPr>
            <w:tcW w:w="694" w:type="dxa"/>
            <w:noWrap/>
            <w:hideMark/>
          </w:tcPr>
          <w:p w14:paraId="3A188060"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901BBAA" w14:textId="77777777" w:rsidR="00E43A7C" w:rsidRPr="00BF1F42" w:rsidRDefault="00E43A7C" w:rsidP="00BF1F42">
            <w:pPr>
              <w:rPr>
                <w:rFonts w:ascii="Arial" w:hAnsi="Arial" w:cs="Arial"/>
              </w:rPr>
            </w:pPr>
            <w:r w:rsidRPr="00BF1F42">
              <w:rPr>
                <w:rFonts w:ascii="Arial" w:hAnsi="Arial" w:cs="Arial"/>
              </w:rPr>
              <w:t>06C</w:t>
            </w:r>
          </w:p>
        </w:tc>
        <w:tc>
          <w:tcPr>
            <w:tcW w:w="677" w:type="dxa"/>
            <w:noWrap/>
            <w:hideMark/>
          </w:tcPr>
          <w:p w14:paraId="32894BF7" w14:textId="77777777" w:rsidR="00E43A7C" w:rsidRPr="00BF1F42" w:rsidRDefault="00E43A7C" w:rsidP="00BF1F42">
            <w:pPr>
              <w:rPr>
                <w:rFonts w:ascii="Arial" w:hAnsi="Arial" w:cs="Arial"/>
              </w:rPr>
            </w:pPr>
            <w:r w:rsidRPr="00BF1F42">
              <w:rPr>
                <w:rFonts w:ascii="Arial" w:hAnsi="Arial" w:cs="Arial"/>
              </w:rPr>
              <w:t>.1302</w:t>
            </w:r>
          </w:p>
        </w:tc>
      </w:tr>
      <w:tr w:rsidR="00E43A7C" w:rsidRPr="00BF1F42" w14:paraId="3B4139EF" w14:textId="77777777" w:rsidTr="00BF1F42">
        <w:trPr>
          <w:tblCellSpacing w:w="15" w:type="dxa"/>
        </w:trPr>
        <w:tc>
          <w:tcPr>
            <w:tcW w:w="10740" w:type="dxa"/>
            <w:gridSpan w:val="6"/>
            <w:tcMar>
              <w:top w:w="375" w:type="dxa"/>
              <w:left w:w="15" w:type="dxa"/>
              <w:bottom w:w="15" w:type="dxa"/>
              <w:right w:w="15" w:type="dxa"/>
            </w:tcMar>
            <w:vAlign w:val="center"/>
            <w:hideMark/>
          </w:tcPr>
          <w:p w14:paraId="5F4D8056" w14:textId="77777777" w:rsidR="00E43A7C" w:rsidRPr="00BF1F42" w:rsidRDefault="00E43A7C" w:rsidP="00BF1F42">
            <w:pPr>
              <w:rPr>
                <w:rFonts w:ascii="Arial" w:hAnsi="Arial" w:cs="Arial"/>
                <w:b/>
                <w:bCs/>
                <w:caps/>
              </w:rPr>
            </w:pPr>
            <w:r w:rsidRPr="00BF1F42">
              <w:rPr>
                <w:rFonts w:ascii="Arial" w:hAnsi="Arial" w:cs="Arial"/>
                <w:b/>
                <w:bCs/>
                <w:caps/>
              </w:rPr>
              <w:t>Insurance, Department of</w:t>
            </w:r>
          </w:p>
        </w:tc>
      </w:tr>
      <w:tr w:rsidR="00E43A7C" w:rsidRPr="00BF1F42" w14:paraId="6A43A3F4" w14:textId="77777777" w:rsidTr="00BF1F42">
        <w:trPr>
          <w:tblCellSpacing w:w="15" w:type="dxa"/>
        </w:trPr>
        <w:tc>
          <w:tcPr>
            <w:tcW w:w="10740" w:type="dxa"/>
            <w:gridSpan w:val="6"/>
            <w:tcMar>
              <w:top w:w="144" w:type="dxa"/>
              <w:left w:w="144" w:type="dxa"/>
              <w:bottom w:w="144" w:type="dxa"/>
              <w:right w:w="144" w:type="dxa"/>
            </w:tcMar>
            <w:vAlign w:val="center"/>
            <w:hideMark/>
          </w:tcPr>
          <w:p w14:paraId="505865BB" w14:textId="77777777" w:rsidR="00E43A7C" w:rsidRPr="00BF1F42" w:rsidRDefault="00E43A7C" w:rsidP="00BF1F42">
            <w:pPr>
              <w:rPr>
                <w:rFonts w:ascii="Arial" w:hAnsi="Arial" w:cs="Arial"/>
              </w:rPr>
            </w:pPr>
            <w:r w:rsidRPr="00BF1F42">
              <w:rPr>
                <w:rFonts w:ascii="Arial" w:hAnsi="Arial" w:cs="Arial"/>
              </w:rPr>
              <w:t xml:space="preserve">The rules in Chapter 12 cover life and health insurance including general provisions applicable to all rules and all life and health insurance policies (.0100 - .0300); general life insurance provisions (.0400); general accident and health insurance provisions (.0500); replacement of insurance (.0600); credit insurance (.0700); medicare supplement insurance (.0800); long-term care insurance (.1000); mortgage insurance consolidations (.1100); accelerated benefits (.1200); small employer group health coverage (.1300); HMO and point-of-service coverage (.1400); uniform claim forms </w:t>
            </w:r>
            <w:r w:rsidRPr="00BF1F42">
              <w:rPr>
                <w:rFonts w:ascii="Arial" w:hAnsi="Arial" w:cs="Arial"/>
              </w:rPr>
              <w:lastRenderedPageBreak/>
              <w:t>(.1500); retained asset accounts (.1600); viatical settlements (.1700); preferred provider plan product limitations (.1800); and domestic violence - prohibited acts (.1900).</w:t>
            </w:r>
          </w:p>
        </w:tc>
      </w:tr>
      <w:tr w:rsidR="00E43A7C" w:rsidRPr="00BF1F42" w14:paraId="706E8D0F" w14:textId="77777777" w:rsidTr="00BF1F42">
        <w:trPr>
          <w:tblCellSpacing w:w="15" w:type="dxa"/>
        </w:trPr>
        <w:tc>
          <w:tcPr>
            <w:tcW w:w="7709" w:type="dxa"/>
            <w:hideMark/>
          </w:tcPr>
          <w:p w14:paraId="3FF5AC7F" w14:textId="77777777" w:rsidR="00E43A7C" w:rsidRPr="00BF1F42" w:rsidRDefault="00E43A7C" w:rsidP="00BF1F42">
            <w:pPr>
              <w:rPr>
                <w:rFonts w:ascii="Arial" w:hAnsi="Arial" w:cs="Arial"/>
              </w:rPr>
            </w:pPr>
            <w:r w:rsidRPr="00BF1F42">
              <w:rPr>
                <w:rFonts w:ascii="Arial" w:hAnsi="Arial" w:cs="Arial"/>
                <w:u w:val="single"/>
              </w:rPr>
              <w:lastRenderedPageBreak/>
              <w:t>Rate Filing: HMO</w:t>
            </w:r>
          </w:p>
          <w:p w14:paraId="4EE74A58"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1A1BF36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3D5488CF"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6F114C5B"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05AB3320"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13D5140A" w14:textId="77777777" w:rsidR="00E43A7C" w:rsidRPr="00BF1F42" w:rsidRDefault="00E43A7C" w:rsidP="00BF1F42">
            <w:pPr>
              <w:rPr>
                <w:rFonts w:ascii="Arial" w:hAnsi="Arial" w:cs="Arial"/>
              </w:rPr>
            </w:pPr>
            <w:r w:rsidRPr="00BF1F42">
              <w:rPr>
                <w:rFonts w:ascii="Arial" w:hAnsi="Arial" w:cs="Arial"/>
              </w:rPr>
              <w:t>.0321</w:t>
            </w:r>
          </w:p>
        </w:tc>
      </w:tr>
      <w:tr w:rsidR="00E43A7C" w:rsidRPr="00BF1F42" w14:paraId="0227101B" w14:textId="77777777" w:rsidTr="00BF1F42">
        <w:trPr>
          <w:tblCellSpacing w:w="15" w:type="dxa"/>
        </w:trPr>
        <w:tc>
          <w:tcPr>
            <w:tcW w:w="7709" w:type="dxa"/>
            <w:hideMark/>
          </w:tcPr>
          <w:p w14:paraId="5C2678F3" w14:textId="77777777" w:rsidR="00E43A7C" w:rsidRPr="00BF1F42" w:rsidRDefault="00E43A7C" w:rsidP="00BF1F42">
            <w:pPr>
              <w:rPr>
                <w:rFonts w:ascii="Arial" w:hAnsi="Arial" w:cs="Arial"/>
              </w:rPr>
            </w:pPr>
            <w:r w:rsidRPr="00BF1F42">
              <w:rPr>
                <w:rFonts w:ascii="Arial" w:hAnsi="Arial" w:cs="Arial"/>
                <w:u w:val="single"/>
              </w:rPr>
              <w:t>Coordination: Group A/H Contract Benefits: Group Coverages</w:t>
            </w:r>
          </w:p>
          <w:p w14:paraId="4AFAEFE6"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17D21A6E"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724CB990"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0477ADB8"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7E502E9A"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6518C414" w14:textId="77777777" w:rsidR="00E43A7C" w:rsidRPr="00BF1F42" w:rsidRDefault="00E43A7C" w:rsidP="00BF1F42">
            <w:pPr>
              <w:rPr>
                <w:rFonts w:ascii="Arial" w:hAnsi="Arial" w:cs="Arial"/>
              </w:rPr>
            </w:pPr>
            <w:r w:rsidRPr="00BF1F42">
              <w:rPr>
                <w:rFonts w:ascii="Arial" w:hAnsi="Arial" w:cs="Arial"/>
              </w:rPr>
              <w:t>.0514</w:t>
            </w:r>
          </w:p>
        </w:tc>
      </w:tr>
      <w:tr w:rsidR="00E43A7C" w:rsidRPr="00BF1F42" w14:paraId="36CA8F00" w14:textId="77777777" w:rsidTr="00BF1F42">
        <w:trPr>
          <w:tblCellSpacing w:w="15" w:type="dxa"/>
        </w:trPr>
        <w:tc>
          <w:tcPr>
            <w:tcW w:w="7709" w:type="dxa"/>
            <w:hideMark/>
          </w:tcPr>
          <w:p w14:paraId="2FA1914F" w14:textId="77777777" w:rsidR="00E43A7C" w:rsidRPr="00BF1F42" w:rsidRDefault="00E43A7C" w:rsidP="00BF1F42">
            <w:pPr>
              <w:rPr>
                <w:rFonts w:ascii="Arial" w:hAnsi="Arial" w:cs="Arial"/>
              </w:rPr>
            </w:pPr>
            <w:r w:rsidRPr="00BF1F42">
              <w:rPr>
                <w:rFonts w:ascii="Arial" w:hAnsi="Arial" w:cs="Arial"/>
                <w:u w:val="single"/>
              </w:rPr>
              <w:t>Definitions</w:t>
            </w:r>
          </w:p>
          <w:p w14:paraId="645051B3"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785B343D"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DEFFDCC"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5AE85BD7"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1F18340E"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7E91B49B" w14:textId="77777777" w:rsidR="00E43A7C" w:rsidRPr="00BF1F42" w:rsidRDefault="00E43A7C" w:rsidP="00BF1F42">
            <w:pPr>
              <w:rPr>
                <w:rFonts w:ascii="Arial" w:hAnsi="Arial" w:cs="Arial"/>
              </w:rPr>
            </w:pPr>
            <w:r w:rsidRPr="00BF1F42">
              <w:rPr>
                <w:rFonts w:ascii="Arial" w:hAnsi="Arial" w:cs="Arial"/>
              </w:rPr>
              <w:t>.1501</w:t>
            </w:r>
          </w:p>
        </w:tc>
      </w:tr>
      <w:tr w:rsidR="00E43A7C" w:rsidRPr="00BF1F42" w14:paraId="1EA42CAA" w14:textId="77777777" w:rsidTr="00BF1F42">
        <w:trPr>
          <w:tblCellSpacing w:w="15" w:type="dxa"/>
        </w:trPr>
        <w:tc>
          <w:tcPr>
            <w:tcW w:w="7709" w:type="dxa"/>
            <w:hideMark/>
          </w:tcPr>
          <w:p w14:paraId="13DCD409" w14:textId="77777777" w:rsidR="00E43A7C" w:rsidRPr="00BF1F42" w:rsidRDefault="00E43A7C" w:rsidP="00BF1F42">
            <w:pPr>
              <w:rPr>
                <w:rFonts w:ascii="Arial" w:hAnsi="Arial" w:cs="Arial"/>
              </w:rPr>
            </w:pPr>
            <w:r w:rsidRPr="00BF1F42">
              <w:rPr>
                <w:rFonts w:ascii="Arial" w:hAnsi="Arial" w:cs="Arial"/>
                <w:u w:val="single"/>
              </w:rPr>
              <w:t>Requirements for Use of HCFA Form 1450 (UB92)</w:t>
            </w:r>
          </w:p>
          <w:p w14:paraId="19BF195D"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533CD22F"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F584743"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58B2CEA6"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EAE9310"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6A4CC811" w14:textId="77777777" w:rsidR="00E43A7C" w:rsidRPr="00BF1F42" w:rsidRDefault="00E43A7C" w:rsidP="00BF1F42">
            <w:pPr>
              <w:rPr>
                <w:rFonts w:ascii="Arial" w:hAnsi="Arial" w:cs="Arial"/>
              </w:rPr>
            </w:pPr>
            <w:r w:rsidRPr="00BF1F42">
              <w:rPr>
                <w:rFonts w:ascii="Arial" w:hAnsi="Arial" w:cs="Arial"/>
              </w:rPr>
              <w:t>.1502</w:t>
            </w:r>
          </w:p>
        </w:tc>
      </w:tr>
      <w:tr w:rsidR="00E43A7C" w:rsidRPr="00BF1F42" w14:paraId="66DFD7FE" w14:textId="77777777" w:rsidTr="00BF1F42">
        <w:trPr>
          <w:tblCellSpacing w:w="15" w:type="dxa"/>
        </w:trPr>
        <w:tc>
          <w:tcPr>
            <w:tcW w:w="7709" w:type="dxa"/>
            <w:hideMark/>
          </w:tcPr>
          <w:p w14:paraId="1B522C3C" w14:textId="77777777" w:rsidR="00E43A7C" w:rsidRPr="00BF1F42" w:rsidRDefault="00E43A7C" w:rsidP="00BF1F42">
            <w:pPr>
              <w:rPr>
                <w:rFonts w:ascii="Arial" w:hAnsi="Arial" w:cs="Arial"/>
              </w:rPr>
            </w:pPr>
            <w:r w:rsidRPr="00BF1F42">
              <w:rPr>
                <w:rFonts w:ascii="Arial" w:hAnsi="Arial" w:cs="Arial"/>
                <w:u w:val="single"/>
              </w:rPr>
              <w:t>Requirements for Use of HCFA Form 1500</w:t>
            </w:r>
          </w:p>
          <w:p w14:paraId="3A77AF4C"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1C8CC49D"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F5F71E2"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6BA0C371"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1176A5D0"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0FC3D570" w14:textId="77777777" w:rsidR="00E43A7C" w:rsidRPr="00BF1F42" w:rsidRDefault="00E43A7C" w:rsidP="00BF1F42">
            <w:pPr>
              <w:rPr>
                <w:rFonts w:ascii="Arial" w:hAnsi="Arial" w:cs="Arial"/>
              </w:rPr>
            </w:pPr>
            <w:r w:rsidRPr="00BF1F42">
              <w:rPr>
                <w:rFonts w:ascii="Arial" w:hAnsi="Arial" w:cs="Arial"/>
              </w:rPr>
              <w:t>.1503</w:t>
            </w:r>
          </w:p>
        </w:tc>
      </w:tr>
      <w:tr w:rsidR="00E43A7C" w:rsidRPr="00BF1F42" w14:paraId="72A41306" w14:textId="77777777" w:rsidTr="00BF1F42">
        <w:trPr>
          <w:tblCellSpacing w:w="15" w:type="dxa"/>
        </w:trPr>
        <w:tc>
          <w:tcPr>
            <w:tcW w:w="7709" w:type="dxa"/>
            <w:hideMark/>
          </w:tcPr>
          <w:p w14:paraId="346E0EDB" w14:textId="77777777" w:rsidR="00E43A7C" w:rsidRPr="00BF1F42" w:rsidRDefault="00E43A7C" w:rsidP="00BF1F42">
            <w:pPr>
              <w:rPr>
                <w:rFonts w:ascii="Arial" w:hAnsi="Arial" w:cs="Arial"/>
              </w:rPr>
            </w:pPr>
            <w:r w:rsidRPr="00BF1F42">
              <w:rPr>
                <w:rFonts w:ascii="Arial" w:hAnsi="Arial" w:cs="Arial"/>
                <w:u w:val="single"/>
              </w:rPr>
              <w:t>Requirements for Use of the Current ADA Dental Claim Form</w:t>
            </w:r>
          </w:p>
          <w:p w14:paraId="7D3CAA64"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1B61BF6F"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0FF9B79B"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7A056436"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BE26095"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769FFC6F" w14:textId="77777777" w:rsidR="00E43A7C" w:rsidRPr="00BF1F42" w:rsidRDefault="00E43A7C" w:rsidP="00BF1F42">
            <w:pPr>
              <w:rPr>
                <w:rFonts w:ascii="Arial" w:hAnsi="Arial" w:cs="Arial"/>
              </w:rPr>
            </w:pPr>
            <w:r w:rsidRPr="00BF1F42">
              <w:rPr>
                <w:rFonts w:ascii="Arial" w:hAnsi="Arial" w:cs="Arial"/>
              </w:rPr>
              <w:t>.1504</w:t>
            </w:r>
          </w:p>
        </w:tc>
      </w:tr>
      <w:tr w:rsidR="00E43A7C" w:rsidRPr="00BF1F42" w14:paraId="22643FAE" w14:textId="77777777" w:rsidTr="00BF1F42">
        <w:trPr>
          <w:tblCellSpacing w:w="15" w:type="dxa"/>
        </w:trPr>
        <w:tc>
          <w:tcPr>
            <w:tcW w:w="7709" w:type="dxa"/>
            <w:hideMark/>
          </w:tcPr>
          <w:p w14:paraId="1B7AD22E" w14:textId="77777777" w:rsidR="00E43A7C" w:rsidRPr="00BF1F42" w:rsidRDefault="00E43A7C" w:rsidP="00BF1F42">
            <w:pPr>
              <w:rPr>
                <w:rFonts w:ascii="Arial" w:hAnsi="Arial" w:cs="Arial"/>
              </w:rPr>
            </w:pPr>
            <w:r w:rsidRPr="00BF1F42">
              <w:rPr>
                <w:rFonts w:ascii="Arial" w:hAnsi="Arial" w:cs="Arial"/>
                <w:u w:val="single"/>
              </w:rPr>
              <w:t>Managed Care Forms</w:t>
            </w:r>
          </w:p>
          <w:p w14:paraId="51DDF212"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4A9C81B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71284561"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30FA9186"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17ADA21D"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7B31039B" w14:textId="77777777" w:rsidR="00E43A7C" w:rsidRPr="00BF1F42" w:rsidRDefault="00E43A7C" w:rsidP="00BF1F42">
            <w:pPr>
              <w:rPr>
                <w:rFonts w:ascii="Arial" w:hAnsi="Arial" w:cs="Arial"/>
              </w:rPr>
            </w:pPr>
            <w:r w:rsidRPr="00BF1F42">
              <w:rPr>
                <w:rFonts w:ascii="Arial" w:hAnsi="Arial" w:cs="Arial"/>
              </w:rPr>
              <w:t>.1505</w:t>
            </w:r>
          </w:p>
        </w:tc>
      </w:tr>
      <w:tr w:rsidR="00E43A7C" w:rsidRPr="00BF1F42" w14:paraId="0C2598DB" w14:textId="77777777" w:rsidTr="00BF1F42">
        <w:trPr>
          <w:tblCellSpacing w:w="15" w:type="dxa"/>
        </w:trPr>
        <w:tc>
          <w:tcPr>
            <w:tcW w:w="7709" w:type="dxa"/>
            <w:hideMark/>
          </w:tcPr>
          <w:p w14:paraId="7AEBBF1D" w14:textId="77777777" w:rsidR="00E43A7C" w:rsidRPr="00BF1F42" w:rsidRDefault="00E43A7C" w:rsidP="00BF1F42">
            <w:pPr>
              <w:rPr>
                <w:rFonts w:ascii="Arial" w:hAnsi="Arial" w:cs="Arial"/>
              </w:rPr>
            </w:pPr>
            <w:r w:rsidRPr="00BF1F42">
              <w:rPr>
                <w:rFonts w:ascii="Arial" w:hAnsi="Arial" w:cs="Arial"/>
                <w:u w:val="single"/>
              </w:rPr>
              <w:t>Electronic Format Standards</w:t>
            </w:r>
          </w:p>
          <w:p w14:paraId="410FB19F"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121E04CB"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4AAA608"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41B042EB"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22040C30"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1054469C" w14:textId="77777777" w:rsidR="00E43A7C" w:rsidRPr="00BF1F42" w:rsidRDefault="00E43A7C" w:rsidP="00BF1F42">
            <w:pPr>
              <w:rPr>
                <w:rFonts w:ascii="Arial" w:hAnsi="Arial" w:cs="Arial"/>
              </w:rPr>
            </w:pPr>
            <w:r w:rsidRPr="00BF1F42">
              <w:rPr>
                <w:rFonts w:ascii="Arial" w:hAnsi="Arial" w:cs="Arial"/>
              </w:rPr>
              <w:t>.1506</w:t>
            </w:r>
          </w:p>
        </w:tc>
      </w:tr>
      <w:tr w:rsidR="00E43A7C" w:rsidRPr="00BF1F42" w14:paraId="6D3F624D" w14:textId="77777777" w:rsidTr="00BF1F42">
        <w:trPr>
          <w:tblCellSpacing w:w="15" w:type="dxa"/>
        </w:trPr>
        <w:tc>
          <w:tcPr>
            <w:tcW w:w="7709" w:type="dxa"/>
            <w:hideMark/>
          </w:tcPr>
          <w:p w14:paraId="1965B64B" w14:textId="77777777" w:rsidR="00E43A7C" w:rsidRPr="00BF1F42" w:rsidRDefault="00E43A7C" w:rsidP="00BF1F42">
            <w:pPr>
              <w:rPr>
                <w:rFonts w:ascii="Arial" w:hAnsi="Arial" w:cs="Arial"/>
              </w:rPr>
            </w:pPr>
            <w:r w:rsidRPr="00BF1F42">
              <w:rPr>
                <w:rFonts w:ascii="Arial" w:hAnsi="Arial" w:cs="Arial"/>
                <w:u w:val="single"/>
              </w:rPr>
              <w:t>Attachment Form or Format</w:t>
            </w:r>
          </w:p>
          <w:p w14:paraId="6E0F1F94"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553B63C8"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626FC29A"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74896AB4"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6CF76A6"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70079080" w14:textId="77777777" w:rsidR="00E43A7C" w:rsidRPr="00BF1F42" w:rsidRDefault="00E43A7C" w:rsidP="00BF1F42">
            <w:pPr>
              <w:rPr>
                <w:rFonts w:ascii="Arial" w:hAnsi="Arial" w:cs="Arial"/>
              </w:rPr>
            </w:pPr>
            <w:r w:rsidRPr="00BF1F42">
              <w:rPr>
                <w:rFonts w:ascii="Arial" w:hAnsi="Arial" w:cs="Arial"/>
              </w:rPr>
              <w:t>.1507</w:t>
            </w:r>
          </w:p>
        </w:tc>
      </w:tr>
      <w:tr w:rsidR="00E43A7C" w:rsidRPr="00BF1F42" w14:paraId="7801DE67" w14:textId="77777777" w:rsidTr="00BF1F42">
        <w:trPr>
          <w:tblCellSpacing w:w="15" w:type="dxa"/>
        </w:trPr>
        <w:tc>
          <w:tcPr>
            <w:tcW w:w="7709" w:type="dxa"/>
            <w:hideMark/>
          </w:tcPr>
          <w:p w14:paraId="33AB2214" w14:textId="77777777" w:rsidR="00E43A7C" w:rsidRPr="00BF1F42" w:rsidRDefault="00E43A7C" w:rsidP="00BF1F42">
            <w:pPr>
              <w:rPr>
                <w:rFonts w:ascii="Arial" w:hAnsi="Arial" w:cs="Arial"/>
              </w:rPr>
            </w:pPr>
            <w:r w:rsidRPr="00BF1F42">
              <w:rPr>
                <w:rFonts w:ascii="Arial" w:hAnsi="Arial" w:cs="Arial"/>
                <w:u w:val="single"/>
              </w:rPr>
              <w:t>Medicare Supplement Payors</w:t>
            </w:r>
          </w:p>
          <w:p w14:paraId="474727B7"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0FCB7824"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0BCCBCB2"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486FB44F"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006504A8"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3E705F39" w14:textId="77777777" w:rsidR="00E43A7C" w:rsidRPr="00BF1F42" w:rsidRDefault="00E43A7C" w:rsidP="00BF1F42">
            <w:pPr>
              <w:rPr>
                <w:rFonts w:ascii="Arial" w:hAnsi="Arial" w:cs="Arial"/>
              </w:rPr>
            </w:pPr>
            <w:r w:rsidRPr="00BF1F42">
              <w:rPr>
                <w:rFonts w:ascii="Arial" w:hAnsi="Arial" w:cs="Arial"/>
              </w:rPr>
              <w:t>.1508</w:t>
            </w:r>
          </w:p>
        </w:tc>
      </w:tr>
      <w:tr w:rsidR="00E43A7C" w:rsidRPr="00BF1F42" w14:paraId="6E29F45A" w14:textId="77777777" w:rsidTr="00BF1F42">
        <w:trPr>
          <w:tblCellSpacing w:w="15" w:type="dxa"/>
        </w:trPr>
        <w:tc>
          <w:tcPr>
            <w:tcW w:w="7709" w:type="dxa"/>
            <w:hideMark/>
          </w:tcPr>
          <w:p w14:paraId="7ABE15B1" w14:textId="77777777" w:rsidR="00E43A7C" w:rsidRPr="00BF1F42" w:rsidRDefault="00E43A7C" w:rsidP="00BF1F42">
            <w:pPr>
              <w:rPr>
                <w:rFonts w:ascii="Arial" w:hAnsi="Arial" w:cs="Arial"/>
              </w:rPr>
            </w:pPr>
            <w:r w:rsidRPr="00BF1F42">
              <w:rPr>
                <w:rFonts w:ascii="Arial" w:hAnsi="Arial" w:cs="Arial"/>
                <w:u w:val="single"/>
              </w:rPr>
              <w:t>Patient Submitted Claim Forms</w:t>
            </w:r>
          </w:p>
          <w:p w14:paraId="6953264D"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35F153AE"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06240FC8"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307E2FC4"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73FB504F"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0B44EC4D" w14:textId="77777777" w:rsidR="00E43A7C" w:rsidRPr="00BF1F42" w:rsidRDefault="00E43A7C" w:rsidP="00BF1F42">
            <w:pPr>
              <w:rPr>
                <w:rFonts w:ascii="Arial" w:hAnsi="Arial" w:cs="Arial"/>
              </w:rPr>
            </w:pPr>
            <w:r w:rsidRPr="00BF1F42">
              <w:rPr>
                <w:rFonts w:ascii="Arial" w:hAnsi="Arial" w:cs="Arial"/>
              </w:rPr>
              <w:t>.1509</w:t>
            </w:r>
          </w:p>
        </w:tc>
      </w:tr>
      <w:tr w:rsidR="00E43A7C" w:rsidRPr="00BF1F42" w14:paraId="446123CE" w14:textId="77777777" w:rsidTr="00BF1F42">
        <w:trPr>
          <w:tblCellSpacing w:w="15" w:type="dxa"/>
        </w:trPr>
        <w:tc>
          <w:tcPr>
            <w:tcW w:w="7709" w:type="dxa"/>
            <w:hideMark/>
          </w:tcPr>
          <w:p w14:paraId="5A900B3E" w14:textId="77777777" w:rsidR="00E43A7C" w:rsidRPr="00BF1F42" w:rsidRDefault="00E43A7C" w:rsidP="00BF1F42">
            <w:pPr>
              <w:rPr>
                <w:rFonts w:ascii="Arial" w:hAnsi="Arial" w:cs="Arial"/>
              </w:rPr>
            </w:pPr>
            <w:r w:rsidRPr="00BF1F42">
              <w:rPr>
                <w:rFonts w:ascii="Arial" w:hAnsi="Arial" w:cs="Arial"/>
                <w:u w:val="single"/>
              </w:rPr>
              <w:t>General Requirements</w:t>
            </w:r>
          </w:p>
          <w:p w14:paraId="630C2EC0" w14:textId="77777777" w:rsidR="00E43A7C" w:rsidRPr="00BF1F42" w:rsidRDefault="00E43A7C" w:rsidP="00BF1F42">
            <w:pPr>
              <w:rPr>
                <w:rFonts w:ascii="Arial" w:hAnsi="Arial" w:cs="Arial"/>
              </w:rPr>
            </w:pPr>
            <w:r w:rsidRPr="00BF1F42">
              <w:rPr>
                <w:rFonts w:ascii="Arial" w:hAnsi="Arial" w:cs="Arial"/>
              </w:rPr>
              <w:t>Readopt without Changes*</w:t>
            </w:r>
          </w:p>
        </w:tc>
        <w:tc>
          <w:tcPr>
            <w:tcW w:w="172" w:type="dxa"/>
            <w:vAlign w:val="center"/>
            <w:hideMark/>
          </w:tcPr>
          <w:p w14:paraId="656A64CC"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3DA9D946" w14:textId="77777777" w:rsidR="00E43A7C" w:rsidRPr="00BF1F42" w:rsidRDefault="00E43A7C" w:rsidP="00BF1F42">
            <w:pPr>
              <w:rPr>
                <w:rFonts w:ascii="Arial" w:hAnsi="Arial" w:cs="Arial"/>
              </w:rPr>
            </w:pPr>
            <w:r w:rsidRPr="00BF1F42">
              <w:rPr>
                <w:rFonts w:ascii="Arial" w:hAnsi="Arial" w:cs="Arial"/>
              </w:rPr>
              <w:t>11</w:t>
            </w:r>
          </w:p>
        </w:tc>
        <w:tc>
          <w:tcPr>
            <w:tcW w:w="694" w:type="dxa"/>
            <w:noWrap/>
            <w:hideMark/>
          </w:tcPr>
          <w:p w14:paraId="3801333D"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211778B7" w14:textId="77777777" w:rsidR="00E43A7C" w:rsidRPr="00BF1F42" w:rsidRDefault="00E43A7C" w:rsidP="00BF1F42">
            <w:pPr>
              <w:rPr>
                <w:rFonts w:ascii="Arial" w:hAnsi="Arial" w:cs="Arial"/>
              </w:rPr>
            </w:pPr>
            <w:r w:rsidRPr="00BF1F42">
              <w:rPr>
                <w:rFonts w:ascii="Arial" w:hAnsi="Arial" w:cs="Arial"/>
              </w:rPr>
              <w:t>12</w:t>
            </w:r>
          </w:p>
        </w:tc>
        <w:tc>
          <w:tcPr>
            <w:tcW w:w="677" w:type="dxa"/>
            <w:noWrap/>
            <w:hideMark/>
          </w:tcPr>
          <w:p w14:paraId="1C7EB7E2" w14:textId="77777777" w:rsidR="00E43A7C" w:rsidRPr="00BF1F42" w:rsidRDefault="00E43A7C" w:rsidP="00BF1F42">
            <w:pPr>
              <w:rPr>
                <w:rFonts w:ascii="Arial" w:hAnsi="Arial" w:cs="Arial"/>
              </w:rPr>
            </w:pPr>
            <w:r w:rsidRPr="00BF1F42">
              <w:rPr>
                <w:rFonts w:ascii="Arial" w:hAnsi="Arial" w:cs="Arial"/>
              </w:rPr>
              <w:t>.1803</w:t>
            </w:r>
          </w:p>
        </w:tc>
      </w:tr>
      <w:tr w:rsidR="00E43A7C" w:rsidRPr="00BF1F42" w14:paraId="7C00EB2E" w14:textId="77777777" w:rsidTr="00BF1F42">
        <w:trPr>
          <w:tblCellSpacing w:w="15" w:type="dxa"/>
        </w:trPr>
        <w:tc>
          <w:tcPr>
            <w:tcW w:w="10740" w:type="dxa"/>
            <w:gridSpan w:val="6"/>
            <w:tcMar>
              <w:top w:w="375" w:type="dxa"/>
              <w:left w:w="15" w:type="dxa"/>
              <w:bottom w:w="15" w:type="dxa"/>
              <w:right w:w="15" w:type="dxa"/>
            </w:tcMar>
            <w:vAlign w:val="center"/>
            <w:hideMark/>
          </w:tcPr>
          <w:p w14:paraId="5DA77358" w14:textId="77777777" w:rsidR="00E43A7C" w:rsidRPr="00BF1F42" w:rsidRDefault="00E43A7C" w:rsidP="00BF1F42">
            <w:pPr>
              <w:rPr>
                <w:rFonts w:ascii="Arial" w:hAnsi="Arial" w:cs="Arial"/>
                <w:b/>
                <w:bCs/>
                <w:caps/>
              </w:rPr>
            </w:pPr>
            <w:r w:rsidRPr="00BF1F42">
              <w:rPr>
                <w:rFonts w:ascii="Arial" w:hAnsi="Arial" w:cs="Arial"/>
                <w:b/>
                <w:bCs/>
                <w:caps/>
              </w:rPr>
              <w:t>Dental Examiners, Board of</w:t>
            </w:r>
          </w:p>
        </w:tc>
      </w:tr>
      <w:tr w:rsidR="00E43A7C" w:rsidRPr="00BF1F42" w14:paraId="1417065D" w14:textId="77777777" w:rsidTr="00BF1F42">
        <w:trPr>
          <w:tblCellSpacing w:w="15" w:type="dxa"/>
        </w:trPr>
        <w:tc>
          <w:tcPr>
            <w:tcW w:w="10740" w:type="dxa"/>
            <w:gridSpan w:val="6"/>
            <w:tcMar>
              <w:top w:w="144" w:type="dxa"/>
              <w:left w:w="144" w:type="dxa"/>
              <w:bottom w:w="144" w:type="dxa"/>
              <w:right w:w="144" w:type="dxa"/>
            </w:tcMar>
            <w:vAlign w:val="center"/>
            <w:hideMark/>
          </w:tcPr>
          <w:p w14:paraId="4A4B3959" w14:textId="77777777" w:rsidR="00E43A7C" w:rsidRPr="00BF1F42" w:rsidRDefault="00E43A7C" w:rsidP="00BF1F42">
            <w:pPr>
              <w:rPr>
                <w:rFonts w:ascii="Arial" w:hAnsi="Arial" w:cs="Arial"/>
              </w:rPr>
            </w:pPr>
            <w:r w:rsidRPr="00BF1F42">
              <w:rPr>
                <w:rFonts w:ascii="Arial" w:hAnsi="Arial" w:cs="Arial"/>
              </w:rPr>
              <w:t xml:space="preserve">The rules in Chapter 16 cover the licensing of dentists and dental hygienists. </w:t>
            </w:r>
          </w:p>
          <w:p w14:paraId="42E3EC11" w14:textId="77777777" w:rsidR="00E43A7C" w:rsidRPr="00BF1F42" w:rsidRDefault="00E43A7C" w:rsidP="00BF1F42">
            <w:pPr>
              <w:rPr>
                <w:rFonts w:ascii="Arial" w:hAnsi="Arial" w:cs="Arial"/>
              </w:rPr>
            </w:pPr>
          </w:p>
          <w:p w14:paraId="3CE40EC2" w14:textId="77777777" w:rsidR="00E43A7C" w:rsidRPr="00BF1F42" w:rsidRDefault="00E43A7C" w:rsidP="00BF1F42">
            <w:pPr>
              <w:rPr>
                <w:rFonts w:ascii="Arial" w:hAnsi="Arial" w:cs="Arial"/>
              </w:rPr>
            </w:pPr>
            <w:r w:rsidRPr="00BF1F42">
              <w:rPr>
                <w:rFonts w:ascii="Arial" w:hAnsi="Arial" w:cs="Arial"/>
              </w:rPr>
              <w:t>The rules in Subchapter 16B concern licensure examination for dentists including examination required (.0100); qualifications (.0200); application (.0300); Board conducted examinations (.0400); licensure by credentials (.0500); limited volunteer dental license (.0600); instructor's license (.0700); temporary volunteer dental license (.0800); and exemptions for active military (.0900).</w:t>
            </w:r>
          </w:p>
        </w:tc>
      </w:tr>
      <w:tr w:rsidR="00E43A7C" w:rsidRPr="00BF1F42" w14:paraId="3B390A73" w14:textId="77777777" w:rsidTr="00BF1F42">
        <w:trPr>
          <w:tblCellSpacing w:w="15" w:type="dxa"/>
        </w:trPr>
        <w:tc>
          <w:tcPr>
            <w:tcW w:w="7709" w:type="dxa"/>
            <w:hideMark/>
          </w:tcPr>
          <w:p w14:paraId="525BE81D" w14:textId="77777777" w:rsidR="00E43A7C" w:rsidRPr="00BF1F42" w:rsidRDefault="00E43A7C" w:rsidP="00BF1F42">
            <w:pPr>
              <w:rPr>
                <w:rFonts w:ascii="Arial" w:hAnsi="Arial" w:cs="Arial"/>
              </w:rPr>
            </w:pPr>
            <w:r w:rsidRPr="00BF1F42">
              <w:rPr>
                <w:rFonts w:ascii="Arial" w:hAnsi="Arial" w:cs="Arial"/>
                <w:u w:val="single"/>
              </w:rPr>
              <w:t>Application for Licensure</w:t>
            </w:r>
          </w:p>
          <w:p w14:paraId="2AE48192"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1B4B7A22"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399937C1"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45FCB2F1"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0A699A80"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1058D6E7" w14:textId="77777777" w:rsidR="00E43A7C" w:rsidRPr="00BF1F42" w:rsidRDefault="00E43A7C" w:rsidP="00BF1F42">
            <w:pPr>
              <w:rPr>
                <w:rFonts w:ascii="Arial" w:hAnsi="Arial" w:cs="Arial"/>
              </w:rPr>
            </w:pPr>
            <w:r w:rsidRPr="00BF1F42">
              <w:rPr>
                <w:rFonts w:ascii="Arial" w:hAnsi="Arial" w:cs="Arial"/>
              </w:rPr>
              <w:t>.0301</w:t>
            </w:r>
          </w:p>
        </w:tc>
      </w:tr>
      <w:tr w:rsidR="00E43A7C" w:rsidRPr="00BF1F42" w14:paraId="2C561B07" w14:textId="77777777" w:rsidTr="00BF1F42">
        <w:trPr>
          <w:tblCellSpacing w:w="15" w:type="dxa"/>
        </w:trPr>
        <w:tc>
          <w:tcPr>
            <w:tcW w:w="7709" w:type="dxa"/>
            <w:hideMark/>
          </w:tcPr>
          <w:p w14:paraId="1652AFE7" w14:textId="77777777" w:rsidR="00E43A7C" w:rsidRPr="00BF1F42" w:rsidRDefault="00E43A7C" w:rsidP="00BF1F42">
            <w:pPr>
              <w:rPr>
                <w:rFonts w:ascii="Arial" w:hAnsi="Arial" w:cs="Arial"/>
              </w:rPr>
            </w:pPr>
            <w:r w:rsidRPr="00BF1F42">
              <w:rPr>
                <w:rFonts w:ascii="Arial" w:hAnsi="Arial" w:cs="Arial"/>
                <w:u w:val="single"/>
              </w:rPr>
              <w:t>Dental Licensure by Credentials</w:t>
            </w:r>
          </w:p>
          <w:p w14:paraId="7D32E763"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24E3C33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0C3FCF3"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09CBE16E"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6D93E2B2"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5D6CA72C" w14:textId="77777777" w:rsidR="00E43A7C" w:rsidRPr="00BF1F42" w:rsidRDefault="00E43A7C" w:rsidP="00BF1F42">
            <w:pPr>
              <w:rPr>
                <w:rFonts w:ascii="Arial" w:hAnsi="Arial" w:cs="Arial"/>
              </w:rPr>
            </w:pPr>
            <w:r w:rsidRPr="00BF1F42">
              <w:rPr>
                <w:rFonts w:ascii="Arial" w:hAnsi="Arial" w:cs="Arial"/>
              </w:rPr>
              <w:t>.0501</w:t>
            </w:r>
          </w:p>
        </w:tc>
      </w:tr>
      <w:tr w:rsidR="00E43A7C" w:rsidRPr="00BF1F42" w14:paraId="7F17B300" w14:textId="77777777" w:rsidTr="00BF1F42">
        <w:trPr>
          <w:tblCellSpacing w:w="15" w:type="dxa"/>
        </w:trPr>
        <w:tc>
          <w:tcPr>
            <w:tcW w:w="7709" w:type="dxa"/>
            <w:hideMark/>
          </w:tcPr>
          <w:p w14:paraId="7E579F6D" w14:textId="77777777" w:rsidR="00E43A7C" w:rsidRPr="00BF1F42" w:rsidRDefault="00E43A7C" w:rsidP="00BF1F42">
            <w:pPr>
              <w:rPr>
                <w:rFonts w:ascii="Arial" w:hAnsi="Arial" w:cs="Arial"/>
              </w:rPr>
            </w:pPr>
            <w:r w:rsidRPr="00BF1F42">
              <w:rPr>
                <w:rFonts w:ascii="Arial" w:hAnsi="Arial" w:cs="Arial"/>
                <w:u w:val="single"/>
              </w:rPr>
              <w:t>Limited Volunteer Dental License</w:t>
            </w:r>
          </w:p>
          <w:p w14:paraId="028C082C"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1221EEE"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5096AFB"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7559D37B"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12130DA6"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7FFF456F" w14:textId="77777777" w:rsidR="00E43A7C" w:rsidRPr="00BF1F42" w:rsidRDefault="00E43A7C" w:rsidP="00BF1F42">
            <w:pPr>
              <w:rPr>
                <w:rFonts w:ascii="Arial" w:hAnsi="Arial" w:cs="Arial"/>
              </w:rPr>
            </w:pPr>
            <w:r w:rsidRPr="00BF1F42">
              <w:rPr>
                <w:rFonts w:ascii="Arial" w:hAnsi="Arial" w:cs="Arial"/>
              </w:rPr>
              <w:t>.0601</w:t>
            </w:r>
          </w:p>
        </w:tc>
      </w:tr>
      <w:tr w:rsidR="00E43A7C" w:rsidRPr="00BF1F42" w14:paraId="6EE60BE5" w14:textId="77777777" w:rsidTr="00BF1F42">
        <w:trPr>
          <w:tblCellSpacing w:w="15" w:type="dxa"/>
        </w:trPr>
        <w:tc>
          <w:tcPr>
            <w:tcW w:w="7709" w:type="dxa"/>
            <w:hideMark/>
          </w:tcPr>
          <w:p w14:paraId="4B3AF49F" w14:textId="77777777" w:rsidR="00E43A7C" w:rsidRPr="00BF1F42" w:rsidRDefault="00E43A7C" w:rsidP="00BF1F42">
            <w:pPr>
              <w:rPr>
                <w:rFonts w:ascii="Arial" w:hAnsi="Arial" w:cs="Arial"/>
              </w:rPr>
            </w:pPr>
            <w:r w:rsidRPr="00BF1F42">
              <w:rPr>
                <w:rFonts w:ascii="Arial" w:hAnsi="Arial" w:cs="Arial"/>
                <w:u w:val="single"/>
              </w:rPr>
              <w:t>Instructor's License</w:t>
            </w:r>
          </w:p>
          <w:p w14:paraId="2FC747B6"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0B16E3B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0829B739"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4366C8D8"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933D6B7"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34C118ED" w14:textId="77777777" w:rsidR="00E43A7C" w:rsidRPr="00BF1F42" w:rsidRDefault="00E43A7C" w:rsidP="00BF1F42">
            <w:pPr>
              <w:rPr>
                <w:rFonts w:ascii="Arial" w:hAnsi="Arial" w:cs="Arial"/>
              </w:rPr>
            </w:pPr>
            <w:r w:rsidRPr="00BF1F42">
              <w:rPr>
                <w:rFonts w:ascii="Arial" w:hAnsi="Arial" w:cs="Arial"/>
              </w:rPr>
              <w:t>.0701</w:t>
            </w:r>
          </w:p>
        </w:tc>
      </w:tr>
      <w:tr w:rsidR="00E43A7C" w:rsidRPr="00BF1F42" w14:paraId="3F13A753" w14:textId="77777777" w:rsidTr="00BF1F42">
        <w:trPr>
          <w:tblCellSpacing w:w="15" w:type="dxa"/>
        </w:trPr>
        <w:tc>
          <w:tcPr>
            <w:tcW w:w="7709" w:type="dxa"/>
            <w:hideMark/>
          </w:tcPr>
          <w:p w14:paraId="0A633B31" w14:textId="77777777" w:rsidR="00E43A7C" w:rsidRPr="00BF1F42" w:rsidRDefault="00E43A7C" w:rsidP="00BF1F42">
            <w:pPr>
              <w:rPr>
                <w:rFonts w:ascii="Arial" w:hAnsi="Arial" w:cs="Arial"/>
              </w:rPr>
            </w:pPr>
            <w:r w:rsidRPr="00BF1F42">
              <w:rPr>
                <w:rFonts w:ascii="Arial" w:hAnsi="Arial" w:cs="Arial"/>
                <w:u w:val="single"/>
              </w:rPr>
              <w:t>Temporary Volunteer Dental Permit</w:t>
            </w:r>
          </w:p>
          <w:p w14:paraId="1BE288F7"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CAD2E1E"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7ACF0C30"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74137EBA"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2AF197FD"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1160867A" w14:textId="77777777" w:rsidR="00E43A7C" w:rsidRPr="00BF1F42" w:rsidRDefault="00E43A7C" w:rsidP="00BF1F42">
            <w:pPr>
              <w:rPr>
                <w:rFonts w:ascii="Arial" w:hAnsi="Arial" w:cs="Arial"/>
              </w:rPr>
            </w:pPr>
            <w:r w:rsidRPr="00BF1F42">
              <w:rPr>
                <w:rFonts w:ascii="Arial" w:hAnsi="Arial" w:cs="Arial"/>
              </w:rPr>
              <w:t>.0801</w:t>
            </w:r>
          </w:p>
        </w:tc>
      </w:tr>
      <w:tr w:rsidR="00E43A7C" w:rsidRPr="00BF1F42" w14:paraId="36E57849" w14:textId="77777777" w:rsidTr="00BF1F42">
        <w:trPr>
          <w:tblCellSpacing w:w="15" w:type="dxa"/>
        </w:trPr>
        <w:tc>
          <w:tcPr>
            <w:tcW w:w="7709" w:type="dxa"/>
            <w:hideMark/>
          </w:tcPr>
          <w:p w14:paraId="7006ED0C" w14:textId="77777777" w:rsidR="00E43A7C" w:rsidRPr="00BF1F42" w:rsidRDefault="00E43A7C" w:rsidP="00BF1F42">
            <w:pPr>
              <w:rPr>
                <w:rFonts w:ascii="Arial" w:hAnsi="Arial" w:cs="Arial"/>
              </w:rPr>
            </w:pPr>
            <w:r w:rsidRPr="00BF1F42">
              <w:rPr>
                <w:rFonts w:ascii="Arial" w:hAnsi="Arial" w:cs="Arial"/>
                <w:u w:val="single"/>
              </w:rPr>
              <w:t>Dental Licensure by Endorsement Based on Military Service</w:t>
            </w:r>
          </w:p>
          <w:p w14:paraId="54C0D3A7"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048495E6"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6D773F11"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2BB56F4"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8039825"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7CF0A48C" w14:textId="77777777" w:rsidR="00E43A7C" w:rsidRPr="00BF1F42" w:rsidRDefault="00E43A7C" w:rsidP="00BF1F42">
            <w:pPr>
              <w:rPr>
                <w:rFonts w:ascii="Arial" w:hAnsi="Arial" w:cs="Arial"/>
              </w:rPr>
            </w:pPr>
            <w:r w:rsidRPr="00BF1F42">
              <w:rPr>
                <w:rFonts w:ascii="Arial" w:hAnsi="Arial" w:cs="Arial"/>
              </w:rPr>
              <w:t>.1001</w:t>
            </w:r>
          </w:p>
        </w:tc>
      </w:tr>
      <w:tr w:rsidR="00E43A7C" w:rsidRPr="00BF1F42" w14:paraId="2E6E07DF" w14:textId="77777777" w:rsidTr="00BF1F42">
        <w:trPr>
          <w:tblCellSpacing w:w="15" w:type="dxa"/>
        </w:trPr>
        <w:tc>
          <w:tcPr>
            <w:tcW w:w="7709" w:type="dxa"/>
            <w:hideMark/>
          </w:tcPr>
          <w:p w14:paraId="1C4451E0" w14:textId="77777777" w:rsidR="00E43A7C" w:rsidRPr="00BF1F42" w:rsidRDefault="00E43A7C" w:rsidP="00BF1F42">
            <w:pPr>
              <w:rPr>
                <w:rFonts w:ascii="Arial" w:hAnsi="Arial" w:cs="Arial"/>
              </w:rPr>
            </w:pPr>
            <w:r w:rsidRPr="00BF1F42">
              <w:rPr>
                <w:rFonts w:ascii="Arial" w:hAnsi="Arial" w:cs="Arial"/>
                <w:u w:val="single"/>
              </w:rPr>
              <w:t>Dental Licensure by Endorsement Based on Status as Milita...</w:t>
            </w:r>
          </w:p>
          <w:p w14:paraId="0405D18D"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6E44B329"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C9A1AC9"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F028AA1"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F8D14C3" w14:textId="77777777" w:rsidR="00E43A7C" w:rsidRPr="00BF1F42" w:rsidRDefault="00E43A7C" w:rsidP="00BF1F42">
            <w:pPr>
              <w:rPr>
                <w:rFonts w:ascii="Arial" w:hAnsi="Arial" w:cs="Arial"/>
              </w:rPr>
            </w:pPr>
            <w:r w:rsidRPr="00BF1F42">
              <w:rPr>
                <w:rFonts w:ascii="Arial" w:hAnsi="Arial" w:cs="Arial"/>
              </w:rPr>
              <w:t>16B</w:t>
            </w:r>
          </w:p>
        </w:tc>
        <w:tc>
          <w:tcPr>
            <w:tcW w:w="677" w:type="dxa"/>
            <w:noWrap/>
            <w:hideMark/>
          </w:tcPr>
          <w:p w14:paraId="22624140" w14:textId="77777777" w:rsidR="00E43A7C" w:rsidRPr="00BF1F42" w:rsidRDefault="00E43A7C" w:rsidP="00BF1F42">
            <w:pPr>
              <w:rPr>
                <w:rFonts w:ascii="Arial" w:hAnsi="Arial" w:cs="Arial"/>
              </w:rPr>
            </w:pPr>
            <w:r w:rsidRPr="00BF1F42">
              <w:rPr>
                <w:rFonts w:ascii="Arial" w:hAnsi="Arial" w:cs="Arial"/>
              </w:rPr>
              <w:t>.1002</w:t>
            </w:r>
          </w:p>
        </w:tc>
      </w:tr>
      <w:tr w:rsidR="00E43A7C" w:rsidRPr="00BF1F42" w14:paraId="3FF94302" w14:textId="77777777" w:rsidTr="00BF1F42">
        <w:trPr>
          <w:tblCellSpacing w:w="15" w:type="dxa"/>
        </w:trPr>
        <w:tc>
          <w:tcPr>
            <w:tcW w:w="10740" w:type="dxa"/>
            <w:gridSpan w:val="6"/>
            <w:tcMar>
              <w:top w:w="144" w:type="dxa"/>
              <w:left w:w="144" w:type="dxa"/>
              <w:bottom w:w="144" w:type="dxa"/>
              <w:right w:w="144" w:type="dxa"/>
            </w:tcMar>
            <w:vAlign w:val="center"/>
            <w:hideMark/>
          </w:tcPr>
          <w:p w14:paraId="4E30C4C3" w14:textId="77777777" w:rsidR="00E43A7C" w:rsidRPr="00BF1F42" w:rsidRDefault="00E43A7C" w:rsidP="00BF1F42">
            <w:pPr>
              <w:rPr>
                <w:rFonts w:ascii="Arial" w:hAnsi="Arial" w:cs="Arial"/>
              </w:rPr>
            </w:pPr>
            <w:r w:rsidRPr="00BF1F42">
              <w:rPr>
                <w:rFonts w:ascii="Arial" w:hAnsi="Arial" w:cs="Arial"/>
              </w:rPr>
              <w:lastRenderedPageBreak/>
              <w:t>The rules in Subchapter 16C are dental hygienist licensure rules including general provisions (.0100); qualifications (.0200); application (.0300); Board conducted examinations (.0400); and licensure by credentials (.0500).</w:t>
            </w:r>
          </w:p>
        </w:tc>
      </w:tr>
      <w:tr w:rsidR="00E43A7C" w:rsidRPr="00BF1F42" w14:paraId="78290BC2" w14:textId="77777777" w:rsidTr="00BF1F42">
        <w:trPr>
          <w:tblCellSpacing w:w="15" w:type="dxa"/>
        </w:trPr>
        <w:tc>
          <w:tcPr>
            <w:tcW w:w="7709" w:type="dxa"/>
            <w:hideMark/>
          </w:tcPr>
          <w:p w14:paraId="588C7938" w14:textId="77777777" w:rsidR="00E43A7C" w:rsidRPr="00BF1F42" w:rsidRDefault="00E43A7C" w:rsidP="00BF1F42">
            <w:pPr>
              <w:rPr>
                <w:rFonts w:ascii="Arial" w:hAnsi="Arial" w:cs="Arial"/>
              </w:rPr>
            </w:pPr>
            <w:r w:rsidRPr="00BF1F42">
              <w:rPr>
                <w:rFonts w:ascii="Arial" w:hAnsi="Arial" w:cs="Arial"/>
                <w:u w:val="single"/>
              </w:rPr>
              <w:t>Application for Licensure</w:t>
            </w:r>
          </w:p>
          <w:p w14:paraId="20133CDA"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1D12331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E3DCBAC"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03BB5DAE"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460587AB" w14:textId="77777777" w:rsidR="00E43A7C" w:rsidRPr="00BF1F42" w:rsidRDefault="00E43A7C" w:rsidP="00BF1F42">
            <w:pPr>
              <w:rPr>
                <w:rFonts w:ascii="Arial" w:hAnsi="Arial" w:cs="Arial"/>
              </w:rPr>
            </w:pPr>
            <w:r w:rsidRPr="00BF1F42">
              <w:rPr>
                <w:rFonts w:ascii="Arial" w:hAnsi="Arial" w:cs="Arial"/>
              </w:rPr>
              <w:t>16C</w:t>
            </w:r>
          </w:p>
        </w:tc>
        <w:tc>
          <w:tcPr>
            <w:tcW w:w="677" w:type="dxa"/>
            <w:noWrap/>
            <w:hideMark/>
          </w:tcPr>
          <w:p w14:paraId="5D329272" w14:textId="77777777" w:rsidR="00E43A7C" w:rsidRPr="00BF1F42" w:rsidRDefault="00E43A7C" w:rsidP="00BF1F42">
            <w:pPr>
              <w:rPr>
                <w:rFonts w:ascii="Arial" w:hAnsi="Arial" w:cs="Arial"/>
              </w:rPr>
            </w:pPr>
            <w:r w:rsidRPr="00BF1F42">
              <w:rPr>
                <w:rFonts w:ascii="Arial" w:hAnsi="Arial" w:cs="Arial"/>
              </w:rPr>
              <w:t>.0301</w:t>
            </w:r>
          </w:p>
        </w:tc>
      </w:tr>
      <w:tr w:rsidR="00E43A7C" w:rsidRPr="00BF1F42" w14:paraId="1570B665" w14:textId="77777777" w:rsidTr="00BF1F42">
        <w:trPr>
          <w:tblCellSpacing w:w="15" w:type="dxa"/>
        </w:trPr>
        <w:tc>
          <w:tcPr>
            <w:tcW w:w="7709" w:type="dxa"/>
            <w:hideMark/>
          </w:tcPr>
          <w:p w14:paraId="59B50457" w14:textId="77777777" w:rsidR="00E43A7C" w:rsidRPr="00BF1F42" w:rsidRDefault="00E43A7C" w:rsidP="00BF1F42">
            <w:pPr>
              <w:rPr>
                <w:rFonts w:ascii="Arial" w:hAnsi="Arial" w:cs="Arial"/>
              </w:rPr>
            </w:pPr>
            <w:r w:rsidRPr="00BF1F42">
              <w:rPr>
                <w:rFonts w:ascii="Arial" w:hAnsi="Arial" w:cs="Arial"/>
                <w:u w:val="single"/>
              </w:rPr>
              <w:t>Dental Hygiene Licensure by Credentials</w:t>
            </w:r>
          </w:p>
          <w:p w14:paraId="107468FB"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CEC23D2"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6A2729CB"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7B7B5045"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44C36D1D" w14:textId="77777777" w:rsidR="00E43A7C" w:rsidRPr="00BF1F42" w:rsidRDefault="00E43A7C" w:rsidP="00BF1F42">
            <w:pPr>
              <w:rPr>
                <w:rFonts w:ascii="Arial" w:hAnsi="Arial" w:cs="Arial"/>
              </w:rPr>
            </w:pPr>
            <w:r w:rsidRPr="00BF1F42">
              <w:rPr>
                <w:rFonts w:ascii="Arial" w:hAnsi="Arial" w:cs="Arial"/>
              </w:rPr>
              <w:t>16C</w:t>
            </w:r>
          </w:p>
        </w:tc>
        <w:tc>
          <w:tcPr>
            <w:tcW w:w="677" w:type="dxa"/>
            <w:noWrap/>
            <w:hideMark/>
          </w:tcPr>
          <w:p w14:paraId="183DC9BA" w14:textId="77777777" w:rsidR="00E43A7C" w:rsidRPr="00BF1F42" w:rsidRDefault="00E43A7C" w:rsidP="00BF1F42">
            <w:pPr>
              <w:rPr>
                <w:rFonts w:ascii="Arial" w:hAnsi="Arial" w:cs="Arial"/>
              </w:rPr>
            </w:pPr>
            <w:r w:rsidRPr="00BF1F42">
              <w:rPr>
                <w:rFonts w:ascii="Arial" w:hAnsi="Arial" w:cs="Arial"/>
              </w:rPr>
              <w:t>.0501</w:t>
            </w:r>
          </w:p>
        </w:tc>
      </w:tr>
      <w:tr w:rsidR="00E43A7C" w:rsidRPr="00BF1F42" w14:paraId="6DD65003" w14:textId="77777777" w:rsidTr="00BF1F42">
        <w:trPr>
          <w:tblCellSpacing w:w="15" w:type="dxa"/>
        </w:trPr>
        <w:tc>
          <w:tcPr>
            <w:tcW w:w="10740" w:type="dxa"/>
            <w:gridSpan w:val="6"/>
            <w:tcMar>
              <w:top w:w="144" w:type="dxa"/>
              <w:left w:w="144" w:type="dxa"/>
              <w:bottom w:w="144" w:type="dxa"/>
              <w:right w:w="144" w:type="dxa"/>
            </w:tcMar>
            <w:vAlign w:val="center"/>
            <w:hideMark/>
          </w:tcPr>
          <w:p w14:paraId="201201A8" w14:textId="77777777" w:rsidR="00E43A7C" w:rsidRPr="00BF1F42" w:rsidRDefault="00E43A7C" w:rsidP="00BF1F42">
            <w:pPr>
              <w:rPr>
                <w:rFonts w:ascii="Arial" w:hAnsi="Arial" w:cs="Arial"/>
              </w:rPr>
            </w:pPr>
            <w:r w:rsidRPr="00BF1F42">
              <w:rPr>
                <w:rFonts w:ascii="Arial" w:hAnsi="Arial" w:cs="Arial"/>
              </w:rPr>
              <w:t>The rules in Subchapter 16D concern provisional licensure for dentists including general provisions (.0100); and examinations (.0200).</w:t>
            </w:r>
          </w:p>
        </w:tc>
      </w:tr>
      <w:tr w:rsidR="00E43A7C" w:rsidRPr="00BF1F42" w14:paraId="3F226F2F" w14:textId="77777777" w:rsidTr="00BF1F42">
        <w:trPr>
          <w:tblCellSpacing w:w="15" w:type="dxa"/>
        </w:trPr>
        <w:tc>
          <w:tcPr>
            <w:tcW w:w="7709" w:type="dxa"/>
            <w:hideMark/>
          </w:tcPr>
          <w:p w14:paraId="51C875F4" w14:textId="77777777" w:rsidR="00E43A7C" w:rsidRPr="00BF1F42" w:rsidRDefault="00E43A7C" w:rsidP="00BF1F42">
            <w:pPr>
              <w:rPr>
                <w:rFonts w:ascii="Arial" w:hAnsi="Arial" w:cs="Arial"/>
              </w:rPr>
            </w:pPr>
            <w:r w:rsidRPr="00BF1F42">
              <w:rPr>
                <w:rFonts w:ascii="Arial" w:hAnsi="Arial" w:cs="Arial"/>
                <w:u w:val="single"/>
              </w:rPr>
              <w:t>Application for Provisional License</w:t>
            </w:r>
          </w:p>
          <w:p w14:paraId="1261FD04"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4344118"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73B209DC"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0313C74"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4BE8E79C" w14:textId="77777777" w:rsidR="00E43A7C" w:rsidRPr="00BF1F42" w:rsidRDefault="00E43A7C" w:rsidP="00BF1F42">
            <w:pPr>
              <w:rPr>
                <w:rFonts w:ascii="Arial" w:hAnsi="Arial" w:cs="Arial"/>
              </w:rPr>
            </w:pPr>
            <w:r w:rsidRPr="00BF1F42">
              <w:rPr>
                <w:rFonts w:ascii="Arial" w:hAnsi="Arial" w:cs="Arial"/>
              </w:rPr>
              <w:t>16D</w:t>
            </w:r>
          </w:p>
        </w:tc>
        <w:tc>
          <w:tcPr>
            <w:tcW w:w="677" w:type="dxa"/>
            <w:noWrap/>
            <w:hideMark/>
          </w:tcPr>
          <w:p w14:paraId="410A31B9" w14:textId="77777777" w:rsidR="00E43A7C" w:rsidRPr="00BF1F42" w:rsidRDefault="00E43A7C" w:rsidP="00BF1F42">
            <w:pPr>
              <w:rPr>
                <w:rFonts w:ascii="Arial" w:hAnsi="Arial" w:cs="Arial"/>
              </w:rPr>
            </w:pPr>
            <w:r w:rsidRPr="00BF1F42">
              <w:rPr>
                <w:rFonts w:ascii="Arial" w:hAnsi="Arial" w:cs="Arial"/>
              </w:rPr>
              <w:t>.0104</w:t>
            </w:r>
          </w:p>
        </w:tc>
      </w:tr>
      <w:tr w:rsidR="00E43A7C" w:rsidRPr="00BF1F42" w14:paraId="313E6036" w14:textId="77777777" w:rsidTr="00BF1F42">
        <w:trPr>
          <w:tblCellSpacing w:w="15" w:type="dxa"/>
        </w:trPr>
        <w:tc>
          <w:tcPr>
            <w:tcW w:w="10740" w:type="dxa"/>
            <w:gridSpan w:val="6"/>
            <w:tcMar>
              <w:top w:w="144" w:type="dxa"/>
              <w:left w:w="144" w:type="dxa"/>
              <w:bottom w:w="144" w:type="dxa"/>
              <w:right w:w="144" w:type="dxa"/>
            </w:tcMar>
            <w:vAlign w:val="center"/>
            <w:hideMark/>
          </w:tcPr>
          <w:p w14:paraId="271023E9" w14:textId="77777777" w:rsidR="00E43A7C" w:rsidRPr="00BF1F42" w:rsidRDefault="00E43A7C" w:rsidP="00BF1F42">
            <w:pPr>
              <w:rPr>
                <w:rFonts w:ascii="Arial" w:hAnsi="Arial" w:cs="Arial"/>
              </w:rPr>
            </w:pPr>
            <w:r w:rsidRPr="00BF1F42">
              <w:rPr>
                <w:rFonts w:ascii="Arial" w:hAnsi="Arial" w:cs="Arial"/>
              </w:rPr>
              <w:t>The rules in Subchapter 16E concern provisional licensure for dental hygienists.</w:t>
            </w:r>
          </w:p>
        </w:tc>
      </w:tr>
      <w:tr w:rsidR="00E43A7C" w:rsidRPr="00BF1F42" w14:paraId="6C8C4EFF" w14:textId="77777777" w:rsidTr="00BF1F42">
        <w:trPr>
          <w:tblCellSpacing w:w="15" w:type="dxa"/>
        </w:trPr>
        <w:tc>
          <w:tcPr>
            <w:tcW w:w="7709" w:type="dxa"/>
            <w:hideMark/>
          </w:tcPr>
          <w:p w14:paraId="40FDC4CB" w14:textId="77777777" w:rsidR="00E43A7C" w:rsidRPr="00BF1F42" w:rsidRDefault="00E43A7C" w:rsidP="00BF1F42">
            <w:pPr>
              <w:rPr>
                <w:rFonts w:ascii="Arial" w:hAnsi="Arial" w:cs="Arial"/>
              </w:rPr>
            </w:pPr>
            <w:r w:rsidRPr="00BF1F42">
              <w:rPr>
                <w:rFonts w:ascii="Arial" w:hAnsi="Arial" w:cs="Arial"/>
                <w:u w:val="single"/>
              </w:rPr>
              <w:t>Restrictions on Practice</w:t>
            </w:r>
          </w:p>
          <w:p w14:paraId="62737D08"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03907B38"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8D3C89E"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4FC434DB"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52C9F22" w14:textId="77777777" w:rsidR="00E43A7C" w:rsidRPr="00BF1F42" w:rsidRDefault="00E43A7C" w:rsidP="00BF1F42">
            <w:pPr>
              <w:rPr>
                <w:rFonts w:ascii="Arial" w:hAnsi="Arial" w:cs="Arial"/>
              </w:rPr>
            </w:pPr>
            <w:r w:rsidRPr="00BF1F42">
              <w:rPr>
                <w:rFonts w:ascii="Arial" w:hAnsi="Arial" w:cs="Arial"/>
              </w:rPr>
              <w:t>16E</w:t>
            </w:r>
          </w:p>
        </w:tc>
        <w:tc>
          <w:tcPr>
            <w:tcW w:w="677" w:type="dxa"/>
            <w:noWrap/>
            <w:hideMark/>
          </w:tcPr>
          <w:p w14:paraId="0BE1B292" w14:textId="77777777" w:rsidR="00E43A7C" w:rsidRPr="00BF1F42" w:rsidRDefault="00E43A7C" w:rsidP="00BF1F42">
            <w:pPr>
              <w:rPr>
                <w:rFonts w:ascii="Arial" w:hAnsi="Arial" w:cs="Arial"/>
              </w:rPr>
            </w:pPr>
            <w:r w:rsidRPr="00BF1F42">
              <w:rPr>
                <w:rFonts w:ascii="Arial" w:hAnsi="Arial" w:cs="Arial"/>
              </w:rPr>
              <w:t>.0102</w:t>
            </w:r>
          </w:p>
        </w:tc>
      </w:tr>
      <w:tr w:rsidR="00E43A7C" w:rsidRPr="00BF1F42" w14:paraId="24E07146" w14:textId="77777777" w:rsidTr="00BF1F42">
        <w:trPr>
          <w:tblCellSpacing w:w="15" w:type="dxa"/>
        </w:trPr>
        <w:tc>
          <w:tcPr>
            <w:tcW w:w="7709" w:type="dxa"/>
            <w:hideMark/>
          </w:tcPr>
          <w:p w14:paraId="5DBF832C" w14:textId="77777777" w:rsidR="00E43A7C" w:rsidRPr="00BF1F42" w:rsidRDefault="00E43A7C" w:rsidP="00BF1F42">
            <w:pPr>
              <w:rPr>
                <w:rFonts w:ascii="Arial" w:hAnsi="Arial" w:cs="Arial"/>
              </w:rPr>
            </w:pPr>
            <w:r w:rsidRPr="00BF1F42">
              <w:rPr>
                <w:rFonts w:ascii="Arial" w:hAnsi="Arial" w:cs="Arial"/>
                <w:u w:val="single"/>
              </w:rPr>
              <w:t>Application for Provisional License</w:t>
            </w:r>
          </w:p>
          <w:p w14:paraId="1718169D"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12284088"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D405D6D"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94CE508"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5FB33DB" w14:textId="77777777" w:rsidR="00E43A7C" w:rsidRPr="00BF1F42" w:rsidRDefault="00E43A7C" w:rsidP="00BF1F42">
            <w:pPr>
              <w:rPr>
                <w:rFonts w:ascii="Arial" w:hAnsi="Arial" w:cs="Arial"/>
              </w:rPr>
            </w:pPr>
            <w:r w:rsidRPr="00BF1F42">
              <w:rPr>
                <w:rFonts w:ascii="Arial" w:hAnsi="Arial" w:cs="Arial"/>
              </w:rPr>
              <w:t>16E</w:t>
            </w:r>
          </w:p>
        </w:tc>
        <w:tc>
          <w:tcPr>
            <w:tcW w:w="677" w:type="dxa"/>
            <w:noWrap/>
            <w:hideMark/>
          </w:tcPr>
          <w:p w14:paraId="01012B22" w14:textId="77777777" w:rsidR="00E43A7C" w:rsidRPr="00BF1F42" w:rsidRDefault="00E43A7C" w:rsidP="00BF1F42">
            <w:pPr>
              <w:rPr>
                <w:rFonts w:ascii="Arial" w:hAnsi="Arial" w:cs="Arial"/>
              </w:rPr>
            </w:pPr>
            <w:r w:rsidRPr="00BF1F42">
              <w:rPr>
                <w:rFonts w:ascii="Arial" w:hAnsi="Arial" w:cs="Arial"/>
              </w:rPr>
              <w:t>.0103</w:t>
            </w:r>
          </w:p>
        </w:tc>
      </w:tr>
      <w:tr w:rsidR="00E43A7C" w:rsidRPr="00BF1F42" w14:paraId="5CBA8F6D" w14:textId="77777777" w:rsidTr="00BF1F42">
        <w:trPr>
          <w:tblCellSpacing w:w="15" w:type="dxa"/>
        </w:trPr>
        <w:tc>
          <w:tcPr>
            <w:tcW w:w="10740" w:type="dxa"/>
            <w:gridSpan w:val="6"/>
            <w:tcMar>
              <w:top w:w="144" w:type="dxa"/>
              <w:left w:w="144" w:type="dxa"/>
              <w:bottom w:w="144" w:type="dxa"/>
              <w:right w:w="144" w:type="dxa"/>
            </w:tcMar>
            <w:vAlign w:val="center"/>
            <w:hideMark/>
          </w:tcPr>
          <w:p w14:paraId="51664D91" w14:textId="77777777" w:rsidR="00E43A7C" w:rsidRPr="00BF1F42" w:rsidRDefault="00E43A7C" w:rsidP="00BF1F42">
            <w:pPr>
              <w:rPr>
                <w:rFonts w:ascii="Arial" w:hAnsi="Arial" w:cs="Arial"/>
              </w:rPr>
            </w:pPr>
            <w:r w:rsidRPr="00BF1F42">
              <w:rPr>
                <w:rFonts w:ascii="Arial" w:hAnsi="Arial" w:cs="Arial"/>
              </w:rPr>
              <w:t>The rules in Subchapter 16G concern dental hygienists.</w:t>
            </w:r>
          </w:p>
        </w:tc>
      </w:tr>
      <w:tr w:rsidR="00E43A7C" w:rsidRPr="00BF1F42" w14:paraId="70D821BA" w14:textId="77777777" w:rsidTr="00BF1F42">
        <w:trPr>
          <w:tblCellSpacing w:w="15" w:type="dxa"/>
        </w:trPr>
        <w:tc>
          <w:tcPr>
            <w:tcW w:w="7709" w:type="dxa"/>
            <w:hideMark/>
          </w:tcPr>
          <w:p w14:paraId="7C1D1F5C" w14:textId="77777777" w:rsidR="00E43A7C" w:rsidRPr="00BF1F42" w:rsidRDefault="00E43A7C" w:rsidP="00BF1F42">
            <w:pPr>
              <w:rPr>
                <w:rFonts w:ascii="Arial" w:hAnsi="Arial" w:cs="Arial"/>
              </w:rPr>
            </w:pPr>
            <w:r w:rsidRPr="00BF1F42">
              <w:rPr>
                <w:rFonts w:ascii="Arial" w:hAnsi="Arial" w:cs="Arial"/>
                <w:u w:val="single"/>
              </w:rPr>
              <w:t>Dental Hygiene License by Endorsement Based on Military S...</w:t>
            </w:r>
          </w:p>
          <w:p w14:paraId="044919AA"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036A5160"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0C06F59"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17C67E6"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6CAAAFBA" w14:textId="77777777" w:rsidR="00E43A7C" w:rsidRPr="00BF1F42" w:rsidRDefault="00E43A7C" w:rsidP="00BF1F42">
            <w:pPr>
              <w:rPr>
                <w:rFonts w:ascii="Arial" w:hAnsi="Arial" w:cs="Arial"/>
              </w:rPr>
            </w:pPr>
            <w:r w:rsidRPr="00BF1F42">
              <w:rPr>
                <w:rFonts w:ascii="Arial" w:hAnsi="Arial" w:cs="Arial"/>
              </w:rPr>
              <w:t>16G</w:t>
            </w:r>
          </w:p>
        </w:tc>
        <w:tc>
          <w:tcPr>
            <w:tcW w:w="677" w:type="dxa"/>
            <w:noWrap/>
            <w:hideMark/>
          </w:tcPr>
          <w:p w14:paraId="6B247638" w14:textId="77777777" w:rsidR="00E43A7C" w:rsidRPr="00BF1F42" w:rsidRDefault="00E43A7C" w:rsidP="00BF1F42">
            <w:pPr>
              <w:rPr>
                <w:rFonts w:ascii="Arial" w:hAnsi="Arial" w:cs="Arial"/>
              </w:rPr>
            </w:pPr>
            <w:r w:rsidRPr="00BF1F42">
              <w:rPr>
                <w:rFonts w:ascii="Arial" w:hAnsi="Arial" w:cs="Arial"/>
              </w:rPr>
              <w:t>.0107</w:t>
            </w:r>
          </w:p>
        </w:tc>
      </w:tr>
      <w:tr w:rsidR="00E43A7C" w:rsidRPr="00BF1F42" w14:paraId="0C12001A" w14:textId="77777777" w:rsidTr="00BF1F42">
        <w:trPr>
          <w:tblCellSpacing w:w="15" w:type="dxa"/>
        </w:trPr>
        <w:tc>
          <w:tcPr>
            <w:tcW w:w="7709" w:type="dxa"/>
            <w:hideMark/>
          </w:tcPr>
          <w:p w14:paraId="2E92BF41" w14:textId="77777777" w:rsidR="00E43A7C" w:rsidRPr="00BF1F42" w:rsidRDefault="00E43A7C" w:rsidP="00BF1F42">
            <w:pPr>
              <w:rPr>
                <w:rFonts w:ascii="Arial" w:hAnsi="Arial" w:cs="Arial"/>
              </w:rPr>
            </w:pPr>
            <w:r w:rsidRPr="00BF1F42">
              <w:rPr>
                <w:rFonts w:ascii="Arial" w:hAnsi="Arial" w:cs="Arial"/>
                <w:u w:val="single"/>
              </w:rPr>
              <w:t>Dental Hygiene License by Endorsement Based on Status as ...</w:t>
            </w:r>
          </w:p>
          <w:p w14:paraId="4EBFDCA1"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317FF949"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158B3579"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88F0F2B"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43459E8A" w14:textId="77777777" w:rsidR="00E43A7C" w:rsidRPr="00BF1F42" w:rsidRDefault="00E43A7C" w:rsidP="00BF1F42">
            <w:pPr>
              <w:rPr>
                <w:rFonts w:ascii="Arial" w:hAnsi="Arial" w:cs="Arial"/>
              </w:rPr>
            </w:pPr>
            <w:r w:rsidRPr="00BF1F42">
              <w:rPr>
                <w:rFonts w:ascii="Arial" w:hAnsi="Arial" w:cs="Arial"/>
              </w:rPr>
              <w:t>16G</w:t>
            </w:r>
          </w:p>
        </w:tc>
        <w:tc>
          <w:tcPr>
            <w:tcW w:w="677" w:type="dxa"/>
            <w:noWrap/>
            <w:hideMark/>
          </w:tcPr>
          <w:p w14:paraId="60DFFDA1" w14:textId="77777777" w:rsidR="00E43A7C" w:rsidRPr="00BF1F42" w:rsidRDefault="00E43A7C" w:rsidP="00BF1F42">
            <w:pPr>
              <w:rPr>
                <w:rFonts w:ascii="Arial" w:hAnsi="Arial" w:cs="Arial"/>
              </w:rPr>
            </w:pPr>
            <w:r w:rsidRPr="00BF1F42">
              <w:rPr>
                <w:rFonts w:ascii="Arial" w:hAnsi="Arial" w:cs="Arial"/>
              </w:rPr>
              <w:t>.0108</w:t>
            </w:r>
          </w:p>
        </w:tc>
      </w:tr>
      <w:tr w:rsidR="00E43A7C" w:rsidRPr="00BF1F42" w14:paraId="2DFFE3D8" w14:textId="77777777" w:rsidTr="00BF1F42">
        <w:trPr>
          <w:tblCellSpacing w:w="15" w:type="dxa"/>
        </w:trPr>
        <w:tc>
          <w:tcPr>
            <w:tcW w:w="10740" w:type="dxa"/>
            <w:gridSpan w:val="6"/>
            <w:tcMar>
              <w:top w:w="144" w:type="dxa"/>
              <w:left w:w="144" w:type="dxa"/>
              <w:bottom w:w="144" w:type="dxa"/>
              <w:right w:w="144" w:type="dxa"/>
            </w:tcMar>
            <w:vAlign w:val="center"/>
            <w:hideMark/>
          </w:tcPr>
          <w:p w14:paraId="299AAD87" w14:textId="77777777" w:rsidR="00E43A7C" w:rsidRPr="00BF1F42" w:rsidRDefault="00E43A7C" w:rsidP="00BF1F42">
            <w:pPr>
              <w:rPr>
                <w:rFonts w:ascii="Arial" w:hAnsi="Arial" w:cs="Arial"/>
              </w:rPr>
            </w:pPr>
            <w:r w:rsidRPr="00BF1F42">
              <w:rPr>
                <w:rFonts w:ascii="Arial" w:hAnsi="Arial" w:cs="Arial"/>
              </w:rPr>
              <w:t>The rules in Subchapter 16Y concern permitting intern dentists.</w:t>
            </w:r>
          </w:p>
        </w:tc>
      </w:tr>
      <w:tr w:rsidR="00E43A7C" w:rsidRPr="00BF1F42" w14:paraId="1DA7C6A7" w14:textId="77777777" w:rsidTr="00BF1F42">
        <w:trPr>
          <w:tblCellSpacing w:w="15" w:type="dxa"/>
        </w:trPr>
        <w:tc>
          <w:tcPr>
            <w:tcW w:w="7709" w:type="dxa"/>
            <w:hideMark/>
          </w:tcPr>
          <w:p w14:paraId="4CD49A1A" w14:textId="77777777" w:rsidR="00E43A7C" w:rsidRPr="00BF1F42" w:rsidRDefault="00E43A7C" w:rsidP="00BF1F42">
            <w:pPr>
              <w:rPr>
                <w:rFonts w:ascii="Arial" w:hAnsi="Arial" w:cs="Arial"/>
              </w:rPr>
            </w:pPr>
            <w:r w:rsidRPr="00BF1F42">
              <w:rPr>
                <w:rFonts w:ascii="Arial" w:hAnsi="Arial" w:cs="Arial"/>
                <w:u w:val="single"/>
              </w:rPr>
              <w:t>Application for Intern Permit</w:t>
            </w:r>
          </w:p>
          <w:p w14:paraId="1328BFF9"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1D5975D9"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0C0AB6C4"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21221C5"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CA64E9E" w14:textId="77777777" w:rsidR="00E43A7C" w:rsidRPr="00BF1F42" w:rsidRDefault="00E43A7C" w:rsidP="00BF1F42">
            <w:pPr>
              <w:rPr>
                <w:rFonts w:ascii="Arial" w:hAnsi="Arial" w:cs="Arial"/>
              </w:rPr>
            </w:pPr>
            <w:r w:rsidRPr="00BF1F42">
              <w:rPr>
                <w:rFonts w:ascii="Arial" w:hAnsi="Arial" w:cs="Arial"/>
              </w:rPr>
              <w:t>16Y</w:t>
            </w:r>
          </w:p>
        </w:tc>
        <w:tc>
          <w:tcPr>
            <w:tcW w:w="677" w:type="dxa"/>
            <w:noWrap/>
            <w:hideMark/>
          </w:tcPr>
          <w:p w14:paraId="7322EB3F" w14:textId="77777777" w:rsidR="00E43A7C" w:rsidRPr="00BF1F42" w:rsidRDefault="00E43A7C" w:rsidP="00BF1F42">
            <w:pPr>
              <w:rPr>
                <w:rFonts w:ascii="Arial" w:hAnsi="Arial" w:cs="Arial"/>
              </w:rPr>
            </w:pPr>
            <w:r w:rsidRPr="00BF1F42">
              <w:rPr>
                <w:rFonts w:ascii="Arial" w:hAnsi="Arial" w:cs="Arial"/>
              </w:rPr>
              <w:t>.0102</w:t>
            </w:r>
          </w:p>
        </w:tc>
      </w:tr>
      <w:tr w:rsidR="00E43A7C" w:rsidRPr="00BF1F42" w14:paraId="70BBAB94" w14:textId="77777777" w:rsidTr="00BF1F42">
        <w:trPr>
          <w:tblCellSpacing w:w="15" w:type="dxa"/>
        </w:trPr>
        <w:tc>
          <w:tcPr>
            <w:tcW w:w="10740" w:type="dxa"/>
            <w:gridSpan w:val="6"/>
            <w:tcMar>
              <w:top w:w="375" w:type="dxa"/>
              <w:left w:w="15" w:type="dxa"/>
              <w:bottom w:w="15" w:type="dxa"/>
              <w:right w:w="15" w:type="dxa"/>
            </w:tcMar>
            <w:vAlign w:val="center"/>
            <w:hideMark/>
          </w:tcPr>
          <w:p w14:paraId="487CA466" w14:textId="77777777" w:rsidR="00E43A7C" w:rsidRPr="00BF1F42" w:rsidRDefault="00E43A7C" w:rsidP="00BF1F42">
            <w:pPr>
              <w:rPr>
                <w:rFonts w:ascii="Arial" w:hAnsi="Arial" w:cs="Arial"/>
                <w:b/>
                <w:bCs/>
                <w:caps/>
              </w:rPr>
            </w:pPr>
            <w:r w:rsidRPr="00BF1F42">
              <w:rPr>
                <w:rFonts w:ascii="Arial" w:hAnsi="Arial" w:cs="Arial"/>
                <w:b/>
                <w:bCs/>
                <w:caps/>
              </w:rPr>
              <w:t>Nursing, Board of</w:t>
            </w:r>
          </w:p>
        </w:tc>
      </w:tr>
      <w:tr w:rsidR="00E43A7C" w:rsidRPr="00BF1F42" w14:paraId="5190C242" w14:textId="77777777" w:rsidTr="00BF1F42">
        <w:trPr>
          <w:tblCellSpacing w:w="15" w:type="dxa"/>
        </w:trPr>
        <w:tc>
          <w:tcPr>
            <w:tcW w:w="10740" w:type="dxa"/>
            <w:gridSpan w:val="6"/>
            <w:tcMar>
              <w:top w:w="144" w:type="dxa"/>
              <w:left w:w="144" w:type="dxa"/>
              <w:bottom w:w="144" w:type="dxa"/>
              <w:right w:w="144" w:type="dxa"/>
            </w:tcMar>
            <w:vAlign w:val="center"/>
            <w:hideMark/>
          </w:tcPr>
          <w:p w14:paraId="6AB23464" w14:textId="77777777" w:rsidR="00E43A7C" w:rsidRPr="00BF1F42" w:rsidRDefault="00E43A7C" w:rsidP="00BF1F42">
            <w:pPr>
              <w:rPr>
                <w:rFonts w:ascii="Arial" w:hAnsi="Arial" w:cs="Arial"/>
              </w:rPr>
            </w:pPr>
            <w:r w:rsidRPr="00BF1F42">
              <w:rPr>
                <w:rFonts w:ascii="Arial" w:hAnsi="Arial" w:cs="Arial"/>
              </w:rPr>
              <w:t>The rules in Chapter 36 include rules relating to general provisions (.0100); licensure (.0200); approval of nursing programs (.0300); unlicensed personnel and nurses aides (.0400); professional corporations (.0500); articles of organization (.0600); nurse licensure compact (.0700); and approval and practice parameters for nurse practitioners (.0800).</w:t>
            </w:r>
          </w:p>
        </w:tc>
      </w:tr>
      <w:tr w:rsidR="00E43A7C" w:rsidRPr="00BF1F42" w14:paraId="0C4813A3" w14:textId="77777777" w:rsidTr="00BF1F42">
        <w:trPr>
          <w:tblCellSpacing w:w="15" w:type="dxa"/>
        </w:trPr>
        <w:tc>
          <w:tcPr>
            <w:tcW w:w="7709" w:type="dxa"/>
            <w:hideMark/>
          </w:tcPr>
          <w:p w14:paraId="39794754" w14:textId="77777777" w:rsidR="00E43A7C" w:rsidRPr="00BF1F42" w:rsidRDefault="00E43A7C" w:rsidP="00BF1F42">
            <w:pPr>
              <w:rPr>
                <w:rFonts w:ascii="Arial" w:hAnsi="Arial" w:cs="Arial"/>
              </w:rPr>
            </w:pPr>
            <w:r w:rsidRPr="00BF1F42">
              <w:rPr>
                <w:rFonts w:ascii="Arial" w:hAnsi="Arial" w:cs="Arial"/>
                <w:u w:val="single"/>
              </w:rPr>
              <w:t>Approval of Nurse Aide Education Programs</w:t>
            </w:r>
          </w:p>
          <w:p w14:paraId="7CB223D3"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9154C56"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11E74A8"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286E1CB6"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23503721" w14:textId="77777777" w:rsidR="00E43A7C" w:rsidRPr="00BF1F42" w:rsidRDefault="00E43A7C" w:rsidP="00BF1F42">
            <w:pPr>
              <w:rPr>
                <w:rFonts w:ascii="Arial" w:hAnsi="Arial" w:cs="Arial"/>
              </w:rPr>
            </w:pPr>
            <w:r w:rsidRPr="00BF1F42">
              <w:rPr>
                <w:rFonts w:ascii="Arial" w:hAnsi="Arial" w:cs="Arial"/>
              </w:rPr>
              <w:t>36</w:t>
            </w:r>
          </w:p>
        </w:tc>
        <w:tc>
          <w:tcPr>
            <w:tcW w:w="677" w:type="dxa"/>
            <w:noWrap/>
            <w:hideMark/>
          </w:tcPr>
          <w:p w14:paraId="575FABA1" w14:textId="77777777" w:rsidR="00E43A7C" w:rsidRPr="00BF1F42" w:rsidRDefault="00E43A7C" w:rsidP="00BF1F42">
            <w:pPr>
              <w:rPr>
                <w:rFonts w:ascii="Arial" w:hAnsi="Arial" w:cs="Arial"/>
              </w:rPr>
            </w:pPr>
            <w:r w:rsidRPr="00BF1F42">
              <w:rPr>
                <w:rFonts w:ascii="Arial" w:hAnsi="Arial" w:cs="Arial"/>
              </w:rPr>
              <w:t>.0405</w:t>
            </w:r>
          </w:p>
        </w:tc>
      </w:tr>
      <w:tr w:rsidR="00E43A7C" w:rsidRPr="00BF1F42" w14:paraId="01E80424" w14:textId="77777777" w:rsidTr="00BF1F42">
        <w:trPr>
          <w:tblCellSpacing w:w="15" w:type="dxa"/>
        </w:trPr>
        <w:tc>
          <w:tcPr>
            <w:tcW w:w="10740" w:type="dxa"/>
            <w:gridSpan w:val="6"/>
            <w:tcMar>
              <w:top w:w="375" w:type="dxa"/>
              <w:left w:w="15" w:type="dxa"/>
              <w:bottom w:w="15" w:type="dxa"/>
              <w:right w:w="15" w:type="dxa"/>
            </w:tcMar>
            <w:vAlign w:val="center"/>
            <w:hideMark/>
          </w:tcPr>
          <w:p w14:paraId="44260704" w14:textId="77777777" w:rsidR="00E43A7C" w:rsidRPr="00BF1F42" w:rsidRDefault="00E43A7C" w:rsidP="00BF1F42">
            <w:pPr>
              <w:rPr>
                <w:rFonts w:ascii="Arial" w:hAnsi="Arial" w:cs="Arial"/>
                <w:b/>
                <w:bCs/>
                <w:caps/>
              </w:rPr>
            </w:pPr>
            <w:r w:rsidRPr="00BF1F42">
              <w:rPr>
                <w:rFonts w:ascii="Arial" w:hAnsi="Arial" w:cs="Arial"/>
                <w:b/>
                <w:bCs/>
                <w:caps/>
              </w:rPr>
              <w:t>Recreational Therapy Licensure, Board of</w:t>
            </w:r>
          </w:p>
        </w:tc>
      </w:tr>
      <w:tr w:rsidR="00E43A7C" w:rsidRPr="00BF1F42" w14:paraId="6621D83C" w14:textId="77777777" w:rsidTr="00BF1F42">
        <w:trPr>
          <w:tblCellSpacing w:w="15" w:type="dxa"/>
        </w:trPr>
        <w:tc>
          <w:tcPr>
            <w:tcW w:w="10740" w:type="dxa"/>
            <w:gridSpan w:val="6"/>
            <w:tcMar>
              <w:top w:w="144" w:type="dxa"/>
              <w:left w:w="144" w:type="dxa"/>
              <w:bottom w:w="144" w:type="dxa"/>
              <w:right w:w="144" w:type="dxa"/>
            </w:tcMar>
            <w:vAlign w:val="center"/>
            <w:hideMark/>
          </w:tcPr>
          <w:p w14:paraId="3CF38AD5" w14:textId="77777777" w:rsidR="00E43A7C" w:rsidRPr="00BF1F42" w:rsidRDefault="00E43A7C" w:rsidP="00BF1F42">
            <w:pPr>
              <w:rPr>
                <w:rFonts w:ascii="Arial" w:hAnsi="Arial" w:cs="Arial"/>
              </w:rPr>
            </w:pPr>
            <w:r w:rsidRPr="00BF1F42">
              <w:rPr>
                <w:rFonts w:ascii="Arial" w:hAnsi="Arial" w:cs="Arial"/>
              </w:rPr>
              <w:t>The rules in Chapter 65 cover the practice of recreational therapy including general provisions (.0100); requirements for practice (.0200); requirements for licensure (.0300); application (.0400); fees (.0500); license renewal requirements (.0600); reinstatement (.0700); inactive status (.0800); reciprocity (.0900); and revocation, suspension or denial of licensure (.1000).</w:t>
            </w:r>
          </w:p>
        </w:tc>
      </w:tr>
      <w:tr w:rsidR="00E43A7C" w:rsidRPr="00BF1F42" w14:paraId="6A254678" w14:textId="77777777" w:rsidTr="00BF1F42">
        <w:trPr>
          <w:tblCellSpacing w:w="15" w:type="dxa"/>
        </w:trPr>
        <w:tc>
          <w:tcPr>
            <w:tcW w:w="7709" w:type="dxa"/>
            <w:hideMark/>
          </w:tcPr>
          <w:p w14:paraId="3B7151E2" w14:textId="77777777" w:rsidR="00E43A7C" w:rsidRPr="00BF1F42" w:rsidRDefault="00E43A7C" w:rsidP="00BF1F42">
            <w:pPr>
              <w:rPr>
                <w:rFonts w:ascii="Arial" w:hAnsi="Arial" w:cs="Arial"/>
              </w:rPr>
            </w:pPr>
            <w:r w:rsidRPr="00BF1F42">
              <w:rPr>
                <w:rFonts w:ascii="Arial" w:hAnsi="Arial" w:cs="Arial"/>
                <w:u w:val="single"/>
              </w:rPr>
              <w:t>Continuing Education Requirements for Licensed Recreation...</w:t>
            </w:r>
          </w:p>
          <w:p w14:paraId="055F2E03"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2F74D393"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2FE587DE"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39A24D8"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1B843A1A" w14:textId="77777777" w:rsidR="00E43A7C" w:rsidRPr="00BF1F42" w:rsidRDefault="00E43A7C" w:rsidP="00BF1F42">
            <w:pPr>
              <w:rPr>
                <w:rFonts w:ascii="Arial" w:hAnsi="Arial" w:cs="Arial"/>
              </w:rPr>
            </w:pPr>
            <w:r w:rsidRPr="00BF1F42">
              <w:rPr>
                <w:rFonts w:ascii="Arial" w:hAnsi="Arial" w:cs="Arial"/>
              </w:rPr>
              <w:t>65</w:t>
            </w:r>
          </w:p>
        </w:tc>
        <w:tc>
          <w:tcPr>
            <w:tcW w:w="677" w:type="dxa"/>
            <w:noWrap/>
            <w:hideMark/>
          </w:tcPr>
          <w:p w14:paraId="3AB5C3CC" w14:textId="77777777" w:rsidR="00E43A7C" w:rsidRPr="00BF1F42" w:rsidRDefault="00E43A7C" w:rsidP="00BF1F42">
            <w:pPr>
              <w:rPr>
                <w:rFonts w:ascii="Arial" w:hAnsi="Arial" w:cs="Arial"/>
              </w:rPr>
            </w:pPr>
            <w:r w:rsidRPr="00BF1F42">
              <w:rPr>
                <w:rFonts w:ascii="Arial" w:hAnsi="Arial" w:cs="Arial"/>
              </w:rPr>
              <w:t>.0601</w:t>
            </w:r>
          </w:p>
        </w:tc>
      </w:tr>
      <w:tr w:rsidR="00E43A7C" w:rsidRPr="00BF1F42" w14:paraId="4C8017BF" w14:textId="77777777" w:rsidTr="00BF1F42">
        <w:trPr>
          <w:tblCellSpacing w:w="15" w:type="dxa"/>
        </w:trPr>
        <w:tc>
          <w:tcPr>
            <w:tcW w:w="7709" w:type="dxa"/>
            <w:hideMark/>
          </w:tcPr>
          <w:p w14:paraId="330D4FDF" w14:textId="77777777" w:rsidR="00E43A7C" w:rsidRPr="00BF1F42" w:rsidRDefault="00E43A7C" w:rsidP="00BF1F42">
            <w:pPr>
              <w:rPr>
                <w:rFonts w:ascii="Arial" w:hAnsi="Arial" w:cs="Arial"/>
              </w:rPr>
            </w:pPr>
            <w:r w:rsidRPr="00BF1F42">
              <w:rPr>
                <w:rFonts w:ascii="Arial" w:hAnsi="Arial" w:cs="Arial"/>
                <w:u w:val="single"/>
              </w:rPr>
              <w:t>Renewal Requirements for Licensed Recreational Therapist ...</w:t>
            </w:r>
          </w:p>
          <w:p w14:paraId="20BDF588"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32811BE1"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1E17466E"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7DF5AC92"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54EA493C" w14:textId="77777777" w:rsidR="00E43A7C" w:rsidRPr="00BF1F42" w:rsidRDefault="00E43A7C" w:rsidP="00BF1F42">
            <w:pPr>
              <w:rPr>
                <w:rFonts w:ascii="Arial" w:hAnsi="Arial" w:cs="Arial"/>
              </w:rPr>
            </w:pPr>
            <w:r w:rsidRPr="00BF1F42">
              <w:rPr>
                <w:rFonts w:ascii="Arial" w:hAnsi="Arial" w:cs="Arial"/>
              </w:rPr>
              <w:t>65</w:t>
            </w:r>
          </w:p>
        </w:tc>
        <w:tc>
          <w:tcPr>
            <w:tcW w:w="677" w:type="dxa"/>
            <w:noWrap/>
            <w:hideMark/>
          </w:tcPr>
          <w:p w14:paraId="3B0867BA" w14:textId="77777777" w:rsidR="00E43A7C" w:rsidRPr="00BF1F42" w:rsidRDefault="00E43A7C" w:rsidP="00BF1F42">
            <w:pPr>
              <w:rPr>
                <w:rFonts w:ascii="Arial" w:hAnsi="Arial" w:cs="Arial"/>
              </w:rPr>
            </w:pPr>
            <w:r w:rsidRPr="00BF1F42">
              <w:rPr>
                <w:rFonts w:ascii="Arial" w:hAnsi="Arial" w:cs="Arial"/>
              </w:rPr>
              <w:t>.0602</w:t>
            </w:r>
          </w:p>
        </w:tc>
      </w:tr>
      <w:tr w:rsidR="00E43A7C" w:rsidRPr="00BF1F42" w14:paraId="7A2865FE" w14:textId="77777777" w:rsidTr="00BF1F42">
        <w:trPr>
          <w:tblCellSpacing w:w="15" w:type="dxa"/>
        </w:trPr>
        <w:tc>
          <w:tcPr>
            <w:tcW w:w="7709" w:type="dxa"/>
            <w:hideMark/>
          </w:tcPr>
          <w:p w14:paraId="691BD7AC" w14:textId="77777777" w:rsidR="00E43A7C" w:rsidRPr="00BF1F42" w:rsidRDefault="00E43A7C" w:rsidP="00BF1F42">
            <w:pPr>
              <w:rPr>
                <w:rFonts w:ascii="Arial" w:hAnsi="Arial" w:cs="Arial"/>
              </w:rPr>
            </w:pPr>
            <w:r w:rsidRPr="00BF1F42">
              <w:rPr>
                <w:rFonts w:ascii="Arial" w:hAnsi="Arial" w:cs="Arial"/>
                <w:u w:val="single"/>
              </w:rPr>
              <w:t>Reinstatement of Lapsed License</w:t>
            </w:r>
          </w:p>
          <w:p w14:paraId="6C2DC0CA"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324A0762"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D0A1A22"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67997AE4"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060C764A" w14:textId="77777777" w:rsidR="00E43A7C" w:rsidRPr="00BF1F42" w:rsidRDefault="00E43A7C" w:rsidP="00BF1F42">
            <w:pPr>
              <w:rPr>
                <w:rFonts w:ascii="Arial" w:hAnsi="Arial" w:cs="Arial"/>
              </w:rPr>
            </w:pPr>
            <w:r w:rsidRPr="00BF1F42">
              <w:rPr>
                <w:rFonts w:ascii="Arial" w:hAnsi="Arial" w:cs="Arial"/>
              </w:rPr>
              <w:t>65</w:t>
            </w:r>
          </w:p>
        </w:tc>
        <w:tc>
          <w:tcPr>
            <w:tcW w:w="677" w:type="dxa"/>
            <w:noWrap/>
            <w:hideMark/>
          </w:tcPr>
          <w:p w14:paraId="2722B938" w14:textId="77777777" w:rsidR="00E43A7C" w:rsidRPr="00BF1F42" w:rsidRDefault="00E43A7C" w:rsidP="00BF1F42">
            <w:pPr>
              <w:rPr>
                <w:rFonts w:ascii="Arial" w:hAnsi="Arial" w:cs="Arial"/>
              </w:rPr>
            </w:pPr>
            <w:r w:rsidRPr="00BF1F42">
              <w:rPr>
                <w:rFonts w:ascii="Arial" w:hAnsi="Arial" w:cs="Arial"/>
              </w:rPr>
              <w:t>.0701</w:t>
            </w:r>
          </w:p>
        </w:tc>
      </w:tr>
      <w:tr w:rsidR="00E43A7C" w:rsidRPr="00BF1F42" w14:paraId="1DB3A3C8" w14:textId="77777777" w:rsidTr="00BF1F42">
        <w:trPr>
          <w:tblCellSpacing w:w="15" w:type="dxa"/>
        </w:trPr>
        <w:tc>
          <w:tcPr>
            <w:tcW w:w="7709" w:type="dxa"/>
            <w:hideMark/>
          </w:tcPr>
          <w:p w14:paraId="7ADDBA81" w14:textId="77777777" w:rsidR="00E43A7C" w:rsidRPr="00BF1F42" w:rsidRDefault="00E43A7C" w:rsidP="00BF1F42">
            <w:pPr>
              <w:rPr>
                <w:rFonts w:ascii="Arial" w:hAnsi="Arial" w:cs="Arial"/>
              </w:rPr>
            </w:pPr>
            <w:r w:rsidRPr="00BF1F42">
              <w:rPr>
                <w:rFonts w:ascii="Arial" w:hAnsi="Arial" w:cs="Arial"/>
                <w:u w:val="single"/>
              </w:rPr>
              <w:t>Inactive Status</w:t>
            </w:r>
          </w:p>
          <w:p w14:paraId="2748E32C" w14:textId="77777777" w:rsidR="00E43A7C" w:rsidRPr="00BF1F42" w:rsidRDefault="00E43A7C" w:rsidP="00BF1F42">
            <w:pPr>
              <w:rPr>
                <w:rFonts w:ascii="Arial" w:hAnsi="Arial" w:cs="Arial"/>
              </w:rPr>
            </w:pPr>
            <w:r w:rsidRPr="00BF1F42">
              <w:rPr>
                <w:rFonts w:ascii="Arial" w:hAnsi="Arial" w:cs="Arial"/>
              </w:rPr>
              <w:lastRenderedPageBreak/>
              <w:t>Amend*</w:t>
            </w:r>
          </w:p>
        </w:tc>
        <w:tc>
          <w:tcPr>
            <w:tcW w:w="172" w:type="dxa"/>
            <w:vAlign w:val="center"/>
            <w:hideMark/>
          </w:tcPr>
          <w:p w14:paraId="323FCFA6"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550DE3C7"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10E82648"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35115B98" w14:textId="77777777" w:rsidR="00E43A7C" w:rsidRPr="00BF1F42" w:rsidRDefault="00E43A7C" w:rsidP="00BF1F42">
            <w:pPr>
              <w:rPr>
                <w:rFonts w:ascii="Arial" w:hAnsi="Arial" w:cs="Arial"/>
              </w:rPr>
            </w:pPr>
            <w:r w:rsidRPr="00BF1F42">
              <w:rPr>
                <w:rFonts w:ascii="Arial" w:hAnsi="Arial" w:cs="Arial"/>
              </w:rPr>
              <w:t>65</w:t>
            </w:r>
          </w:p>
        </w:tc>
        <w:tc>
          <w:tcPr>
            <w:tcW w:w="677" w:type="dxa"/>
            <w:noWrap/>
            <w:hideMark/>
          </w:tcPr>
          <w:p w14:paraId="75F39BF9" w14:textId="77777777" w:rsidR="00E43A7C" w:rsidRPr="00BF1F42" w:rsidRDefault="00E43A7C" w:rsidP="00BF1F42">
            <w:pPr>
              <w:rPr>
                <w:rFonts w:ascii="Arial" w:hAnsi="Arial" w:cs="Arial"/>
              </w:rPr>
            </w:pPr>
            <w:r w:rsidRPr="00BF1F42">
              <w:rPr>
                <w:rFonts w:ascii="Arial" w:hAnsi="Arial" w:cs="Arial"/>
              </w:rPr>
              <w:t>.0801</w:t>
            </w:r>
          </w:p>
        </w:tc>
      </w:tr>
      <w:tr w:rsidR="00E43A7C" w:rsidRPr="00BF1F42" w14:paraId="758E7E6F" w14:textId="77777777" w:rsidTr="00BF1F42">
        <w:trPr>
          <w:tblCellSpacing w:w="15" w:type="dxa"/>
        </w:trPr>
        <w:tc>
          <w:tcPr>
            <w:tcW w:w="7709" w:type="dxa"/>
            <w:hideMark/>
          </w:tcPr>
          <w:p w14:paraId="0F9F011B" w14:textId="77777777" w:rsidR="00E43A7C" w:rsidRPr="00BF1F42" w:rsidRDefault="00E43A7C" w:rsidP="00BF1F42">
            <w:pPr>
              <w:rPr>
                <w:rFonts w:ascii="Arial" w:hAnsi="Arial" w:cs="Arial"/>
              </w:rPr>
            </w:pPr>
            <w:r w:rsidRPr="00BF1F42">
              <w:rPr>
                <w:rFonts w:ascii="Arial" w:hAnsi="Arial" w:cs="Arial"/>
                <w:u w:val="single"/>
              </w:rPr>
              <w:t>Military Endorsement</w:t>
            </w:r>
          </w:p>
          <w:p w14:paraId="61FA2D4B"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55A870D5" w14:textId="77777777" w:rsidR="00E43A7C" w:rsidRPr="00BF1F42" w:rsidRDefault="00E43A7C" w:rsidP="00BF1F42">
            <w:pPr>
              <w:rPr>
                <w:rFonts w:ascii="Arial" w:hAnsi="Arial" w:cs="Arial"/>
              </w:rPr>
            </w:pPr>
          </w:p>
        </w:tc>
        <w:tc>
          <w:tcPr>
            <w:tcW w:w="852" w:type="dxa"/>
            <w:noWrap/>
            <w:tcMar>
              <w:top w:w="15" w:type="dxa"/>
              <w:left w:w="450" w:type="dxa"/>
              <w:bottom w:w="15" w:type="dxa"/>
              <w:right w:w="15" w:type="dxa"/>
            </w:tcMar>
            <w:hideMark/>
          </w:tcPr>
          <w:p w14:paraId="39FD8C5F" w14:textId="77777777" w:rsidR="00E43A7C" w:rsidRPr="00BF1F42" w:rsidRDefault="00E43A7C" w:rsidP="00BF1F42">
            <w:pPr>
              <w:rPr>
                <w:rFonts w:ascii="Arial" w:hAnsi="Arial" w:cs="Arial"/>
              </w:rPr>
            </w:pPr>
            <w:r w:rsidRPr="00BF1F42">
              <w:rPr>
                <w:rFonts w:ascii="Arial" w:hAnsi="Arial" w:cs="Arial"/>
              </w:rPr>
              <w:t>21</w:t>
            </w:r>
          </w:p>
        </w:tc>
        <w:tc>
          <w:tcPr>
            <w:tcW w:w="694" w:type="dxa"/>
            <w:noWrap/>
            <w:hideMark/>
          </w:tcPr>
          <w:p w14:paraId="4EFEEF0E" w14:textId="77777777" w:rsidR="00E43A7C" w:rsidRPr="00BF1F42" w:rsidRDefault="00E43A7C" w:rsidP="00BF1F42">
            <w:pPr>
              <w:rPr>
                <w:rFonts w:ascii="Arial" w:hAnsi="Arial" w:cs="Arial"/>
              </w:rPr>
            </w:pPr>
            <w:r w:rsidRPr="00BF1F42">
              <w:rPr>
                <w:rFonts w:ascii="Arial" w:hAnsi="Arial" w:cs="Arial"/>
              </w:rPr>
              <w:t>NCAC</w:t>
            </w:r>
          </w:p>
        </w:tc>
        <w:tc>
          <w:tcPr>
            <w:tcW w:w="486" w:type="dxa"/>
            <w:noWrap/>
            <w:hideMark/>
          </w:tcPr>
          <w:p w14:paraId="2525BE0F" w14:textId="77777777" w:rsidR="00E43A7C" w:rsidRPr="00BF1F42" w:rsidRDefault="00E43A7C" w:rsidP="00BF1F42">
            <w:pPr>
              <w:rPr>
                <w:rFonts w:ascii="Arial" w:hAnsi="Arial" w:cs="Arial"/>
              </w:rPr>
            </w:pPr>
            <w:r w:rsidRPr="00BF1F42">
              <w:rPr>
                <w:rFonts w:ascii="Arial" w:hAnsi="Arial" w:cs="Arial"/>
              </w:rPr>
              <w:t>65</w:t>
            </w:r>
          </w:p>
        </w:tc>
        <w:tc>
          <w:tcPr>
            <w:tcW w:w="677" w:type="dxa"/>
            <w:noWrap/>
            <w:hideMark/>
          </w:tcPr>
          <w:p w14:paraId="33F9145A" w14:textId="77777777" w:rsidR="00E43A7C" w:rsidRPr="00BF1F42" w:rsidRDefault="00E43A7C" w:rsidP="00BF1F42">
            <w:pPr>
              <w:rPr>
                <w:rFonts w:ascii="Arial" w:hAnsi="Arial" w:cs="Arial"/>
              </w:rPr>
            </w:pPr>
            <w:r w:rsidRPr="00BF1F42">
              <w:rPr>
                <w:rFonts w:ascii="Arial" w:hAnsi="Arial" w:cs="Arial"/>
              </w:rPr>
              <w:t>.0902</w:t>
            </w:r>
          </w:p>
        </w:tc>
      </w:tr>
      <w:tr w:rsidR="00E43A7C" w:rsidRPr="00BF1F42" w14:paraId="5AF4EA84" w14:textId="77777777" w:rsidTr="00BF1F42">
        <w:trPr>
          <w:tblCellSpacing w:w="15" w:type="dxa"/>
        </w:trPr>
        <w:tc>
          <w:tcPr>
            <w:tcW w:w="10740" w:type="dxa"/>
            <w:gridSpan w:val="6"/>
            <w:tcMar>
              <w:top w:w="375" w:type="dxa"/>
              <w:left w:w="15" w:type="dxa"/>
              <w:bottom w:w="15" w:type="dxa"/>
              <w:right w:w="15" w:type="dxa"/>
            </w:tcMar>
            <w:vAlign w:val="center"/>
            <w:hideMark/>
          </w:tcPr>
          <w:p w14:paraId="76955BF0" w14:textId="77777777" w:rsidR="00E43A7C" w:rsidRPr="00BF1F42" w:rsidRDefault="00E43A7C" w:rsidP="00BF1F42">
            <w:pPr>
              <w:rPr>
                <w:rFonts w:ascii="Arial" w:hAnsi="Arial" w:cs="Arial"/>
                <w:b/>
                <w:bCs/>
                <w:caps/>
              </w:rPr>
            </w:pPr>
            <w:r w:rsidRPr="00BF1F42">
              <w:rPr>
                <w:rFonts w:ascii="Arial" w:hAnsi="Arial" w:cs="Arial"/>
                <w:b/>
                <w:bCs/>
                <w:caps/>
              </w:rPr>
              <w:t>Building Code Council</w:t>
            </w:r>
          </w:p>
        </w:tc>
      </w:tr>
      <w:tr w:rsidR="00E43A7C" w:rsidRPr="00BF1F42" w14:paraId="203B65F0" w14:textId="77777777" w:rsidTr="00BF1F42">
        <w:trPr>
          <w:tblCellSpacing w:w="15" w:type="dxa"/>
        </w:trPr>
        <w:tc>
          <w:tcPr>
            <w:tcW w:w="10740" w:type="dxa"/>
            <w:gridSpan w:val="6"/>
            <w:tcMar>
              <w:top w:w="75" w:type="dxa"/>
              <w:left w:w="150" w:type="dxa"/>
              <w:bottom w:w="225" w:type="dxa"/>
              <w:right w:w="15" w:type="dxa"/>
            </w:tcMar>
            <w:vAlign w:val="center"/>
            <w:hideMark/>
          </w:tcPr>
          <w:p w14:paraId="00D5AC30" w14:textId="77777777" w:rsidR="00E43A7C" w:rsidRPr="00BF1F42" w:rsidRDefault="00E43A7C" w:rsidP="00BF1F42">
            <w:pPr>
              <w:rPr>
                <w:rFonts w:ascii="Arial" w:hAnsi="Arial" w:cs="Arial"/>
                <w:b/>
                <w:bCs/>
                <w:caps/>
              </w:rPr>
            </w:pPr>
          </w:p>
        </w:tc>
      </w:tr>
      <w:tr w:rsidR="00E43A7C" w:rsidRPr="00BF1F42" w14:paraId="45938F6E" w14:textId="77777777" w:rsidTr="00BF1F42">
        <w:trPr>
          <w:tblCellSpacing w:w="15" w:type="dxa"/>
        </w:trPr>
        <w:tc>
          <w:tcPr>
            <w:tcW w:w="7709" w:type="dxa"/>
            <w:hideMark/>
          </w:tcPr>
          <w:p w14:paraId="21C25A05" w14:textId="77777777" w:rsidR="00E43A7C" w:rsidRPr="00BF1F42" w:rsidRDefault="00E43A7C" w:rsidP="00BF1F42">
            <w:pPr>
              <w:rPr>
                <w:rFonts w:ascii="Arial" w:hAnsi="Arial" w:cs="Arial"/>
              </w:rPr>
            </w:pPr>
            <w:r w:rsidRPr="00BF1F42">
              <w:rPr>
                <w:rFonts w:ascii="Arial" w:hAnsi="Arial" w:cs="Arial"/>
                <w:u w:val="single"/>
              </w:rPr>
              <w:t>2018 NC Mechanical Code/General Definitions</w:t>
            </w:r>
          </w:p>
          <w:p w14:paraId="380428C7"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129D29E8"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325D6FB7" w14:textId="77777777" w:rsidR="00E43A7C" w:rsidRPr="00BF1F42" w:rsidRDefault="00E43A7C" w:rsidP="00BF1F42">
            <w:pPr>
              <w:rPr>
                <w:rFonts w:ascii="Arial" w:hAnsi="Arial" w:cs="Arial"/>
              </w:rPr>
            </w:pPr>
            <w:r w:rsidRPr="00BF1F42">
              <w:rPr>
                <w:rFonts w:ascii="Arial" w:hAnsi="Arial" w:cs="Arial"/>
              </w:rPr>
              <w:t>202</w:t>
            </w:r>
          </w:p>
        </w:tc>
      </w:tr>
      <w:tr w:rsidR="00E43A7C" w:rsidRPr="00BF1F42" w14:paraId="5E9A9E44" w14:textId="77777777" w:rsidTr="00BF1F42">
        <w:trPr>
          <w:tblCellSpacing w:w="15" w:type="dxa"/>
        </w:trPr>
        <w:tc>
          <w:tcPr>
            <w:tcW w:w="7709" w:type="dxa"/>
            <w:hideMark/>
          </w:tcPr>
          <w:p w14:paraId="48F24188" w14:textId="77777777" w:rsidR="00E43A7C" w:rsidRPr="00BF1F42" w:rsidRDefault="00E43A7C" w:rsidP="00BF1F42">
            <w:pPr>
              <w:rPr>
                <w:rFonts w:ascii="Arial" w:hAnsi="Arial" w:cs="Arial"/>
              </w:rPr>
            </w:pPr>
            <w:r w:rsidRPr="00BF1F42">
              <w:rPr>
                <w:rFonts w:ascii="Arial" w:hAnsi="Arial" w:cs="Arial"/>
                <w:u w:val="single"/>
              </w:rPr>
              <w:t>2018 NC Residential Code/</w:t>
            </w:r>
            <w:proofErr w:type="gramStart"/>
            <w:r w:rsidRPr="00BF1F42">
              <w:rPr>
                <w:rFonts w:ascii="Arial" w:hAnsi="Arial" w:cs="Arial"/>
                <w:u w:val="single"/>
              </w:rPr>
              <w:t>Drain Pipe</w:t>
            </w:r>
            <w:proofErr w:type="gramEnd"/>
            <w:r w:rsidRPr="00BF1F42">
              <w:rPr>
                <w:rFonts w:ascii="Arial" w:hAnsi="Arial" w:cs="Arial"/>
                <w:u w:val="single"/>
              </w:rPr>
              <w:t xml:space="preserve"> Materials and Sizes</w:t>
            </w:r>
          </w:p>
          <w:p w14:paraId="10C8DEB1"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0513EF71"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68D56BEF" w14:textId="77777777" w:rsidR="00E43A7C" w:rsidRPr="00BF1F42" w:rsidRDefault="00E43A7C" w:rsidP="00BF1F42">
            <w:pPr>
              <w:rPr>
                <w:rFonts w:ascii="Arial" w:hAnsi="Arial" w:cs="Arial"/>
              </w:rPr>
            </w:pPr>
            <w:r w:rsidRPr="00BF1F42">
              <w:rPr>
                <w:rFonts w:ascii="Arial" w:hAnsi="Arial" w:cs="Arial"/>
              </w:rPr>
              <w:t>M1411.3.2</w:t>
            </w:r>
          </w:p>
        </w:tc>
      </w:tr>
      <w:tr w:rsidR="00E43A7C" w:rsidRPr="00BF1F42" w14:paraId="70EC1EA8" w14:textId="77777777" w:rsidTr="00BF1F42">
        <w:trPr>
          <w:tblCellSpacing w:w="15" w:type="dxa"/>
        </w:trPr>
        <w:tc>
          <w:tcPr>
            <w:tcW w:w="7709" w:type="dxa"/>
            <w:hideMark/>
          </w:tcPr>
          <w:p w14:paraId="6CB68CDD" w14:textId="77777777" w:rsidR="00E43A7C" w:rsidRPr="00BF1F42" w:rsidRDefault="00E43A7C" w:rsidP="00BF1F42">
            <w:pPr>
              <w:rPr>
                <w:rFonts w:ascii="Arial" w:hAnsi="Arial" w:cs="Arial"/>
              </w:rPr>
            </w:pPr>
            <w:r w:rsidRPr="00BF1F42">
              <w:rPr>
                <w:rFonts w:ascii="Arial" w:hAnsi="Arial" w:cs="Arial"/>
                <w:u w:val="single"/>
              </w:rPr>
              <w:t>2018 NC Residential Code/General</w:t>
            </w:r>
          </w:p>
          <w:p w14:paraId="3246E549"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64D6E3AE"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22E972F6" w14:textId="77777777" w:rsidR="00E43A7C" w:rsidRPr="00BF1F42" w:rsidRDefault="00E43A7C" w:rsidP="00BF1F42">
            <w:pPr>
              <w:rPr>
                <w:rFonts w:ascii="Arial" w:hAnsi="Arial" w:cs="Arial"/>
              </w:rPr>
            </w:pPr>
            <w:r w:rsidRPr="00BF1F42">
              <w:rPr>
                <w:rFonts w:ascii="Arial" w:hAnsi="Arial" w:cs="Arial"/>
              </w:rPr>
              <w:t>M1502.1</w:t>
            </w:r>
          </w:p>
        </w:tc>
      </w:tr>
      <w:tr w:rsidR="00E43A7C" w:rsidRPr="00BF1F42" w14:paraId="39D07C12" w14:textId="77777777" w:rsidTr="00BF1F42">
        <w:trPr>
          <w:tblCellSpacing w:w="15" w:type="dxa"/>
        </w:trPr>
        <w:tc>
          <w:tcPr>
            <w:tcW w:w="7709" w:type="dxa"/>
            <w:hideMark/>
          </w:tcPr>
          <w:p w14:paraId="2D610453" w14:textId="77777777" w:rsidR="00E43A7C" w:rsidRPr="00BF1F42" w:rsidRDefault="00E43A7C" w:rsidP="00BF1F42">
            <w:pPr>
              <w:rPr>
                <w:rFonts w:ascii="Arial" w:hAnsi="Arial" w:cs="Arial"/>
              </w:rPr>
            </w:pPr>
            <w:r w:rsidRPr="00BF1F42">
              <w:rPr>
                <w:rFonts w:ascii="Arial" w:hAnsi="Arial" w:cs="Arial"/>
                <w:u w:val="single"/>
              </w:rPr>
              <w:t>2018 NC Residential Code/Duct Installation</w:t>
            </w:r>
          </w:p>
          <w:p w14:paraId="7DEFB033"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6F47A2BD"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2A3B2393" w14:textId="77777777" w:rsidR="00E43A7C" w:rsidRPr="00BF1F42" w:rsidRDefault="00E43A7C" w:rsidP="00BF1F42">
            <w:pPr>
              <w:rPr>
                <w:rFonts w:ascii="Arial" w:hAnsi="Arial" w:cs="Arial"/>
              </w:rPr>
            </w:pPr>
            <w:r w:rsidRPr="00BF1F42">
              <w:rPr>
                <w:rFonts w:ascii="Arial" w:hAnsi="Arial" w:cs="Arial"/>
              </w:rPr>
              <w:t>M1502.4.2</w:t>
            </w:r>
          </w:p>
        </w:tc>
      </w:tr>
      <w:tr w:rsidR="00E43A7C" w:rsidRPr="00BF1F42" w14:paraId="753829A7" w14:textId="77777777" w:rsidTr="00BF1F42">
        <w:trPr>
          <w:tblCellSpacing w:w="15" w:type="dxa"/>
        </w:trPr>
        <w:tc>
          <w:tcPr>
            <w:tcW w:w="7709" w:type="dxa"/>
            <w:hideMark/>
          </w:tcPr>
          <w:p w14:paraId="0E3484D3" w14:textId="77777777" w:rsidR="00E43A7C" w:rsidRPr="00BF1F42" w:rsidRDefault="00E43A7C" w:rsidP="00BF1F42">
            <w:pPr>
              <w:rPr>
                <w:rFonts w:ascii="Arial" w:hAnsi="Arial" w:cs="Arial"/>
              </w:rPr>
            </w:pPr>
            <w:r w:rsidRPr="00BF1F42">
              <w:rPr>
                <w:rFonts w:ascii="Arial" w:hAnsi="Arial" w:cs="Arial"/>
                <w:u w:val="single"/>
              </w:rPr>
              <w:t>2018 NC Residential Code/Return-Air Intake</w:t>
            </w:r>
          </w:p>
          <w:p w14:paraId="0FD854AB"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7934D891"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7B653892" w14:textId="77777777" w:rsidR="00E43A7C" w:rsidRPr="00BF1F42" w:rsidRDefault="00E43A7C" w:rsidP="00BF1F42">
            <w:pPr>
              <w:rPr>
                <w:rFonts w:ascii="Arial" w:hAnsi="Arial" w:cs="Arial"/>
              </w:rPr>
            </w:pPr>
            <w:r w:rsidRPr="00BF1F42">
              <w:rPr>
                <w:rFonts w:ascii="Arial" w:hAnsi="Arial" w:cs="Arial"/>
              </w:rPr>
              <w:t>M1602.3</w:t>
            </w:r>
          </w:p>
        </w:tc>
      </w:tr>
      <w:tr w:rsidR="00E43A7C" w:rsidRPr="00BF1F42" w14:paraId="096D4670" w14:textId="77777777" w:rsidTr="00BF1F42">
        <w:trPr>
          <w:tblCellSpacing w:w="15" w:type="dxa"/>
        </w:trPr>
        <w:tc>
          <w:tcPr>
            <w:tcW w:w="7709" w:type="dxa"/>
            <w:hideMark/>
          </w:tcPr>
          <w:p w14:paraId="06A2EC2C" w14:textId="77777777" w:rsidR="00E43A7C" w:rsidRPr="00BF1F42" w:rsidRDefault="00E43A7C" w:rsidP="00BF1F42">
            <w:pPr>
              <w:rPr>
                <w:rFonts w:ascii="Arial" w:hAnsi="Arial" w:cs="Arial"/>
              </w:rPr>
            </w:pPr>
            <w:r w:rsidRPr="00BF1F42">
              <w:rPr>
                <w:rFonts w:ascii="Arial" w:hAnsi="Arial" w:cs="Arial"/>
                <w:u w:val="single"/>
              </w:rPr>
              <w:t>2018 NC Fire Code/Valet Trash Collection Services</w:t>
            </w:r>
          </w:p>
          <w:p w14:paraId="334B1B3E"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6360E965"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17E6B9A9" w14:textId="77777777" w:rsidR="00E43A7C" w:rsidRPr="00BF1F42" w:rsidRDefault="00E43A7C" w:rsidP="00BF1F42">
            <w:pPr>
              <w:rPr>
                <w:rFonts w:ascii="Arial" w:hAnsi="Arial" w:cs="Arial"/>
              </w:rPr>
            </w:pPr>
            <w:r w:rsidRPr="00BF1F42">
              <w:rPr>
                <w:rFonts w:ascii="Arial" w:hAnsi="Arial" w:cs="Arial"/>
              </w:rPr>
              <w:t>304.4</w:t>
            </w:r>
          </w:p>
        </w:tc>
      </w:tr>
      <w:tr w:rsidR="00E43A7C" w:rsidRPr="00BF1F42" w14:paraId="00590044" w14:textId="77777777" w:rsidTr="00BF1F42">
        <w:trPr>
          <w:tblCellSpacing w:w="15" w:type="dxa"/>
        </w:trPr>
        <w:tc>
          <w:tcPr>
            <w:tcW w:w="7709" w:type="dxa"/>
            <w:hideMark/>
          </w:tcPr>
          <w:p w14:paraId="4033F973" w14:textId="77777777" w:rsidR="00E43A7C" w:rsidRPr="00BF1F42" w:rsidRDefault="00E43A7C" w:rsidP="00BF1F42">
            <w:pPr>
              <w:rPr>
                <w:rFonts w:ascii="Arial" w:hAnsi="Arial" w:cs="Arial"/>
              </w:rPr>
            </w:pPr>
            <w:r w:rsidRPr="00BF1F42">
              <w:rPr>
                <w:rFonts w:ascii="Arial" w:hAnsi="Arial" w:cs="Arial"/>
                <w:u w:val="single"/>
              </w:rPr>
              <w:t>2018 NC Residential Code/Frost Protection</w:t>
            </w:r>
          </w:p>
          <w:p w14:paraId="24F5848D"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79EACB8B"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3F8F87C9" w14:textId="77777777" w:rsidR="00E43A7C" w:rsidRPr="00BF1F42" w:rsidRDefault="00E43A7C" w:rsidP="00BF1F42">
            <w:pPr>
              <w:rPr>
                <w:rFonts w:ascii="Arial" w:hAnsi="Arial" w:cs="Arial"/>
              </w:rPr>
            </w:pPr>
            <w:r w:rsidRPr="00BF1F42">
              <w:rPr>
                <w:rFonts w:ascii="Arial" w:hAnsi="Arial" w:cs="Arial"/>
              </w:rPr>
              <w:t>P2603.5.2</w:t>
            </w:r>
          </w:p>
        </w:tc>
      </w:tr>
      <w:tr w:rsidR="00E43A7C" w:rsidRPr="00BF1F42" w14:paraId="1A0B6111" w14:textId="77777777" w:rsidTr="00BF1F42">
        <w:trPr>
          <w:tblCellSpacing w:w="15" w:type="dxa"/>
        </w:trPr>
        <w:tc>
          <w:tcPr>
            <w:tcW w:w="7709" w:type="dxa"/>
            <w:hideMark/>
          </w:tcPr>
          <w:p w14:paraId="716BE6CC" w14:textId="77777777" w:rsidR="00E43A7C" w:rsidRPr="00BF1F42" w:rsidRDefault="00E43A7C" w:rsidP="00BF1F42">
            <w:pPr>
              <w:rPr>
                <w:rFonts w:ascii="Arial" w:hAnsi="Arial" w:cs="Arial"/>
              </w:rPr>
            </w:pPr>
            <w:r w:rsidRPr="00BF1F42">
              <w:rPr>
                <w:rFonts w:ascii="Arial" w:hAnsi="Arial" w:cs="Arial"/>
                <w:u w:val="single"/>
              </w:rPr>
              <w:t>2018 NC Residential Code/Fill</w:t>
            </w:r>
          </w:p>
          <w:p w14:paraId="538225DB" w14:textId="77777777" w:rsidR="00E43A7C" w:rsidRPr="00BF1F42" w:rsidRDefault="00E43A7C" w:rsidP="00BF1F42">
            <w:pPr>
              <w:rPr>
                <w:rFonts w:ascii="Arial" w:hAnsi="Arial" w:cs="Arial"/>
              </w:rPr>
            </w:pPr>
            <w:r w:rsidRPr="00BF1F42">
              <w:rPr>
                <w:rFonts w:ascii="Arial" w:hAnsi="Arial" w:cs="Arial"/>
              </w:rPr>
              <w:t>Amend*</w:t>
            </w:r>
          </w:p>
        </w:tc>
        <w:tc>
          <w:tcPr>
            <w:tcW w:w="172" w:type="dxa"/>
            <w:vAlign w:val="center"/>
            <w:hideMark/>
          </w:tcPr>
          <w:p w14:paraId="42F333A0" w14:textId="77777777" w:rsidR="00E43A7C" w:rsidRPr="00BF1F42" w:rsidRDefault="00E43A7C" w:rsidP="00BF1F42">
            <w:pPr>
              <w:rPr>
                <w:rFonts w:ascii="Arial" w:hAnsi="Arial" w:cs="Arial"/>
              </w:rPr>
            </w:pPr>
          </w:p>
        </w:tc>
        <w:tc>
          <w:tcPr>
            <w:tcW w:w="2799" w:type="dxa"/>
            <w:gridSpan w:val="4"/>
            <w:noWrap/>
            <w:tcMar>
              <w:top w:w="15" w:type="dxa"/>
              <w:left w:w="450" w:type="dxa"/>
              <w:bottom w:w="15" w:type="dxa"/>
              <w:right w:w="15" w:type="dxa"/>
            </w:tcMar>
            <w:hideMark/>
          </w:tcPr>
          <w:p w14:paraId="07105EA4" w14:textId="77777777" w:rsidR="00E43A7C" w:rsidRPr="00BF1F42" w:rsidRDefault="00E43A7C" w:rsidP="00BF1F42">
            <w:pPr>
              <w:rPr>
                <w:rFonts w:ascii="Arial" w:hAnsi="Arial" w:cs="Arial"/>
              </w:rPr>
            </w:pPr>
            <w:r w:rsidRPr="00BF1F42">
              <w:rPr>
                <w:rFonts w:ascii="Arial" w:hAnsi="Arial" w:cs="Arial"/>
              </w:rPr>
              <w:t>R506.2.1</w:t>
            </w:r>
          </w:p>
        </w:tc>
      </w:tr>
    </w:tbl>
    <w:p w14:paraId="784210E4" w14:textId="77777777" w:rsidR="00D52FD0" w:rsidRDefault="00D52FD0" w:rsidP="00D52FD0"/>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14:paraId="5801A74D" w14:textId="77777777" w:rsidTr="00205A37">
        <w:trPr>
          <w:trHeight w:val="972"/>
        </w:trPr>
        <w:tc>
          <w:tcPr>
            <w:tcW w:w="10800" w:type="dxa"/>
            <w:tcBorders>
              <w:top w:val="double" w:sz="4" w:space="0" w:color="000000"/>
              <w:left w:val="double" w:sz="4" w:space="0" w:color="000000"/>
              <w:bottom w:val="double" w:sz="4" w:space="0" w:color="000000"/>
              <w:right w:val="double" w:sz="4" w:space="0" w:color="000000"/>
            </w:tcBorders>
            <w:hideMark/>
          </w:tcPr>
          <w:p w14:paraId="196A1FE3" w14:textId="77777777" w:rsidR="00E84F57" w:rsidRDefault="00E84F57" w:rsidP="00205A37">
            <w:pPr>
              <w:outlineLvl w:val="4"/>
              <w:rPr>
                <w:i/>
                <w:kern w:val="0"/>
              </w:rPr>
            </w:pPr>
            <w:r>
              <w:rPr>
                <w:i/>
                <w:kern w:val="0"/>
              </w:rPr>
              <w:lastRenderedPageBreak/>
              <w:t>This Section contains a listing of recently issued Administrative Law Judge decisions for contested cases that are non-confidential. Published decisions are available for viewing on the OAH website at http://www.ncoah.com/hearings/decisions/</w:t>
            </w:r>
          </w:p>
          <w:p w14:paraId="1755F76C" w14:textId="77777777" w:rsidR="00E84F57" w:rsidRDefault="00E84F57" w:rsidP="00205A37">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14:paraId="527C103C" w14:textId="77777777" w:rsidR="00E84F57" w:rsidRDefault="00E84F57" w:rsidP="00E84F57">
      <w:pPr>
        <w:jc w:val="center"/>
        <w:outlineLvl w:val="4"/>
        <w:rPr>
          <w:b/>
          <w:i/>
          <w:kern w:val="0"/>
        </w:rPr>
      </w:pPr>
    </w:p>
    <w:p w14:paraId="7C87B0C6" w14:textId="77777777" w:rsidR="00E84F57" w:rsidRDefault="00E84F57" w:rsidP="00E84F57">
      <w:pPr>
        <w:jc w:val="center"/>
        <w:outlineLvl w:val="4"/>
        <w:rPr>
          <w:b/>
          <w:i/>
          <w:kern w:val="0"/>
        </w:rPr>
      </w:pPr>
      <w:r>
        <w:rPr>
          <w:b/>
          <w:i/>
          <w:kern w:val="0"/>
        </w:rPr>
        <w:t>OFFICE OF ADMINISTRATIVE HEARINGS</w:t>
      </w:r>
    </w:p>
    <w:p w14:paraId="7C959A1B" w14:textId="77777777" w:rsidR="00E84F57" w:rsidRDefault="00E84F57" w:rsidP="00E84F57">
      <w:pPr>
        <w:rPr>
          <w:kern w:val="0"/>
        </w:rPr>
      </w:pPr>
    </w:p>
    <w:p w14:paraId="1245F985" w14:textId="77777777" w:rsidR="00E84F57" w:rsidRDefault="00E84F57" w:rsidP="00E84F57">
      <w:pPr>
        <w:jc w:val="center"/>
        <w:outlineLvl w:val="4"/>
        <w:rPr>
          <w:b/>
          <w:i/>
          <w:kern w:val="0"/>
        </w:rPr>
      </w:pPr>
      <w:r>
        <w:rPr>
          <w:b/>
          <w:i/>
          <w:kern w:val="0"/>
        </w:rPr>
        <w:t>Chief Administrative Law Judge</w:t>
      </w:r>
    </w:p>
    <w:p w14:paraId="21821299" w14:textId="77777777" w:rsidR="00E84F57" w:rsidRDefault="00E84F57" w:rsidP="00E84F57">
      <w:pPr>
        <w:jc w:val="center"/>
        <w:outlineLvl w:val="4"/>
        <w:rPr>
          <w:i/>
          <w:kern w:val="0"/>
        </w:rPr>
      </w:pPr>
      <w:r>
        <w:rPr>
          <w:i/>
          <w:kern w:val="0"/>
        </w:rPr>
        <w:t>JULIAN MANN, III</w:t>
      </w:r>
    </w:p>
    <w:p w14:paraId="161042AA" w14:textId="77777777" w:rsidR="00E84F57" w:rsidRDefault="00E84F57" w:rsidP="00E84F57">
      <w:pPr>
        <w:rPr>
          <w:kern w:val="0"/>
        </w:rPr>
      </w:pPr>
    </w:p>
    <w:p w14:paraId="08DA2763" w14:textId="77777777" w:rsidR="00E84F57" w:rsidRDefault="00E84F57" w:rsidP="00E84F57">
      <w:pPr>
        <w:jc w:val="center"/>
        <w:outlineLvl w:val="4"/>
        <w:rPr>
          <w:b/>
          <w:i/>
          <w:kern w:val="0"/>
        </w:rPr>
      </w:pPr>
      <w:r>
        <w:rPr>
          <w:b/>
          <w:i/>
          <w:kern w:val="0"/>
        </w:rPr>
        <w:t>Senior Administrative Law Judge</w:t>
      </w:r>
    </w:p>
    <w:p w14:paraId="3425BA36" w14:textId="77777777" w:rsidR="00E84F57" w:rsidRDefault="00E84F57" w:rsidP="00E84F57">
      <w:pPr>
        <w:jc w:val="center"/>
        <w:outlineLvl w:val="4"/>
        <w:rPr>
          <w:i/>
          <w:kern w:val="0"/>
        </w:rPr>
      </w:pPr>
      <w:r>
        <w:rPr>
          <w:i/>
          <w:kern w:val="0"/>
        </w:rPr>
        <w:t>FRED G. MORRISON JR.</w:t>
      </w:r>
    </w:p>
    <w:p w14:paraId="26657AC4" w14:textId="77777777" w:rsidR="00E84F57" w:rsidRDefault="00E84F57" w:rsidP="00E84F57">
      <w:pPr>
        <w:rPr>
          <w:kern w:val="0"/>
        </w:rPr>
      </w:pPr>
    </w:p>
    <w:p w14:paraId="1E23802E" w14:textId="77777777" w:rsidR="00E84F57" w:rsidRDefault="00E84F57" w:rsidP="00E84F57">
      <w:pPr>
        <w:jc w:val="center"/>
        <w:outlineLvl w:val="4"/>
        <w:rPr>
          <w:kern w:val="0"/>
        </w:rPr>
      </w:pPr>
      <w:r>
        <w:rPr>
          <w:kern w:val="0"/>
        </w:rPr>
        <w:t>ADMINISTRATIVE LAW JUDGES</w:t>
      </w:r>
    </w:p>
    <w:p w14:paraId="52F9296B" w14:textId="77777777" w:rsidR="00E84F57" w:rsidRDefault="00E84F57" w:rsidP="00E84F57">
      <w:pPr>
        <w:rPr>
          <w:kern w:val="0"/>
        </w:rPr>
      </w:pPr>
    </w:p>
    <w:p w14:paraId="3BB6DD5D" w14:textId="77777777"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14:paraId="71571D69" w14:textId="77777777"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14:paraId="3610432D" w14:textId="77777777"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14:paraId="28EDDCE8" w14:textId="77777777"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14:paraId="484075AA" w14:textId="77777777" w:rsidR="00651440" w:rsidRDefault="00651440" w:rsidP="00651440">
      <w:pPr>
        <w:ind w:left="2880"/>
        <w:jc w:val="left"/>
        <w:outlineLvl w:val="4"/>
        <w:rPr>
          <w:kern w:val="0"/>
        </w:rPr>
      </w:pPr>
      <w:r>
        <w:rPr>
          <w:kern w:val="0"/>
        </w:rPr>
        <w:t>Tenisha Jacobs</w:t>
      </w:r>
    </w:p>
    <w:p w14:paraId="6BEEDC3D" w14:textId="77777777" w:rsidR="00E84F57" w:rsidRDefault="00E84F57" w:rsidP="00E84F57">
      <w:pPr>
        <w:pBdr>
          <w:bottom w:val="single" w:sz="18" w:space="1" w:color="auto"/>
        </w:pBdr>
        <w:rPr>
          <w:kern w:val="0"/>
          <w:sz w:val="15"/>
          <w:szCs w:val="15"/>
        </w:rPr>
      </w:pPr>
    </w:p>
    <w:p w14:paraId="4583F610" w14:textId="77777777" w:rsidR="00E84F57" w:rsidRDefault="00E84F57" w:rsidP="00E84F57">
      <w:pPr>
        <w:rPr>
          <w:kern w:val="0"/>
        </w:rPr>
      </w:pPr>
    </w:p>
    <w:p w14:paraId="3E71DF45" w14:textId="77777777" w:rsidR="00E84F57" w:rsidRDefault="00E84F57" w:rsidP="00D52FD0">
      <w:pPr>
        <w:rPr>
          <w:kern w:val="0"/>
        </w:rPr>
        <w:sectPr w:rsidR="00E84F57">
          <w:headerReference w:type="default" r:id="rId26"/>
          <w:footerReference w:type="default" r:id="rId27"/>
          <w:endnotePr>
            <w:numFmt w:val="decimal"/>
          </w:endnotePr>
          <w:pgSz w:w="12240" w:h="15840"/>
          <w:pgMar w:top="360" w:right="720" w:bottom="360" w:left="720" w:header="360" w:footer="360" w:gutter="0"/>
          <w:cols w:space="720"/>
        </w:sectPr>
      </w:pPr>
    </w:p>
    <w:tbl>
      <w:tblPr>
        <w:tblW w:w="0" w:type="auto"/>
        <w:tblInd w:w="7" w:type="dxa"/>
        <w:tblBorders>
          <w:top w:val="single" w:sz="2" w:space="0" w:color="auto"/>
          <w:left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
        <w:gridCol w:w="715"/>
        <w:gridCol w:w="720"/>
        <w:gridCol w:w="1170"/>
        <w:gridCol w:w="1530"/>
        <w:gridCol w:w="270"/>
        <w:gridCol w:w="4842"/>
        <w:gridCol w:w="1005"/>
      </w:tblGrid>
      <w:tr w:rsidR="00AB780C" w:rsidRPr="00037302" w14:paraId="2B8B71A9" w14:textId="77777777" w:rsidTr="00CC492B">
        <w:trPr>
          <w:trHeight w:val="300"/>
        </w:trPr>
        <w:tc>
          <w:tcPr>
            <w:tcW w:w="535" w:type="dxa"/>
            <w:shd w:val="clear" w:color="auto" w:fill="E7E6E6" w:themeFill="background2"/>
            <w:noWrap/>
          </w:tcPr>
          <w:p w14:paraId="2B9731DB" w14:textId="77777777" w:rsidR="004E667C" w:rsidRPr="002742A0" w:rsidRDefault="004E667C" w:rsidP="00E74FCE">
            <w:pPr>
              <w:jc w:val="left"/>
              <w:rPr>
                <w:b/>
                <w:bCs/>
                <w:color w:val="000000"/>
              </w:rPr>
            </w:pPr>
            <w:r w:rsidRPr="002742A0">
              <w:rPr>
                <w:b/>
                <w:bCs/>
                <w:kern w:val="0"/>
              </w:rPr>
              <w:t>Year</w:t>
            </w:r>
          </w:p>
        </w:tc>
        <w:tc>
          <w:tcPr>
            <w:tcW w:w="715" w:type="dxa"/>
            <w:shd w:val="clear" w:color="auto" w:fill="E7E6E6" w:themeFill="background2"/>
            <w:noWrap/>
          </w:tcPr>
          <w:p w14:paraId="626068D0" w14:textId="77777777" w:rsidR="004E667C" w:rsidRPr="00037302" w:rsidRDefault="004E667C" w:rsidP="00E74FCE">
            <w:pPr>
              <w:jc w:val="left"/>
              <w:rPr>
                <w:color w:val="000000"/>
              </w:rPr>
            </w:pPr>
            <w:r w:rsidRPr="002742A0">
              <w:rPr>
                <w:b/>
                <w:bCs/>
                <w:kern w:val="0"/>
              </w:rPr>
              <w:t>Code</w:t>
            </w:r>
          </w:p>
        </w:tc>
        <w:tc>
          <w:tcPr>
            <w:tcW w:w="720" w:type="dxa"/>
            <w:shd w:val="clear" w:color="auto" w:fill="E7E6E6" w:themeFill="background2"/>
            <w:noWrap/>
          </w:tcPr>
          <w:p w14:paraId="27A1CDA1" w14:textId="77777777" w:rsidR="004E667C" w:rsidRPr="002742A0" w:rsidRDefault="004E667C" w:rsidP="00E74FCE">
            <w:pPr>
              <w:jc w:val="left"/>
              <w:rPr>
                <w:b/>
                <w:bCs/>
                <w:color w:val="000000"/>
              </w:rPr>
            </w:pPr>
            <w:r w:rsidRPr="002742A0">
              <w:rPr>
                <w:b/>
                <w:bCs/>
                <w:kern w:val="0"/>
              </w:rPr>
              <w:t>Number</w:t>
            </w:r>
          </w:p>
        </w:tc>
        <w:tc>
          <w:tcPr>
            <w:tcW w:w="1170" w:type="dxa"/>
            <w:shd w:val="clear" w:color="auto" w:fill="E7E6E6" w:themeFill="background2"/>
          </w:tcPr>
          <w:p w14:paraId="055A59B5" w14:textId="77777777" w:rsidR="004E667C" w:rsidRPr="002742A0" w:rsidRDefault="004E667C" w:rsidP="00E74FCE">
            <w:pPr>
              <w:jc w:val="left"/>
              <w:rPr>
                <w:b/>
                <w:bCs/>
                <w:color w:val="000000"/>
              </w:rPr>
            </w:pPr>
            <w:r w:rsidRPr="002742A0">
              <w:rPr>
                <w:b/>
                <w:bCs/>
                <w:kern w:val="0"/>
              </w:rPr>
              <w:t>Date Decision</w:t>
            </w:r>
            <w:r w:rsidRPr="002742A0">
              <w:rPr>
                <w:b/>
                <w:bCs/>
                <w:kern w:val="0"/>
              </w:rPr>
              <w:br/>
              <w:t>Filed</w:t>
            </w:r>
          </w:p>
        </w:tc>
        <w:tc>
          <w:tcPr>
            <w:tcW w:w="1530" w:type="dxa"/>
            <w:shd w:val="clear" w:color="auto" w:fill="E7E6E6" w:themeFill="background2"/>
            <w:noWrap/>
          </w:tcPr>
          <w:p w14:paraId="76301B6A" w14:textId="77777777" w:rsidR="004E667C" w:rsidRPr="002742A0" w:rsidRDefault="004E667C" w:rsidP="00E74FCE">
            <w:pPr>
              <w:jc w:val="left"/>
              <w:rPr>
                <w:b/>
                <w:bCs/>
                <w:color w:val="000000"/>
              </w:rPr>
            </w:pPr>
            <w:r w:rsidRPr="002742A0">
              <w:rPr>
                <w:b/>
                <w:bCs/>
                <w:kern w:val="0"/>
              </w:rPr>
              <w:t>Petitioner</w:t>
            </w:r>
          </w:p>
        </w:tc>
        <w:tc>
          <w:tcPr>
            <w:tcW w:w="270" w:type="dxa"/>
            <w:shd w:val="clear" w:color="auto" w:fill="E7E6E6" w:themeFill="background2"/>
            <w:noWrap/>
          </w:tcPr>
          <w:p w14:paraId="2E98A739" w14:textId="77777777" w:rsidR="004E667C" w:rsidRPr="002742A0" w:rsidRDefault="004E667C" w:rsidP="00E74FCE">
            <w:pPr>
              <w:jc w:val="left"/>
              <w:rPr>
                <w:b/>
                <w:bCs/>
                <w:color w:val="000000"/>
              </w:rPr>
            </w:pPr>
            <w:r w:rsidRPr="002742A0">
              <w:rPr>
                <w:b/>
                <w:bCs/>
                <w:kern w:val="0"/>
              </w:rPr>
              <w:t> </w:t>
            </w:r>
          </w:p>
        </w:tc>
        <w:tc>
          <w:tcPr>
            <w:tcW w:w="4842" w:type="dxa"/>
            <w:shd w:val="clear" w:color="auto" w:fill="E7E6E6" w:themeFill="background2"/>
            <w:noWrap/>
          </w:tcPr>
          <w:p w14:paraId="3153F6F9" w14:textId="77777777" w:rsidR="004E667C" w:rsidRPr="002742A0" w:rsidRDefault="004E667C" w:rsidP="00E74FCE">
            <w:pPr>
              <w:jc w:val="left"/>
              <w:rPr>
                <w:b/>
                <w:bCs/>
                <w:color w:val="000000"/>
              </w:rPr>
            </w:pPr>
            <w:r w:rsidRPr="002742A0">
              <w:rPr>
                <w:b/>
                <w:bCs/>
                <w:kern w:val="0"/>
              </w:rPr>
              <w:t>Respondent</w:t>
            </w:r>
          </w:p>
        </w:tc>
        <w:tc>
          <w:tcPr>
            <w:tcW w:w="1005" w:type="dxa"/>
            <w:shd w:val="clear" w:color="auto" w:fill="E7E6E6" w:themeFill="background2"/>
            <w:noWrap/>
          </w:tcPr>
          <w:p w14:paraId="7D3669F2" w14:textId="77777777" w:rsidR="004E667C" w:rsidRPr="002742A0" w:rsidRDefault="004E667C" w:rsidP="00E74FCE">
            <w:pPr>
              <w:jc w:val="left"/>
              <w:rPr>
                <w:b/>
                <w:bCs/>
                <w:color w:val="000000"/>
              </w:rPr>
            </w:pPr>
            <w:r w:rsidRPr="002742A0">
              <w:rPr>
                <w:b/>
                <w:bCs/>
                <w:kern w:val="0"/>
              </w:rPr>
              <w:t>ALJ</w:t>
            </w:r>
          </w:p>
        </w:tc>
      </w:tr>
      <w:tr w:rsidR="00AB780C" w:rsidRPr="00037302" w14:paraId="50A26C51" w14:textId="77777777" w:rsidTr="00CC492B">
        <w:trPr>
          <w:trHeight w:val="300"/>
        </w:trPr>
        <w:tc>
          <w:tcPr>
            <w:tcW w:w="535" w:type="dxa"/>
            <w:noWrap/>
          </w:tcPr>
          <w:p w14:paraId="1F9426E8" w14:textId="77777777" w:rsidR="004E667C" w:rsidRPr="00037302" w:rsidRDefault="004E667C" w:rsidP="00E74FCE">
            <w:pPr>
              <w:jc w:val="right"/>
              <w:rPr>
                <w:color w:val="000000"/>
              </w:rPr>
            </w:pPr>
          </w:p>
        </w:tc>
        <w:tc>
          <w:tcPr>
            <w:tcW w:w="715" w:type="dxa"/>
            <w:noWrap/>
          </w:tcPr>
          <w:p w14:paraId="11A542D7" w14:textId="77777777" w:rsidR="004E667C" w:rsidRPr="00037302" w:rsidRDefault="004E667C" w:rsidP="00E74FCE">
            <w:pPr>
              <w:jc w:val="right"/>
              <w:rPr>
                <w:color w:val="000000"/>
              </w:rPr>
            </w:pPr>
          </w:p>
        </w:tc>
        <w:tc>
          <w:tcPr>
            <w:tcW w:w="720" w:type="dxa"/>
            <w:noWrap/>
          </w:tcPr>
          <w:p w14:paraId="0C01DA32" w14:textId="77777777" w:rsidR="004E667C" w:rsidRPr="00037302" w:rsidRDefault="004E667C" w:rsidP="00E74FCE">
            <w:pPr>
              <w:jc w:val="right"/>
              <w:rPr>
                <w:color w:val="000000"/>
              </w:rPr>
            </w:pPr>
          </w:p>
        </w:tc>
        <w:tc>
          <w:tcPr>
            <w:tcW w:w="1170" w:type="dxa"/>
          </w:tcPr>
          <w:p w14:paraId="3E1C6A75" w14:textId="77777777" w:rsidR="004E667C" w:rsidRPr="00037302" w:rsidRDefault="004E667C" w:rsidP="00E74FCE">
            <w:pPr>
              <w:jc w:val="right"/>
              <w:rPr>
                <w:color w:val="000000"/>
              </w:rPr>
            </w:pPr>
          </w:p>
        </w:tc>
        <w:tc>
          <w:tcPr>
            <w:tcW w:w="1530" w:type="dxa"/>
            <w:noWrap/>
          </w:tcPr>
          <w:p w14:paraId="632CF07B" w14:textId="77777777" w:rsidR="004E667C" w:rsidRPr="002742A0" w:rsidRDefault="004E667C" w:rsidP="00E74FCE">
            <w:pPr>
              <w:jc w:val="right"/>
              <w:rPr>
                <w:b/>
                <w:bCs/>
                <w:color w:val="000000"/>
                <w:u w:val="single"/>
              </w:rPr>
            </w:pPr>
            <w:r w:rsidRPr="002742A0">
              <w:rPr>
                <w:b/>
                <w:bCs/>
                <w:color w:val="000000"/>
                <w:u w:val="single"/>
              </w:rPr>
              <w:t>Published</w:t>
            </w:r>
          </w:p>
        </w:tc>
        <w:tc>
          <w:tcPr>
            <w:tcW w:w="270" w:type="dxa"/>
            <w:noWrap/>
          </w:tcPr>
          <w:p w14:paraId="4E1280B0" w14:textId="77777777" w:rsidR="004E667C" w:rsidRPr="00037302" w:rsidRDefault="004E667C" w:rsidP="00E74FCE">
            <w:pPr>
              <w:jc w:val="right"/>
              <w:rPr>
                <w:color w:val="000000"/>
              </w:rPr>
            </w:pPr>
          </w:p>
        </w:tc>
        <w:tc>
          <w:tcPr>
            <w:tcW w:w="4842" w:type="dxa"/>
            <w:noWrap/>
          </w:tcPr>
          <w:p w14:paraId="36DFD042" w14:textId="77777777" w:rsidR="004E667C" w:rsidRPr="00037302" w:rsidRDefault="004E667C" w:rsidP="00E74FCE">
            <w:pPr>
              <w:jc w:val="right"/>
              <w:rPr>
                <w:color w:val="000000"/>
              </w:rPr>
            </w:pPr>
          </w:p>
        </w:tc>
        <w:tc>
          <w:tcPr>
            <w:tcW w:w="1005" w:type="dxa"/>
            <w:noWrap/>
          </w:tcPr>
          <w:p w14:paraId="4345322B" w14:textId="77777777" w:rsidR="004E667C" w:rsidRPr="00037302" w:rsidRDefault="004E667C" w:rsidP="00E74FCE">
            <w:pPr>
              <w:jc w:val="right"/>
              <w:rPr>
                <w:color w:val="000000"/>
              </w:rPr>
            </w:pPr>
          </w:p>
        </w:tc>
      </w:tr>
      <w:tr w:rsidR="00AB780C" w:rsidRPr="000E764C" w14:paraId="1925761E" w14:textId="77777777" w:rsidTr="00CC492B">
        <w:tblPrEx>
          <w:tblBorders>
            <w:bottom w:val="single" w:sz="2" w:space="0" w:color="auto"/>
          </w:tblBorders>
        </w:tblPrEx>
        <w:trPr>
          <w:trHeight w:val="290"/>
        </w:trPr>
        <w:tc>
          <w:tcPr>
            <w:tcW w:w="535" w:type="dxa"/>
          </w:tcPr>
          <w:p w14:paraId="6A67B87C" w14:textId="2E676B2D" w:rsidR="007A4C0C" w:rsidRPr="000E764C" w:rsidRDefault="007A4C0C" w:rsidP="007A4C0C">
            <w:pPr>
              <w:pStyle w:val="Base"/>
            </w:pPr>
            <w:r w:rsidRPr="000607FB">
              <w:t>19</w:t>
            </w:r>
          </w:p>
        </w:tc>
        <w:tc>
          <w:tcPr>
            <w:tcW w:w="715" w:type="dxa"/>
          </w:tcPr>
          <w:p w14:paraId="281D611D" w14:textId="50875911" w:rsidR="007A4C0C" w:rsidRPr="000E764C" w:rsidRDefault="007A4C0C" w:rsidP="007A4C0C">
            <w:pPr>
              <w:pStyle w:val="Base"/>
            </w:pPr>
            <w:r w:rsidRPr="000607FB">
              <w:t>BOE</w:t>
            </w:r>
          </w:p>
        </w:tc>
        <w:tc>
          <w:tcPr>
            <w:tcW w:w="720" w:type="dxa"/>
          </w:tcPr>
          <w:p w14:paraId="0A2356E0" w14:textId="7370B218" w:rsidR="007A4C0C" w:rsidRPr="000E764C" w:rsidRDefault="007A4C0C" w:rsidP="007A4C0C">
            <w:pPr>
              <w:pStyle w:val="Base"/>
            </w:pPr>
            <w:r w:rsidRPr="000607FB">
              <w:t>02221</w:t>
            </w:r>
          </w:p>
        </w:tc>
        <w:tc>
          <w:tcPr>
            <w:tcW w:w="1170" w:type="dxa"/>
          </w:tcPr>
          <w:p w14:paraId="08C891D7" w14:textId="456D4984" w:rsidR="007A4C0C" w:rsidRPr="000E764C" w:rsidRDefault="007A4C0C" w:rsidP="007A4C0C">
            <w:pPr>
              <w:pStyle w:val="Base"/>
            </w:pPr>
            <w:r w:rsidRPr="000607FB">
              <w:t>11/1/2019</w:t>
            </w:r>
          </w:p>
        </w:tc>
        <w:tc>
          <w:tcPr>
            <w:tcW w:w="1530" w:type="dxa"/>
          </w:tcPr>
          <w:p w14:paraId="118F9D01" w14:textId="0CAA1E1B" w:rsidR="007A4C0C" w:rsidRPr="000E764C" w:rsidRDefault="007A4C0C" w:rsidP="007A4C0C">
            <w:pPr>
              <w:pStyle w:val="Base"/>
            </w:pPr>
            <w:r w:rsidRPr="000607FB">
              <w:t>Cherokee REC, Cherokee County GOP</w:t>
            </w:r>
          </w:p>
        </w:tc>
        <w:tc>
          <w:tcPr>
            <w:tcW w:w="270" w:type="dxa"/>
          </w:tcPr>
          <w:p w14:paraId="4D86F62C" w14:textId="75519A6B" w:rsidR="007A4C0C" w:rsidRPr="000E764C" w:rsidRDefault="007A4C0C" w:rsidP="007A4C0C">
            <w:pPr>
              <w:pStyle w:val="Base"/>
            </w:pPr>
            <w:r w:rsidRPr="000607FB">
              <w:t>v.</w:t>
            </w:r>
          </w:p>
        </w:tc>
        <w:tc>
          <w:tcPr>
            <w:tcW w:w="4842" w:type="dxa"/>
          </w:tcPr>
          <w:p w14:paraId="4D9EC269" w14:textId="569DE5F1" w:rsidR="007A4C0C" w:rsidRPr="000E764C" w:rsidRDefault="007A4C0C" w:rsidP="007A4C0C">
            <w:pPr>
              <w:pStyle w:val="Base"/>
            </w:pPr>
            <w:r w:rsidRPr="000607FB">
              <w:t>NC State Board of Elections</w:t>
            </w:r>
          </w:p>
        </w:tc>
        <w:tc>
          <w:tcPr>
            <w:tcW w:w="1005" w:type="dxa"/>
          </w:tcPr>
          <w:p w14:paraId="5E951A79" w14:textId="028B3E20" w:rsidR="007A4C0C" w:rsidRPr="000E764C" w:rsidRDefault="007A4C0C" w:rsidP="007A4C0C">
            <w:pPr>
              <w:pStyle w:val="Base"/>
            </w:pPr>
            <w:r w:rsidRPr="000607FB">
              <w:t>Sutton</w:t>
            </w:r>
          </w:p>
        </w:tc>
      </w:tr>
      <w:tr w:rsidR="007A4C0C" w:rsidRPr="000E764C" w14:paraId="09B5D476" w14:textId="77777777" w:rsidTr="00CC492B">
        <w:tblPrEx>
          <w:tblBorders>
            <w:bottom w:val="single" w:sz="2" w:space="0" w:color="auto"/>
          </w:tblBorders>
        </w:tblPrEx>
        <w:trPr>
          <w:trHeight w:val="290"/>
        </w:trPr>
        <w:tc>
          <w:tcPr>
            <w:tcW w:w="535" w:type="dxa"/>
          </w:tcPr>
          <w:p w14:paraId="0C6F3A53" w14:textId="77777777" w:rsidR="007A4C0C" w:rsidRPr="000607FB" w:rsidRDefault="007A4C0C" w:rsidP="007A4C0C">
            <w:pPr>
              <w:pStyle w:val="Base"/>
            </w:pPr>
          </w:p>
        </w:tc>
        <w:tc>
          <w:tcPr>
            <w:tcW w:w="715" w:type="dxa"/>
          </w:tcPr>
          <w:p w14:paraId="221D34CE" w14:textId="77777777" w:rsidR="007A4C0C" w:rsidRPr="000607FB" w:rsidRDefault="007A4C0C" w:rsidP="007A4C0C">
            <w:pPr>
              <w:pStyle w:val="Base"/>
            </w:pPr>
          </w:p>
        </w:tc>
        <w:tc>
          <w:tcPr>
            <w:tcW w:w="720" w:type="dxa"/>
          </w:tcPr>
          <w:p w14:paraId="557F9495" w14:textId="77777777" w:rsidR="007A4C0C" w:rsidRPr="000607FB" w:rsidRDefault="007A4C0C" w:rsidP="007A4C0C">
            <w:pPr>
              <w:pStyle w:val="Base"/>
            </w:pPr>
          </w:p>
        </w:tc>
        <w:tc>
          <w:tcPr>
            <w:tcW w:w="1170" w:type="dxa"/>
          </w:tcPr>
          <w:p w14:paraId="1A73F87D" w14:textId="77777777" w:rsidR="007A4C0C" w:rsidRPr="000607FB" w:rsidRDefault="007A4C0C" w:rsidP="007A4C0C">
            <w:pPr>
              <w:pStyle w:val="Base"/>
            </w:pPr>
          </w:p>
        </w:tc>
        <w:tc>
          <w:tcPr>
            <w:tcW w:w="1530" w:type="dxa"/>
          </w:tcPr>
          <w:p w14:paraId="6E109D83" w14:textId="77777777" w:rsidR="007A4C0C" w:rsidRPr="000607FB" w:rsidRDefault="007A4C0C" w:rsidP="007A4C0C">
            <w:pPr>
              <w:pStyle w:val="Base"/>
            </w:pPr>
          </w:p>
        </w:tc>
        <w:tc>
          <w:tcPr>
            <w:tcW w:w="270" w:type="dxa"/>
          </w:tcPr>
          <w:p w14:paraId="0E779D15" w14:textId="77777777" w:rsidR="007A4C0C" w:rsidRPr="000607FB" w:rsidRDefault="007A4C0C" w:rsidP="007A4C0C">
            <w:pPr>
              <w:pStyle w:val="Base"/>
            </w:pPr>
          </w:p>
        </w:tc>
        <w:tc>
          <w:tcPr>
            <w:tcW w:w="4842" w:type="dxa"/>
          </w:tcPr>
          <w:p w14:paraId="1DD1F716" w14:textId="77777777" w:rsidR="007A4C0C" w:rsidRPr="000607FB" w:rsidRDefault="007A4C0C" w:rsidP="007A4C0C">
            <w:pPr>
              <w:pStyle w:val="Base"/>
            </w:pPr>
          </w:p>
        </w:tc>
        <w:tc>
          <w:tcPr>
            <w:tcW w:w="1005" w:type="dxa"/>
          </w:tcPr>
          <w:p w14:paraId="1B00D346" w14:textId="77777777" w:rsidR="007A4C0C" w:rsidRPr="000607FB" w:rsidRDefault="007A4C0C" w:rsidP="007A4C0C">
            <w:pPr>
              <w:pStyle w:val="Base"/>
            </w:pPr>
          </w:p>
        </w:tc>
      </w:tr>
      <w:tr w:rsidR="007A4C0C" w:rsidRPr="000E764C" w14:paraId="7BD1F67C" w14:textId="77777777" w:rsidTr="00CC492B">
        <w:tblPrEx>
          <w:tblBorders>
            <w:bottom w:val="single" w:sz="2" w:space="0" w:color="auto"/>
          </w:tblBorders>
        </w:tblPrEx>
        <w:trPr>
          <w:trHeight w:val="290"/>
        </w:trPr>
        <w:tc>
          <w:tcPr>
            <w:tcW w:w="535" w:type="dxa"/>
          </w:tcPr>
          <w:p w14:paraId="10387ECB" w14:textId="3EB092A9" w:rsidR="007A4C0C" w:rsidRPr="000607FB" w:rsidRDefault="007A4C0C" w:rsidP="007A4C0C">
            <w:pPr>
              <w:pStyle w:val="Base"/>
            </w:pPr>
            <w:r w:rsidRPr="007E28B2">
              <w:t>19</w:t>
            </w:r>
          </w:p>
        </w:tc>
        <w:tc>
          <w:tcPr>
            <w:tcW w:w="715" w:type="dxa"/>
          </w:tcPr>
          <w:p w14:paraId="6264FB06" w14:textId="16F7446C" w:rsidR="007A4C0C" w:rsidRPr="000607FB" w:rsidRDefault="007A4C0C" w:rsidP="007A4C0C">
            <w:pPr>
              <w:pStyle w:val="Base"/>
            </w:pPr>
            <w:r w:rsidRPr="007E28B2">
              <w:t>DHR</w:t>
            </w:r>
          </w:p>
        </w:tc>
        <w:tc>
          <w:tcPr>
            <w:tcW w:w="720" w:type="dxa"/>
          </w:tcPr>
          <w:p w14:paraId="56FF07BE" w14:textId="2708B3B6" w:rsidR="007A4C0C" w:rsidRPr="000607FB" w:rsidRDefault="007A4C0C" w:rsidP="007A4C0C">
            <w:pPr>
              <w:pStyle w:val="Base"/>
            </w:pPr>
            <w:r w:rsidRPr="007E28B2">
              <w:t>04165</w:t>
            </w:r>
          </w:p>
        </w:tc>
        <w:tc>
          <w:tcPr>
            <w:tcW w:w="1170" w:type="dxa"/>
          </w:tcPr>
          <w:p w14:paraId="10D8F9D0" w14:textId="13E303BE" w:rsidR="007A4C0C" w:rsidRPr="000607FB" w:rsidRDefault="007A4C0C" w:rsidP="007A4C0C">
            <w:pPr>
              <w:pStyle w:val="Base"/>
            </w:pPr>
            <w:r w:rsidRPr="007E28B2">
              <w:t>11/22/2019</w:t>
            </w:r>
          </w:p>
        </w:tc>
        <w:tc>
          <w:tcPr>
            <w:tcW w:w="1530" w:type="dxa"/>
          </w:tcPr>
          <w:p w14:paraId="6EF468B7" w14:textId="07135376" w:rsidR="007A4C0C" w:rsidRPr="000607FB" w:rsidRDefault="007A4C0C" w:rsidP="007A4C0C">
            <w:pPr>
              <w:pStyle w:val="Base"/>
            </w:pPr>
            <w:r w:rsidRPr="007E28B2">
              <w:t>Mattie Clark</w:t>
            </w:r>
          </w:p>
        </w:tc>
        <w:tc>
          <w:tcPr>
            <w:tcW w:w="270" w:type="dxa"/>
          </w:tcPr>
          <w:p w14:paraId="3162319D" w14:textId="0B759BA1" w:rsidR="007A4C0C" w:rsidRPr="000607FB" w:rsidRDefault="007A4C0C" w:rsidP="007A4C0C">
            <w:pPr>
              <w:pStyle w:val="Base"/>
            </w:pPr>
            <w:r w:rsidRPr="007E28B2">
              <w:t>v.</w:t>
            </w:r>
          </w:p>
        </w:tc>
        <w:tc>
          <w:tcPr>
            <w:tcW w:w="4842" w:type="dxa"/>
          </w:tcPr>
          <w:p w14:paraId="1F1614B3" w14:textId="39E02716" w:rsidR="007A4C0C" w:rsidRPr="000607FB" w:rsidRDefault="007A4C0C" w:rsidP="007A4C0C">
            <w:pPr>
              <w:pStyle w:val="Base"/>
            </w:pPr>
            <w:r w:rsidRPr="007E28B2">
              <w:t>NC Department of Health and Human Services, Division of Health Service Regulation</w:t>
            </w:r>
          </w:p>
        </w:tc>
        <w:tc>
          <w:tcPr>
            <w:tcW w:w="1005" w:type="dxa"/>
          </w:tcPr>
          <w:p w14:paraId="2D24E780" w14:textId="6748484A" w:rsidR="007A4C0C" w:rsidRPr="000607FB" w:rsidRDefault="007A4C0C" w:rsidP="007A4C0C">
            <w:pPr>
              <w:pStyle w:val="Base"/>
            </w:pPr>
            <w:r w:rsidRPr="007E28B2">
              <w:t>Bawtinhimer</w:t>
            </w:r>
          </w:p>
        </w:tc>
      </w:tr>
      <w:tr w:rsidR="007A4C0C" w:rsidRPr="000E764C" w14:paraId="3140E3DF" w14:textId="77777777" w:rsidTr="00CC492B">
        <w:tblPrEx>
          <w:tblBorders>
            <w:bottom w:val="single" w:sz="2" w:space="0" w:color="auto"/>
          </w:tblBorders>
        </w:tblPrEx>
        <w:trPr>
          <w:trHeight w:val="290"/>
        </w:trPr>
        <w:tc>
          <w:tcPr>
            <w:tcW w:w="535" w:type="dxa"/>
          </w:tcPr>
          <w:p w14:paraId="61B84344" w14:textId="77777777" w:rsidR="007A4C0C" w:rsidRPr="000E764C" w:rsidRDefault="007A4C0C" w:rsidP="007A4C0C">
            <w:pPr>
              <w:pStyle w:val="Base"/>
            </w:pPr>
          </w:p>
        </w:tc>
        <w:tc>
          <w:tcPr>
            <w:tcW w:w="715" w:type="dxa"/>
          </w:tcPr>
          <w:p w14:paraId="74F96642" w14:textId="77777777" w:rsidR="007A4C0C" w:rsidRPr="000E764C" w:rsidRDefault="007A4C0C" w:rsidP="007A4C0C">
            <w:pPr>
              <w:pStyle w:val="Base"/>
            </w:pPr>
          </w:p>
        </w:tc>
        <w:tc>
          <w:tcPr>
            <w:tcW w:w="720" w:type="dxa"/>
          </w:tcPr>
          <w:p w14:paraId="1ED4FB06" w14:textId="77777777" w:rsidR="007A4C0C" w:rsidRPr="000E764C" w:rsidRDefault="007A4C0C" w:rsidP="007A4C0C">
            <w:pPr>
              <w:pStyle w:val="Base"/>
            </w:pPr>
          </w:p>
        </w:tc>
        <w:tc>
          <w:tcPr>
            <w:tcW w:w="1170" w:type="dxa"/>
          </w:tcPr>
          <w:p w14:paraId="6BAED132" w14:textId="77777777" w:rsidR="007A4C0C" w:rsidRPr="000E764C" w:rsidRDefault="007A4C0C" w:rsidP="007A4C0C">
            <w:pPr>
              <w:pStyle w:val="Base"/>
            </w:pPr>
          </w:p>
        </w:tc>
        <w:tc>
          <w:tcPr>
            <w:tcW w:w="1530" w:type="dxa"/>
          </w:tcPr>
          <w:p w14:paraId="2C9C57F6" w14:textId="77777777" w:rsidR="007A4C0C" w:rsidRPr="000E764C" w:rsidRDefault="007A4C0C" w:rsidP="007A4C0C">
            <w:pPr>
              <w:pStyle w:val="Base"/>
            </w:pPr>
          </w:p>
        </w:tc>
        <w:tc>
          <w:tcPr>
            <w:tcW w:w="270" w:type="dxa"/>
          </w:tcPr>
          <w:p w14:paraId="04E74852" w14:textId="77777777" w:rsidR="007A4C0C" w:rsidRPr="000E764C" w:rsidRDefault="007A4C0C" w:rsidP="007A4C0C">
            <w:pPr>
              <w:pStyle w:val="Base"/>
            </w:pPr>
          </w:p>
        </w:tc>
        <w:tc>
          <w:tcPr>
            <w:tcW w:w="4842" w:type="dxa"/>
          </w:tcPr>
          <w:p w14:paraId="37CE1DFF" w14:textId="77777777" w:rsidR="007A4C0C" w:rsidRPr="000E764C" w:rsidRDefault="007A4C0C" w:rsidP="007A4C0C">
            <w:pPr>
              <w:pStyle w:val="Base"/>
            </w:pPr>
          </w:p>
        </w:tc>
        <w:tc>
          <w:tcPr>
            <w:tcW w:w="1005" w:type="dxa"/>
          </w:tcPr>
          <w:p w14:paraId="79619FEB" w14:textId="77777777" w:rsidR="007A4C0C" w:rsidRPr="000E764C" w:rsidRDefault="007A4C0C" w:rsidP="007A4C0C">
            <w:pPr>
              <w:pStyle w:val="Base"/>
            </w:pPr>
          </w:p>
        </w:tc>
      </w:tr>
      <w:tr w:rsidR="00AB780C" w:rsidRPr="000E764C" w14:paraId="6E5746B9" w14:textId="77777777" w:rsidTr="00CC492B">
        <w:tblPrEx>
          <w:tblBorders>
            <w:bottom w:val="single" w:sz="2" w:space="0" w:color="auto"/>
          </w:tblBorders>
        </w:tblPrEx>
        <w:trPr>
          <w:trHeight w:val="290"/>
        </w:trPr>
        <w:tc>
          <w:tcPr>
            <w:tcW w:w="535" w:type="dxa"/>
          </w:tcPr>
          <w:p w14:paraId="4D310E6D" w14:textId="5B0A1BCB" w:rsidR="007A4C0C" w:rsidRPr="000E764C" w:rsidRDefault="007A4C0C" w:rsidP="007A4C0C">
            <w:pPr>
              <w:pStyle w:val="Base"/>
            </w:pPr>
            <w:r w:rsidRPr="007E28B2">
              <w:t>19</w:t>
            </w:r>
          </w:p>
        </w:tc>
        <w:tc>
          <w:tcPr>
            <w:tcW w:w="715" w:type="dxa"/>
          </w:tcPr>
          <w:p w14:paraId="6E0347E8" w14:textId="2DD91D94" w:rsidR="007A4C0C" w:rsidRPr="000E764C" w:rsidRDefault="007A4C0C" w:rsidP="007A4C0C">
            <w:pPr>
              <w:pStyle w:val="Base"/>
            </w:pPr>
            <w:r w:rsidRPr="007E28B2">
              <w:t>DOJ</w:t>
            </w:r>
          </w:p>
        </w:tc>
        <w:tc>
          <w:tcPr>
            <w:tcW w:w="720" w:type="dxa"/>
          </w:tcPr>
          <w:p w14:paraId="0EEA8718" w14:textId="7D5080A4" w:rsidR="007A4C0C" w:rsidRPr="000E764C" w:rsidRDefault="007A4C0C" w:rsidP="007A4C0C">
            <w:pPr>
              <w:pStyle w:val="Base"/>
            </w:pPr>
            <w:r w:rsidRPr="007E28B2">
              <w:t>02703</w:t>
            </w:r>
          </w:p>
        </w:tc>
        <w:tc>
          <w:tcPr>
            <w:tcW w:w="1170" w:type="dxa"/>
          </w:tcPr>
          <w:p w14:paraId="564D6847" w14:textId="14641788" w:rsidR="007A4C0C" w:rsidRPr="000E764C" w:rsidRDefault="007A4C0C" w:rsidP="007A4C0C">
            <w:pPr>
              <w:pStyle w:val="Base"/>
            </w:pPr>
            <w:r w:rsidRPr="007E28B2">
              <w:t>11/14/2019</w:t>
            </w:r>
          </w:p>
        </w:tc>
        <w:tc>
          <w:tcPr>
            <w:tcW w:w="1530" w:type="dxa"/>
          </w:tcPr>
          <w:p w14:paraId="72A64D59" w14:textId="6EFE4B4E" w:rsidR="007A4C0C" w:rsidRPr="000E764C" w:rsidRDefault="007A4C0C" w:rsidP="007A4C0C">
            <w:pPr>
              <w:pStyle w:val="Base"/>
              <w:jc w:val="right"/>
              <w:rPr>
                <w:b/>
                <w:bCs/>
                <w:u w:val="single"/>
              </w:rPr>
            </w:pPr>
            <w:r w:rsidRPr="007E28B2">
              <w:t>Robert Jason Chabot</w:t>
            </w:r>
          </w:p>
        </w:tc>
        <w:tc>
          <w:tcPr>
            <w:tcW w:w="270" w:type="dxa"/>
          </w:tcPr>
          <w:p w14:paraId="70F23C33" w14:textId="2C9BF289" w:rsidR="007A4C0C" w:rsidRPr="000E764C" w:rsidRDefault="007A4C0C" w:rsidP="007A4C0C">
            <w:pPr>
              <w:pStyle w:val="Base"/>
            </w:pPr>
            <w:r w:rsidRPr="007E28B2">
              <w:t>v.</w:t>
            </w:r>
          </w:p>
        </w:tc>
        <w:tc>
          <w:tcPr>
            <w:tcW w:w="4842" w:type="dxa"/>
          </w:tcPr>
          <w:p w14:paraId="17FC6DE3" w14:textId="75B44DB4" w:rsidR="007A4C0C" w:rsidRPr="000E764C" w:rsidRDefault="007A4C0C" w:rsidP="007A4C0C">
            <w:pPr>
              <w:pStyle w:val="Base"/>
            </w:pPr>
            <w:r w:rsidRPr="007E28B2">
              <w:t>NC Sheriffs Education and Training Standards Commission</w:t>
            </w:r>
          </w:p>
        </w:tc>
        <w:tc>
          <w:tcPr>
            <w:tcW w:w="1005" w:type="dxa"/>
          </w:tcPr>
          <w:p w14:paraId="4A104C98" w14:textId="2115EDBA" w:rsidR="007A4C0C" w:rsidRPr="000E764C" w:rsidRDefault="007A4C0C" w:rsidP="007A4C0C">
            <w:pPr>
              <w:pStyle w:val="Base"/>
            </w:pPr>
            <w:r w:rsidRPr="007E28B2">
              <w:t>May</w:t>
            </w:r>
          </w:p>
        </w:tc>
      </w:tr>
      <w:tr w:rsidR="007A4C0C" w:rsidRPr="000E764C" w14:paraId="2425075B" w14:textId="77777777" w:rsidTr="00CC492B">
        <w:tblPrEx>
          <w:tblBorders>
            <w:bottom w:val="single" w:sz="2" w:space="0" w:color="auto"/>
          </w:tblBorders>
        </w:tblPrEx>
        <w:trPr>
          <w:trHeight w:val="290"/>
        </w:trPr>
        <w:tc>
          <w:tcPr>
            <w:tcW w:w="535" w:type="dxa"/>
          </w:tcPr>
          <w:p w14:paraId="40D7CF11" w14:textId="614DAB72" w:rsidR="007A4C0C" w:rsidRPr="000E764C" w:rsidRDefault="007A4C0C" w:rsidP="007A4C0C">
            <w:pPr>
              <w:pStyle w:val="Base"/>
            </w:pPr>
            <w:r w:rsidRPr="007E28B2">
              <w:t>19</w:t>
            </w:r>
          </w:p>
        </w:tc>
        <w:tc>
          <w:tcPr>
            <w:tcW w:w="715" w:type="dxa"/>
          </w:tcPr>
          <w:p w14:paraId="322F9F3C" w14:textId="7BB71B10" w:rsidR="007A4C0C" w:rsidRPr="000E764C" w:rsidRDefault="007A4C0C" w:rsidP="007A4C0C">
            <w:pPr>
              <w:pStyle w:val="Base"/>
            </w:pPr>
            <w:r w:rsidRPr="007E28B2">
              <w:t>DOJ</w:t>
            </w:r>
          </w:p>
        </w:tc>
        <w:tc>
          <w:tcPr>
            <w:tcW w:w="720" w:type="dxa"/>
          </w:tcPr>
          <w:p w14:paraId="67FC9564" w14:textId="3A962F2C" w:rsidR="007A4C0C" w:rsidRPr="000E764C" w:rsidRDefault="007A4C0C" w:rsidP="007A4C0C">
            <w:pPr>
              <w:pStyle w:val="Base"/>
            </w:pPr>
            <w:r w:rsidRPr="007E28B2">
              <w:t>03205</w:t>
            </w:r>
          </w:p>
        </w:tc>
        <w:tc>
          <w:tcPr>
            <w:tcW w:w="1170" w:type="dxa"/>
          </w:tcPr>
          <w:p w14:paraId="5FFBF9F0" w14:textId="2E9C764A" w:rsidR="007A4C0C" w:rsidRPr="000E764C" w:rsidRDefault="007A4C0C" w:rsidP="007A4C0C">
            <w:pPr>
              <w:pStyle w:val="Base"/>
            </w:pPr>
            <w:r w:rsidRPr="007E28B2">
              <w:t>11/20/2019</w:t>
            </w:r>
          </w:p>
        </w:tc>
        <w:tc>
          <w:tcPr>
            <w:tcW w:w="1530" w:type="dxa"/>
          </w:tcPr>
          <w:p w14:paraId="60B05982" w14:textId="4372BD6A" w:rsidR="007A4C0C" w:rsidRPr="002742A0" w:rsidRDefault="007A4C0C" w:rsidP="007A4C0C">
            <w:pPr>
              <w:pStyle w:val="Base"/>
              <w:jc w:val="right"/>
              <w:rPr>
                <w:b/>
                <w:bCs/>
                <w:color w:val="000000"/>
                <w:u w:val="single"/>
              </w:rPr>
            </w:pPr>
            <w:r w:rsidRPr="007E28B2">
              <w:t>Shane Welch</w:t>
            </w:r>
          </w:p>
        </w:tc>
        <w:tc>
          <w:tcPr>
            <w:tcW w:w="270" w:type="dxa"/>
          </w:tcPr>
          <w:p w14:paraId="6866AA97" w14:textId="23D95EC1" w:rsidR="007A4C0C" w:rsidRPr="000E764C" w:rsidRDefault="007A4C0C" w:rsidP="007A4C0C">
            <w:pPr>
              <w:pStyle w:val="Base"/>
            </w:pPr>
            <w:r w:rsidRPr="007E28B2">
              <w:t>v.</w:t>
            </w:r>
          </w:p>
        </w:tc>
        <w:tc>
          <w:tcPr>
            <w:tcW w:w="4842" w:type="dxa"/>
          </w:tcPr>
          <w:p w14:paraId="45AB3EF1" w14:textId="6514E462" w:rsidR="007A4C0C" w:rsidRPr="000E764C" w:rsidRDefault="007A4C0C" w:rsidP="007A4C0C">
            <w:pPr>
              <w:pStyle w:val="Base"/>
            </w:pPr>
            <w:r w:rsidRPr="007E28B2">
              <w:t>NC Sheriffs Education and Training Standards Commission</w:t>
            </w:r>
          </w:p>
        </w:tc>
        <w:tc>
          <w:tcPr>
            <w:tcW w:w="1005" w:type="dxa"/>
          </w:tcPr>
          <w:p w14:paraId="559A8675" w14:textId="6D8A6E5F" w:rsidR="007A4C0C" w:rsidRPr="000E764C" w:rsidRDefault="007A4C0C" w:rsidP="007A4C0C">
            <w:pPr>
              <w:pStyle w:val="Base"/>
            </w:pPr>
            <w:r w:rsidRPr="007E28B2">
              <w:t>Sutton</w:t>
            </w:r>
          </w:p>
        </w:tc>
      </w:tr>
      <w:tr w:rsidR="007A4C0C" w:rsidRPr="000E764C" w14:paraId="57DAF766" w14:textId="77777777" w:rsidTr="00CC492B">
        <w:tblPrEx>
          <w:tblBorders>
            <w:bottom w:val="single" w:sz="2" w:space="0" w:color="auto"/>
          </w:tblBorders>
        </w:tblPrEx>
        <w:trPr>
          <w:trHeight w:val="290"/>
        </w:trPr>
        <w:tc>
          <w:tcPr>
            <w:tcW w:w="535" w:type="dxa"/>
          </w:tcPr>
          <w:p w14:paraId="14ABB699" w14:textId="72B92C7E" w:rsidR="007A4C0C" w:rsidRPr="000E764C" w:rsidRDefault="007A4C0C" w:rsidP="007A4C0C">
            <w:pPr>
              <w:pStyle w:val="Base"/>
            </w:pPr>
            <w:r w:rsidRPr="007E28B2">
              <w:t>19</w:t>
            </w:r>
          </w:p>
        </w:tc>
        <w:tc>
          <w:tcPr>
            <w:tcW w:w="715" w:type="dxa"/>
          </w:tcPr>
          <w:p w14:paraId="1A88CE32" w14:textId="44ECD2E3" w:rsidR="007A4C0C" w:rsidRPr="000E764C" w:rsidRDefault="007A4C0C" w:rsidP="007A4C0C">
            <w:pPr>
              <w:pStyle w:val="Base"/>
            </w:pPr>
            <w:r w:rsidRPr="007E28B2">
              <w:t>DOJ</w:t>
            </w:r>
          </w:p>
        </w:tc>
        <w:tc>
          <w:tcPr>
            <w:tcW w:w="720" w:type="dxa"/>
          </w:tcPr>
          <w:p w14:paraId="0D5B1A00" w14:textId="4C6324B5" w:rsidR="007A4C0C" w:rsidRPr="000E764C" w:rsidRDefault="007A4C0C" w:rsidP="007A4C0C">
            <w:pPr>
              <w:pStyle w:val="Base"/>
            </w:pPr>
            <w:r w:rsidRPr="007E28B2">
              <w:t>03748</w:t>
            </w:r>
          </w:p>
        </w:tc>
        <w:tc>
          <w:tcPr>
            <w:tcW w:w="1170" w:type="dxa"/>
          </w:tcPr>
          <w:p w14:paraId="7B013090" w14:textId="12841038" w:rsidR="007A4C0C" w:rsidRPr="000E764C" w:rsidRDefault="007A4C0C" w:rsidP="007A4C0C">
            <w:pPr>
              <w:pStyle w:val="Base"/>
            </w:pPr>
            <w:r w:rsidRPr="007E28B2">
              <w:t>11/8/2019</w:t>
            </w:r>
          </w:p>
        </w:tc>
        <w:tc>
          <w:tcPr>
            <w:tcW w:w="1530" w:type="dxa"/>
          </w:tcPr>
          <w:p w14:paraId="77B0F7D9" w14:textId="6F6EED5D" w:rsidR="007A4C0C" w:rsidRPr="002742A0" w:rsidRDefault="007A4C0C" w:rsidP="007A4C0C">
            <w:pPr>
              <w:pStyle w:val="Base"/>
              <w:jc w:val="right"/>
              <w:rPr>
                <w:b/>
                <w:bCs/>
                <w:color w:val="000000"/>
                <w:u w:val="single"/>
              </w:rPr>
            </w:pPr>
            <w:r w:rsidRPr="007E28B2">
              <w:t>Coyte Charles Franklin Kennedy Jr</w:t>
            </w:r>
          </w:p>
        </w:tc>
        <w:tc>
          <w:tcPr>
            <w:tcW w:w="270" w:type="dxa"/>
          </w:tcPr>
          <w:p w14:paraId="5B2143A1" w14:textId="0D94EB65" w:rsidR="007A4C0C" w:rsidRPr="000E764C" w:rsidRDefault="007A4C0C" w:rsidP="007A4C0C">
            <w:pPr>
              <w:pStyle w:val="Base"/>
            </w:pPr>
            <w:r w:rsidRPr="007E28B2">
              <w:t>v.</w:t>
            </w:r>
          </w:p>
        </w:tc>
        <w:tc>
          <w:tcPr>
            <w:tcW w:w="4842" w:type="dxa"/>
          </w:tcPr>
          <w:p w14:paraId="262C64D0" w14:textId="251736AB" w:rsidR="007A4C0C" w:rsidRPr="000E764C" w:rsidRDefault="007A4C0C" w:rsidP="007A4C0C">
            <w:pPr>
              <w:pStyle w:val="Base"/>
            </w:pPr>
            <w:r w:rsidRPr="007E28B2">
              <w:t>NC Private Protective Services Board</w:t>
            </w:r>
          </w:p>
        </w:tc>
        <w:tc>
          <w:tcPr>
            <w:tcW w:w="1005" w:type="dxa"/>
          </w:tcPr>
          <w:p w14:paraId="10243391" w14:textId="069901B6" w:rsidR="007A4C0C" w:rsidRPr="000E764C" w:rsidRDefault="007A4C0C" w:rsidP="007A4C0C">
            <w:pPr>
              <w:pStyle w:val="Base"/>
            </w:pPr>
            <w:r w:rsidRPr="007E28B2">
              <w:t>Jacobs</w:t>
            </w:r>
          </w:p>
        </w:tc>
      </w:tr>
      <w:tr w:rsidR="00CC492B" w:rsidRPr="000E764C" w14:paraId="0648F61F" w14:textId="77777777" w:rsidTr="00CC492B">
        <w:tblPrEx>
          <w:tblBorders>
            <w:bottom w:val="single" w:sz="2" w:space="0" w:color="auto"/>
          </w:tblBorders>
        </w:tblPrEx>
        <w:trPr>
          <w:trHeight w:val="290"/>
        </w:trPr>
        <w:tc>
          <w:tcPr>
            <w:tcW w:w="535" w:type="dxa"/>
          </w:tcPr>
          <w:p w14:paraId="0720A046" w14:textId="77777777" w:rsidR="00CC492B" w:rsidRPr="007E28B2" w:rsidRDefault="00CC492B" w:rsidP="007A4C0C">
            <w:pPr>
              <w:pStyle w:val="Base"/>
            </w:pPr>
          </w:p>
        </w:tc>
        <w:tc>
          <w:tcPr>
            <w:tcW w:w="715" w:type="dxa"/>
          </w:tcPr>
          <w:p w14:paraId="09B1624B" w14:textId="77777777" w:rsidR="00CC492B" w:rsidRPr="007E28B2" w:rsidRDefault="00CC492B" w:rsidP="007A4C0C">
            <w:pPr>
              <w:pStyle w:val="Base"/>
            </w:pPr>
          </w:p>
        </w:tc>
        <w:tc>
          <w:tcPr>
            <w:tcW w:w="720" w:type="dxa"/>
          </w:tcPr>
          <w:p w14:paraId="751487F2" w14:textId="77777777" w:rsidR="00CC492B" w:rsidRPr="007E28B2" w:rsidRDefault="00CC492B" w:rsidP="007A4C0C">
            <w:pPr>
              <w:pStyle w:val="Base"/>
            </w:pPr>
          </w:p>
        </w:tc>
        <w:tc>
          <w:tcPr>
            <w:tcW w:w="1170" w:type="dxa"/>
          </w:tcPr>
          <w:p w14:paraId="2FB051AA" w14:textId="77777777" w:rsidR="00CC492B" w:rsidRPr="007E28B2" w:rsidRDefault="00CC492B" w:rsidP="007A4C0C">
            <w:pPr>
              <w:pStyle w:val="Base"/>
            </w:pPr>
          </w:p>
        </w:tc>
        <w:tc>
          <w:tcPr>
            <w:tcW w:w="1530" w:type="dxa"/>
          </w:tcPr>
          <w:p w14:paraId="1A39BF40" w14:textId="77777777" w:rsidR="00CC492B" w:rsidRPr="007E28B2" w:rsidRDefault="00CC492B" w:rsidP="007A4C0C">
            <w:pPr>
              <w:pStyle w:val="Base"/>
              <w:jc w:val="right"/>
            </w:pPr>
          </w:p>
        </w:tc>
        <w:tc>
          <w:tcPr>
            <w:tcW w:w="270" w:type="dxa"/>
          </w:tcPr>
          <w:p w14:paraId="346AC195" w14:textId="77777777" w:rsidR="00CC492B" w:rsidRPr="007E28B2" w:rsidRDefault="00CC492B" w:rsidP="007A4C0C">
            <w:pPr>
              <w:pStyle w:val="Base"/>
            </w:pPr>
          </w:p>
        </w:tc>
        <w:tc>
          <w:tcPr>
            <w:tcW w:w="4842" w:type="dxa"/>
          </w:tcPr>
          <w:p w14:paraId="7E9147F8" w14:textId="77777777" w:rsidR="00CC492B" w:rsidRPr="007E28B2" w:rsidRDefault="00CC492B" w:rsidP="007A4C0C">
            <w:pPr>
              <w:pStyle w:val="Base"/>
            </w:pPr>
          </w:p>
        </w:tc>
        <w:tc>
          <w:tcPr>
            <w:tcW w:w="1005" w:type="dxa"/>
          </w:tcPr>
          <w:p w14:paraId="2682E2F1" w14:textId="77777777" w:rsidR="00CC492B" w:rsidRPr="007E28B2" w:rsidRDefault="00CC492B" w:rsidP="007A4C0C">
            <w:pPr>
              <w:pStyle w:val="Base"/>
            </w:pPr>
          </w:p>
        </w:tc>
      </w:tr>
      <w:tr w:rsidR="007A4C0C" w:rsidRPr="000E764C" w14:paraId="5A48E5E3" w14:textId="77777777" w:rsidTr="00CC492B">
        <w:tblPrEx>
          <w:tblBorders>
            <w:bottom w:val="single" w:sz="2" w:space="0" w:color="auto"/>
          </w:tblBorders>
        </w:tblPrEx>
        <w:trPr>
          <w:trHeight w:val="290"/>
        </w:trPr>
        <w:tc>
          <w:tcPr>
            <w:tcW w:w="535" w:type="dxa"/>
          </w:tcPr>
          <w:p w14:paraId="7C772EDF" w14:textId="2EAFCCE8" w:rsidR="007A4C0C" w:rsidRPr="007E28B2" w:rsidRDefault="007A4C0C" w:rsidP="007A4C0C">
            <w:pPr>
              <w:pStyle w:val="Base"/>
            </w:pPr>
            <w:r w:rsidRPr="00E45FF3">
              <w:t>19</w:t>
            </w:r>
          </w:p>
        </w:tc>
        <w:tc>
          <w:tcPr>
            <w:tcW w:w="715" w:type="dxa"/>
          </w:tcPr>
          <w:p w14:paraId="034E1528" w14:textId="2954BA1F" w:rsidR="007A4C0C" w:rsidRPr="007E28B2" w:rsidRDefault="007A4C0C" w:rsidP="007A4C0C">
            <w:pPr>
              <w:pStyle w:val="Base"/>
            </w:pPr>
            <w:r w:rsidRPr="00E45FF3">
              <w:t>DST</w:t>
            </w:r>
          </w:p>
        </w:tc>
        <w:tc>
          <w:tcPr>
            <w:tcW w:w="720" w:type="dxa"/>
          </w:tcPr>
          <w:p w14:paraId="658E419F" w14:textId="327508EF" w:rsidR="007A4C0C" w:rsidRPr="007E28B2" w:rsidRDefault="007A4C0C" w:rsidP="007A4C0C">
            <w:pPr>
              <w:pStyle w:val="Base"/>
            </w:pPr>
            <w:r w:rsidRPr="00E45FF3">
              <w:t>03598</w:t>
            </w:r>
          </w:p>
        </w:tc>
        <w:tc>
          <w:tcPr>
            <w:tcW w:w="1170" w:type="dxa"/>
          </w:tcPr>
          <w:p w14:paraId="1D786368" w14:textId="4EE49237" w:rsidR="007A4C0C" w:rsidRPr="007E28B2" w:rsidRDefault="007A4C0C" w:rsidP="007A4C0C">
            <w:pPr>
              <w:pStyle w:val="Base"/>
            </w:pPr>
            <w:r w:rsidRPr="00E45FF3">
              <w:t>11/15/2019</w:t>
            </w:r>
          </w:p>
        </w:tc>
        <w:tc>
          <w:tcPr>
            <w:tcW w:w="1530" w:type="dxa"/>
          </w:tcPr>
          <w:p w14:paraId="2E8A53D1" w14:textId="31CA1635" w:rsidR="007A4C0C" w:rsidRPr="007E28B2" w:rsidRDefault="007A4C0C" w:rsidP="007A4C0C">
            <w:pPr>
              <w:pStyle w:val="Base"/>
              <w:jc w:val="right"/>
            </w:pPr>
            <w:r w:rsidRPr="00E45FF3">
              <w:t>Joan Ruth Wall Hunter</w:t>
            </w:r>
          </w:p>
        </w:tc>
        <w:tc>
          <w:tcPr>
            <w:tcW w:w="270" w:type="dxa"/>
          </w:tcPr>
          <w:p w14:paraId="0BBE33E6" w14:textId="30C2BB02" w:rsidR="007A4C0C" w:rsidRPr="007E28B2" w:rsidRDefault="007A4C0C" w:rsidP="007A4C0C">
            <w:pPr>
              <w:pStyle w:val="Base"/>
            </w:pPr>
            <w:r w:rsidRPr="00E45FF3">
              <w:t>v.</w:t>
            </w:r>
          </w:p>
        </w:tc>
        <w:tc>
          <w:tcPr>
            <w:tcW w:w="4842" w:type="dxa"/>
          </w:tcPr>
          <w:p w14:paraId="1AD9B029" w14:textId="398D07B4" w:rsidR="007A4C0C" w:rsidRPr="007E28B2" w:rsidRDefault="007A4C0C" w:rsidP="007A4C0C">
            <w:pPr>
              <w:pStyle w:val="Base"/>
            </w:pPr>
            <w:r w:rsidRPr="00E45FF3">
              <w:t>North Carolina Department of State Treasurer, Retirement Systems Division</w:t>
            </w:r>
          </w:p>
        </w:tc>
        <w:tc>
          <w:tcPr>
            <w:tcW w:w="1005" w:type="dxa"/>
          </w:tcPr>
          <w:p w14:paraId="2C47D1D0" w14:textId="726D6545" w:rsidR="007A4C0C" w:rsidRPr="007E28B2" w:rsidRDefault="007A4C0C" w:rsidP="007A4C0C">
            <w:pPr>
              <w:pStyle w:val="Base"/>
            </w:pPr>
            <w:r w:rsidRPr="00E45FF3">
              <w:t>Ward</w:t>
            </w:r>
          </w:p>
        </w:tc>
      </w:tr>
      <w:tr w:rsidR="007A4C0C" w:rsidRPr="000E764C" w14:paraId="48D6BBDB" w14:textId="77777777" w:rsidTr="00CC492B">
        <w:tblPrEx>
          <w:tblBorders>
            <w:bottom w:val="single" w:sz="2" w:space="0" w:color="auto"/>
          </w:tblBorders>
        </w:tblPrEx>
        <w:trPr>
          <w:trHeight w:val="290"/>
        </w:trPr>
        <w:tc>
          <w:tcPr>
            <w:tcW w:w="535" w:type="dxa"/>
          </w:tcPr>
          <w:p w14:paraId="39A820B0" w14:textId="77777777" w:rsidR="007A4C0C" w:rsidRPr="007E28B2" w:rsidRDefault="007A4C0C" w:rsidP="007A4C0C">
            <w:pPr>
              <w:pStyle w:val="Base"/>
            </w:pPr>
          </w:p>
        </w:tc>
        <w:tc>
          <w:tcPr>
            <w:tcW w:w="715" w:type="dxa"/>
          </w:tcPr>
          <w:p w14:paraId="01FAD702" w14:textId="77777777" w:rsidR="007A4C0C" w:rsidRPr="007E28B2" w:rsidRDefault="007A4C0C" w:rsidP="007A4C0C">
            <w:pPr>
              <w:pStyle w:val="Base"/>
            </w:pPr>
          </w:p>
        </w:tc>
        <w:tc>
          <w:tcPr>
            <w:tcW w:w="720" w:type="dxa"/>
          </w:tcPr>
          <w:p w14:paraId="0F171DC1" w14:textId="77777777" w:rsidR="007A4C0C" w:rsidRPr="007E28B2" w:rsidRDefault="007A4C0C" w:rsidP="007A4C0C">
            <w:pPr>
              <w:pStyle w:val="Base"/>
            </w:pPr>
          </w:p>
        </w:tc>
        <w:tc>
          <w:tcPr>
            <w:tcW w:w="1170" w:type="dxa"/>
          </w:tcPr>
          <w:p w14:paraId="04DD272C" w14:textId="77777777" w:rsidR="007A4C0C" w:rsidRPr="007E28B2" w:rsidRDefault="007A4C0C" w:rsidP="007A4C0C">
            <w:pPr>
              <w:pStyle w:val="Base"/>
            </w:pPr>
          </w:p>
        </w:tc>
        <w:tc>
          <w:tcPr>
            <w:tcW w:w="1530" w:type="dxa"/>
          </w:tcPr>
          <w:p w14:paraId="333473FD" w14:textId="77777777" w:rsidR="007A4C0C" w:rsidRPr="007E28B2" w:rsidRDefault="007A4C0C" w:rsidP="007A4C0C">
            <w:pPr>
              <w:pStyle w:val="Base"/>
              <w:jc w:val="right"/>
            </w:pPr>
          </w:p>
        </w:tc>
        <w:tc>
          <w:tcPr>
            <w:tcW w:w="270" w:type="dxa"/>
          </w:tcPr>
          <w:p w14:paraId="7E5282CE" w14:textId="77777777" w:rsidR="007A4C0C" w:rsidRPr="007E28B2" w:rsidRDefault="007A4C0C" w:rsidP="007A4C0C">
            <w:pPr>
              <w:pStyle w:val="Base"/>
            </w:pPr>
          </w:p>
        </w:tc>
        <w:tc>
          <w:tcPr>
            <w:tcW w:w="4842" w:type="dxa"/>
          </w:tcPr>
          <w:p w14:paraId="3E710721" w14:textId="77777777" w:rsidR="007A4C0C" w:rsidRPr="007E28B2" w:rsidRDefault="007A4C0C" w:rsidP="007A4C0C">
            <w:pPr>
              <w:pStyle w:val="Base"/>
            </w:pPr>
          </w:p>
        </w:tc>
        <w:tc>
          <w:tcPr>
            <w:tcW w:w="1005" w:type="dxa"/>
          </w:tcPr>
          <w:p w14:paraId="112B6537" w14:textId="77777777" w:rsidR="007A4C0C" w:rsidRPr="007E28B2" w:rsidRDefault="007A4C0C" w:rsidP="007A4C0C">
            <w:pPr>
              <w:pStyle w:val="Base"/>
            </w:pPr>
          </w:p>
        </w:tc>
      </w:tr>
      <w:tr w:rsidR="007A4C0C" w:rsidRPr="000E764C" w14:paraId="6C609524" w14:textId="77777777" w:rsidTr="00CC492B">
        <w:tblPrEx>
          <w:tblBorders>
            <w:bottom w:val="single" w:sz="2" w:space="0" w:color="auto"/>
          </w:tblBorders>
        </w:tblPrEx>
        <w:trPr>
          <w:trHeight w:val="290"/>
        </w:trPr>
        <w:tc>
          <w:tcPr>
            <w:tcW w:w="535" w:type="dxa"/>
          </w:tcPr>
          <w:p w14:paraId="70F1A855" w14:textId="69D302F2" w:rsidR="007A4C0C" w:rsidRPr="007E28B2" w:rsidRDefault="007A4C0C" w:rsidP="007A4C0C">
            <w:pPr>
              <w:pStyle w:val="Base"/>
            </w:pPr>
            <w:r w:rsidRPr="00E45FF3">
              <w:t>19</w:t>
            </w:r>
          </w:p>
        </w:tc>
        <w:tc>
          <w:tcPr>
            <w:tcW w:w="715" w:type="dxa"/>
          </w:tcPr>
          <w:p w14:paraId="01D3B4AD" w14:textId="5F24F9EB" w:rsidR="007A4C0C" w:rsidRPr="007E28B2" w:rsidRDefault="007A4C0C" w:rsidP="007A4C0C">
            <w:pPr>
              <w:pStyle w:val="Base"/>
            </w:pPr>
            <w:r w:rsidRPr="00E45FF3">
              <w:t>MIS</w:t>
            </w:r>
          </w:p>
        </w:tc>
        <w:tc>
          <w:tcPr>
            <w:tcW w:w="720" w:type="dxa"/>
          </w:tcPr>
          <w:p w14:paraId="31C704A0" w14:textId="28949DD0" w:rsidR="007A4C0C" w:rsidRPr="007E28B2" w:rsidRDefault="007A4C0C" w:rsidP="007A4C0C">
            <w:pPr>
              <w:pStyle w:val="Base"/>
            </w:pPr>
            <w:r w:rsidRPr="00E45FF3">
              <w:t>03867</w:t>
            </w:r>
          </w:p>
        </w:tc>
        <w:tc>
          <w:tcPr>
            <w:tcW w:w="1170" w:type="dxa"/>
          </w:tcPr>
          <w:p w14:paraId="3B09354F" w14:textId="68770E8D" w:rsidR="007A4C0C" w:rsidRPr="007E28B2" w:rsidRDefault="007A4C0C" w:rsidP="007A4C0C">
            <w:pPr>
              <w:pStyle w:val="Base"/>
            </w:pPr>
            <w:r w:rsidRPr="00E45FF3">
              <w:t>11/14/2019</w:t>
            </w:r>
          </w:p>
        </w:tc>
        <w:tc>
          <w:tcPr>
            <w:tcW w:w="1530" w:type="dxa"/>
          </w:tcPr>
          <w:p w14:paraId="6B4EF79B" w14:textId="3A7616D5" w:rsidR="007A4C0C" w:rsidRPr="007E28B2" w:rsidRDefault="007A4C0C" w:rsidP="007A4C0C">
            <w:pPr>
              <w:pStyle w:val="Base"/>
              <w:jc w:val="right"/>
            </w:pPr>
            <w:r w:rsidRPr="00E45FF3">
              <w:t>Charles Udoh</w:t>
            </w:r>
          </w:p>
        </w:tc>
        <w:tc>
          <w:tcPr>
            <w:tcW w:w="270" w:type="dxa"/>
          </w:tcPr>
          <w:p w14:paraId="4F7DE254" w14:textId="5F56BA86" w:rsidR="007A4C0C" w:rsidRPr="007E28B2" w:rsidRDefault="007A4C0C" w:rsidP="007A4C0C">
            <w:pPr>
              <w:pStyle w:val="Base"/>
            </w:pPr>
            <w:r w:rsidRPr="00E45FF3">
              <w:t>v.</w:t>
            </w:r>
          </w:p>
        </w:tc>
        <w:tc>
          <w:tcPr>
            <w:tcW w:w="4842" w:type="dxa"/>
          </w:tcPr>
          <w:p w14:paraId="2B609572" w14:textId="1D3E9C05" w:rsidR="007A4C0C" w:rsidRPr="007E28B2" w:rsidRDefault="007A4C0C" w:rsidP="007A4C0C">
            <w:pPr>
              <w:pStyle w:val="Base"/>
            </w:pPr>
            <w:r w:rsidRPr="00E45FF3">
              <w:t>Central Piedmont Community College Cental Piedmont Community College Basic Law Enforcement Training School KandiDeitemeyerStandleyTMooreLatreaseNQuigleyCandaceTurnerMikeWhitemanDavid Kim</w:t>
            </w:r>
          </w:p>
        </w:tc>
        <w:tc>
          <w:tcPr>
            <w:tcW w:w="1005" w:type="dxa"/>
          </w:tcPr>
          <w:p w14:paraId="33520397" w14:textId="05F43088" w:rsidR="007A4C0C" w:rsidRPr="007E28B2" w:rsidRDefault="007A4C0C" w:rsidP="007A4C0C">
            <w:pPr>
              <w:pStyle w:val="Base"/>
            </w:pPr>
            <w:r w:rsidRPr="00E45FF3">
              <w:t>Malherbe</w:t>
            </w:r>
          </w:p>
        </w:tc>
      </w:tr>
      <w:tr w:rsidR="007A4C0C" w:rsidRPr="000E764C" w14:paraId="4F34F577" w14:textId="77777777" w:rsidTr="00CC492B">
        <w:tblPrEx>
          <w:tblBorders>
            <w:bottom w:val="single" w:sz="2" w:space="0" w:color="auto"/>
          </w:tblBorders>
        </w:tblPrEx>
        <w:trPr>
          <w:trHeight w:val="290"/>
        </w:trPr>
        <w:tc>
          <w:tcPr>
            <w:tcW w:w="535" w:type="dxa"/>
          </w:tcPr>
          <w:p w14:paraId="0DDB4409" w14:textId="77777777" w:rsidR="007A4C0C" w:rsidRPr="007E28B2" w:rsidRDefault="007A4C0C" w:rsidP="007A4C0C">
            <w:pPr>
              <w:pStyle w:val="Base"/>
            </w:pPr>
          </w:p>
        </w:tc>
        <w:tc>
          <w:tcPr>
            <w:tcW w:w="715" w:type="dxa"/>
          </w:tcPr>
          <w:p w14:paraId="2FCDD4D4" w14:textId="77777777" w:rsidR="007A4C0C" w:rsidRPr="007E28B2" w:rsidRDefault="007A4C0C" w:rsidP="007A4C0C">
            <w:pPr>
              <w:pStyle w:val="Base"/>
            </w:pPr>
          </w:p>
        </w:tc>
        <w:tc>
          <w:tcPr>
            <w:tcW w:w="720" w:type="dxa"/>
          </w:tcPr>
          <w:p w14:paraId="066A8E67" w14:textId="77777777" w:rsidR="007A4C0C" w:rsidRPr="007E28B2" w:rsidRDefault="007A4C0C" w:rsidP="007A4C0C">
            <w:pPr>
              <w:pStyle w:val="Base"/>
            </w:pPr>
          </w:p>
        </w:tc>
        <w:tc>
          <w:tcPr>
            <w:tcW w:w="1170" w:type="dxa"/>
          </w:tcPr>
          <w:p w14:paraId="40E5C089" w14:textId="77777777" w:rsidR="007A4C0C" w:rsidRPr="007E28B2" w:rsidRDefault="007A4C0C" w:rsidP="007A4C0C">
            <w:pPr>
              <w:pStyle w:val="Base"/>
            </w:pPr>
          </w:p>
        </w:tc>
        <w:tc>
          <w:tcPr>
            <w:tcW w:w="1530" w:type="dxa"/>
          </w:tcPr>
          <w:p w14:paraId="49182DAC" w14:textId="77777777" w:rsidR="007A4C0C" w:rsidRPr="007E28B2" w:rsidRDefault="007A4C0C" w:rsidP="007A4C0C">
            <w:pPr>
              <w:pStyle w:val="Base"/>
              <w:jc w:val="right"/>
            </w:pPr>
          </w:p>
        </w:tc>
        <w:tc>
          <w:tcPr>
            <w:tcW w:w="270" w:type="dxa"/>
          </w:tcPr>
          <w:p w14:paraId="3F9CFA86" w14:textId="77777777" w:rsidR="007A4C0C" w:rsidRPr="007E28B2" w:rsidRDefault="007A4C0C" w:rsidP="007A4C0C">
            <w:pPr>
              <w:pStyle w:val="Base"/>
            </w:pPr>
          </w:p>
        </w:tc>
        <w:tc>
          <w:tcPr>
            <w:tcW w:w="4842" w:type="dxa"/>
          </w:tcPr>
          <w:p w14:paraId="0443B4C2" w14:textId="77777777" w:rsidR="007A4C0C" w:rsidRPr="007E28B2" w:rsidRDefault="007A4C0C" w:rsidP="007A4C0C">
            <w:pPr>
              <w:pStyle w:val="Base"/>
            </w:pPr>
          </w:p>
        </w:tc>
        <w:tc>
          <w:tcPr>
            <w:tcW w:w="1005" w:type="dxa"/>
          </w:tcPr>
          <w:p w14:paraId="347A344B" w14:textId="77777777" w:rsidR="007A4C0C" w:rsidRPr="007E28B2" w:rsidRDefault="007A4C0C" w:rsidP="007A4C0C">
            <w:pPr>
              <w:pStyle w:val="Base"/>
            </w:pPr>
          </w:p>
        </w:tc>
      </w:tr>
      <w:tr w:rsidR="007A4C0C" w:rsidRPr="000E764C" w14:paraId="17CC78A2" w14:textId="77777777" w:rsidTr="00CC492B">
        <w:tblPrEx>
          <w:tblBorders>
            <w:bottom w:val="single" w:sz="2" w:space="0" w:color="auto"/>
          </w:tblBorders>
        </w:tblPrEx>
        <w:trPr>
          <w:trHeight w:val="290"/>
        </w:trPr>
        <w:tc>
          <w:tcPr>
            <w:tcW w:w="535" w:type="dxa"/>
          </w:tcPr>
          <w:p w14:paraId="4F1F16C3" w14:textId="77777777" w:rsidR="007A4C0C" w:rsidRPr="007E28B2" w:rsidRDefault="007A4C0C" w:rsidP="007A4C0C">
            <w:pPr>
              <w:pStyle w:val="Base"/>
            </w:pPr>
          </w:p>
        </w:tc>
        <w:tc>
          <w:tcPr>
            <w:tcW w:w="715" w:type="dxa"/>
          </w:tcPr>
          <w:p w14:paraId="76B91565" w14:textId="77777777" w:rsidR="007A4C0C" w:rsidRPr="007E28B2" w:rsidRDefault="007A4C0C" w:rsidP="007A4C0C">
            <w:pPr>
              <w:pStyle w:val="Base"/>
            </w:pPr>
          </w:p>
        </w:tc>
        <w:tc>
          <w:tcPr>
            <w:tcW w:w="720" w:type="dxa"/>
          </w:tcPr>
          <w:p w14:paraId="3576CCBC" w14:textId="77777777" w:rsidR="007A4C0C" w:rsidRPr="007E28B2" w:rsidRDefault="007A4C0C" w:rsidP="007A4C0C">
            <w:pPr>
              <w:pStyle w:val="Base"/>
            </w:pPr>
          </w:p>
        </w:tc>
        <w:tc>
          <w:tcPr>
            <w:tcW w:w="1170" w:type="dxa"/>
          </w:tcPr>
          <w:p w14:paraId="29992AAE" w14:textId="77777777" w:rsidR="007A4C0C" w:rsidRPr="007E28B2" w:rsidRDefault="007A4C0C" w:rsidP="007A4C0C">
            <w:pPr>
              <w:pStyle w:val="Base"/>
            </w:pPr>
          </w:p>
        </w:tc>
        <w:tc>
          <w:tcPr>
            <w:tcW w:w="1530" w:type="dxa"/>
          </w:tcPr>
          <w:p w14:paraId="74071BA4" w14:textId="327AAD33" w:rsidR="007A4C0C" w:rsidRPr="007E28B2" w:rsidRDefault="007A4C0C" w:rsidP="007A4C0C">
            <w:pPr>
              <w:pStyle w:val="Base"/>
              <w:jc w:val="right"/>
            </w:pPr>
            <w:r>
              <w:rPr>
                <w:b/>
                <w:bCs/>
                <w:color w:val="000000"/>
                <w:u w:val="single"/>
              </w:rPr>
              <w:t>Unp</w:t>
            </w:r>
            <w:r w:rsidRPr="002742A0">
              <w:rPr>
                <w:b/>
                <w:bCs/>
                <w:color w:val="000000"/>
                <w:u w:val="single"/>
              </w:rPr>
              <w:t>ublished</w:t>
            </w:r>
          </w:p>
        </w:tc>
        <w:tc>
          <w:tcPr>
            <w:tcW w:w="270" w:type="dxa"/>
          </w:tcPr>
          <w:p w14:paraId="4FBC58E4" w14:textId="77777777" w:rsidR="007A4C0C" w:rsidRPr="007E28B2" w:rsidRDefault="007A4C0C" w:rsidP="007A4C0C">
            <w:pPr>
              <w:pStyle w:val="Base"/>
            </w:pPr>
          </w:p>
        </w:tc>
        <w:tc>
          <w:tcPr>
            <w:tcW w:w="4842" w:type="dxa"/>
          </w:tcPr>
          <w:p w14:paraId="07AAF57A" w14:textId="77777777" w:rsidR="007A4C0C" w:rsidRPr="007E28B2" w:rsidRDefault="007A4C0C" w:rsidP="007A4C0C">
            <w:pPr>
              <w:pStyle w:val="Base"/>
            </w:pPr>
          </w:p>
        </w:tc>
        <w:tc>
          <w:tcPr>
            <w:tcW w:w="1005" w:type="dxa"/>
          </w:tcPr>
          <w:p w14:paraId="44980A35" w14:textId="77777777" w:rsidR="007A4C0C" w:rsidRPr="007E28B2" w:rsidRDefault="007A4C0C" w:rsidP="007A4C0C">
            <w:pPr>
              <w:pStyle w:val="Base"/>
            </w:pPr>
          </w:p>
        </w:tc>
      </w:tr>
      <w:tr w:rsidR="00AB780C" w:rsidRPr="000E764C" w14:paraId="1650260D" w14:textId="77777777" w:rsidTr="00CC492B">
        <w:tblPrEx>
          <w:tblBorders>
            <w:bottom w:val="single" w:sz="2" w:space="0" w:color="auto"/>
          </w:tblBorders>
        </w:tblPrEx>
        <w:trPr>
          <w:trHeight w:val="290"/>
        </w:trPr>
        <w:tc>
          <w:tcPr>
            <w:tcW w:w="535" w:type="dxa"/>
          </w:tcPr>
          <w:p w14:paraId="0ABD1048" w14:textId="74AF4926" w:rsidR="00AB780C" w:rsidRPr="007E28B2" w:rsidRDefault="00AB780C" w:rsidP="00AB780C">
            <w:pPr>
              <w:pStyle w:val="Base"/>
            </w:pPr>
            <w:r w:rsidRPr="00F67E59">
              <w:t>19</w:t>
            </w:r>
          </w:p>
        </w:tc>
        <w:tc>
          <w:tcPr>
            <w:tcW w:w="715" w:type="dxa"/>
          </w:tcPr>
          <w:p w14:paraId="122654FA" w14:textId="03963A28" w:rsidR="00AB780C" w:rsidRPr="007E28B2" w:rsidRDefault="00AB780C" w:rsidP="00AB780C">
            <w:pPr>
              <w:pStyle w:val="Base"/>
            </w:pPr>
            <w:r w:rsidRPr="00F67E59">
              <w:t>CPS</w:t>
            </w:r>
          </w:p>
        </w:tc>
        <w:tc>
          <w:tcPr>
            <w:tcW w:w="720" w:type="dxa"/>
          </w:tcPr>
          <w:p w14:paraId="6396C4D9" w14:textId="3541D40B" w:rsidR="00AB780C" w:rsidRPr="007E28B2" w:rsidRDefault="00AB780C" w:rsidP="00AB780C">
            <w:pPr>
              <w:pStyle w:val="Base"/>
            </w:pPr>
            <w:r w:rsidRPr="00F67E59">
              <w:t>03881</w:t>
            </w:r>
          </w:p>
        </w:tc>
        <w:tc>
          <w:tcPr>
            <w:tcW w:w="1170" w:type="dxa"/>
          </w:tcPr>
          <w:p w14:paraId="2A0AA45B" w14:textId="397076B9" w:rsidR="00AB780C" w:rsidRPr="007E28B2" w:rsidRDefault="00AB780C" w:rsidP="00AB780C">
            <w:pPr>
              <w:pStyle w:val="Base"/>
            </w:pPr>
            <w:r w:rsidRPr="00F67E59">
              <w:t>11/12/2019</w:t>
            </w:r>
          </w:p>
        </w:tc>
        <w:tc>
          <w:tcPr>
            <w:tcW w:w="1530" w:type="dxa"/>
          </w:tcPr>
          <w:p w14:paraId="755003A2" w14:textId="2A87710C" w:rsidR="00AB780C" w:rsidRPr="007E28B2" w:rsidRDefault="00AB780C" w:rsidP="00AB780C">
            <w:pPr>
              <w:pStyle w:val="Base"/>
              <w:jc w:val="right"/>
            </w:pPr>
            <w:r w:rsidRPr="00F67E59">
              <w:t>Hattie Capers</w:t>
            </w:r>
          </w:p>
        </w:tc>
        <w:tc>
          <w:tcPr>
            <w:tcW w:w="270" w:type="dxa"/>
          </w:tcPr>
          <w:p w14:paraId="19A8501F" w14:textId="2908AB08" w:rsidR="00AB780C" w:rsidRPr="007E28B2" w:rsidRDefault="00AB780C" w:rsidP="00AB780C">
            <w:pPr>
              <w:pStyle w:val="Base"/>
            </w:pPr>
            <w:r w:rsidRPr="00F67E59">
              <w:t>v.</w:t>
            </w:r>
          </w:p>
        </w:tc>
        <w:tc>
          <w:tcPr>
            <w:tcW w:w="4842" w:type="dxa"/>
          </w:tcPr>
          <w:p w14:paraId="691668E3" w14:textId="4C962B4C" w:rsidR="00AB780C" w:rsidRPr="007E28B2" w:rsidRDefault="00AB780C" w:rsidP="00AB780C">
            <w:pPr>
              <w:pStyle w:val="Base"/>
            </w:pPr>
            <w:r w:rsidRPr="00F67E59">
              <w:t>Victims Commission Fund</w:t>
            </w:r>
          </w:p>
        </w:tc>
        <w:tc>
          <w:tcPr>
            <w:tcW w:w="1005" w:type="dxa"/>
          </w:tcPr>
          <w:p w14:paraId="1BC2AC13" w14:textId="3807D0D6" w:rsidR="00AB780C" w:rsidRPr="007E28B2" w:rsidRDefault="00AB780C" w:rsidP="00AB780C">
            <w:pPr>
              <w:pStyle w:val="Base"/>
            </w:pPr>
            <w:r w:rsidRPr="00F67E59">
              <w:t>Mann</w:t>
            </w:r>
          </w:p>
        </w:tc>
      </w:tr>
      <w:tr w:rsidR="00AB780C" w:rsidRPr="000E764C" w14:paraId="4E17504D" w14:textId="77777777" w:rsidTr="00CC492B">
        <w:tblPrEx>
          <w:tblBorders>
            <w:bottom w:val="single" w:sz="2" w:space="0" w:color="auto"/>
          </w:tblBorders>
        </w:tblPrEx>
        <w:trPr>
          <w:trHeight w:val="290"/>
        </w:trPr>
        <w:tc>
          <w:tcPr>
            <w:tcW w:w="535" w:type="dxa"/>
          </w:tcPr>
          <w:p w14:paraId="1BD08FB3" w14:textId="1EE36D7F" w:rsidR="00AB780C" w:rsidRPr="007E28B2" w:rsidRDefault="00AB780C" w:rsidP="00AB780C">
            <w:pPr>
              <w:pStyle w:val="Base"/>
            </w:pPr>
            <w:r w:rsidRPr="00F67E59">
              <w:t>19</w:t>
            </w:r>
          </w:p>
        </w:tc>
        <w:tc>
          <w:tcPr>
            <w:tcW w:w="715" w:type="dxa"/>
          </w:tcPr>
          <w:p w14:paraId="2B258ABD" w14:textId="15EC6D1E" w:rsidR="00AB780C" w:rsidRPr="007E28B2" w:rsidRDefault="00AB780C" w:rsidP="00AB780C">
            <w:pPr>
              <w:pStyle w:val="Base"/>
            </w:pPr>
            <w:r w:rsidRPr="00F67E59">
              <w:t>CPS</w:t>
            </w:r>
          </w:p>
        </w:tc>
        <w:tc>
          <w:tcPr>
            <w:tcW w:w="720" w:type="dxa"/>
          </w:tcPr>
          <w:p w14:paraId="5A483DCA" w14:textId="2A22D26B" w:rsidR="00AB780C" w:rsidRPr="007E28B2" w:rsidRDefault="00AB780C" w:rsidP="00AB780C">
            <w:pPr>
              <w:pStyle w:val="Base"/>
            </w:pPr>
            <w:r w:rsidRPr="00F67E59">
              <w:t>04161</w:t>
            </w:r>
          </w:p>
        </w:tc>
        <w:tc>
          <w:tcPr>
            <w:tcW w:w="1170" w:type="dxa"/>
          </w:tcPr>
          <w:p w14:paraId="20775304" w14:textId="14EF2765" w:rsidR="00AB780C" w:rsidRPr="007E28B2" w:rsidRDefault="00AB780C" w:rsidP="00AB780C">
            <w:pPr>
              <w:pStyle w:val="Base"/>
            </w:pPr>
            <w:r w:rsidRPr="00F67E59">
              <w:t>11/21/2019</w:t>
            </w:r>
          </w:p>
        </w:tc>
        <w:tc>
          <w:tcPr>
            <w:tcW w:w="1530" w:type="dxa"/>
          </w:tcPr>
          <w:p w14:paraId="1CB871C2" w14:textId="35C6FCF9" w:rsidR="00AB780C" w:rsidRPr="007E28B2" w:rsidRDefault="00AB780C" w:rsidP="00AB780C">
            <w:pPr>
              <w:pStyle w:val="Base"/>
              <w:jc w:val="right"/>
            </w:pPr>
            <w:r w:rsidRPr="00F67E59">
              <w:t>Shirley Ann Holden</w:t>
            </w:r>
          </w:p>
        </w:tc>
        <w:tc>
          <w:tcPr>
            <w:tcW w:w="270" w:type="dxa"/>
          </w:tcPr>
          <w:p w14:paraId="6AF0E6E2" w14:textId="2DE3A789" w:rsidR="00AB780C" w:rsidRPr="007E28B2" w:rsidRDefault="00AB780C" w:rsidP="00AB780C">
            <w:pPr>
              <w:pStyle w:val="Base"/>
            </w:pPr>
            <w:r w:rsidRPr="00F67E59">
              <w:t>v.</w:t>
            </w:r>
          </w:p>
        </w:tc>
        <w:tc>
          <w:tcPr>
            <w:tcW w:w="4842" w:type="dxa"/>
          </w:tcPr>
          <w:p w14:paraId="36D649EA" w14:textId="119F0CC3" w:rsidR="00AB780C" w:rsidRPr="007E28B2" w:rsidRDefault="00AB780C" w:rsidP="00AB780C">
            <w:pPr>
              <w:pStyle w:val="Base"/>
            </w:pPr>
            <w:r w:rsidRPr="00F67E59">
              <w:t>Department of Public Safety et al</w:t>
            </w:r>
          </w:p>
        </w:tc>
        <w:tc>
          <w:tcPr>
            <w:tcW w:w="1005" w:type="dxa"/>
          </w:tcPr>
          <w:p w14:paraId="55DE595E" w14:textId="1DB94E16" w:rsidR="00AB780C" w:rsidRPr="007E28B2" w:rsidRDefault="00AB780C" w:rsidP="00AB780C">
            <w:pPr>
              <w:pStyle w:val="Base"/>
            </w:pPr>
            <w:r w:rsidRPr="00F67E59">
              <w:t>Ward</w:t>
            </w:r>
          </w:p>
        </w:tc>
      </w:tr>
      <w:tr w:rsidR="00AB780C" w:rsidRPr="000E764C" w14:paraId="54022833" w14:textId="77777777" w:rsidTr="00CC492B">
        <w:tblPrEx>
          <w:tblBorders>
            <w:bottom w:val="single" w:sz="2" w:space="0" w:color="auto"/>
          </w:tblBorders>
        </w:tblPrEx>
        <w:trPr>
          <w:trHeight w:val="290"/>
        </w:trPr>
        <w:tc>
          <w:tcPr>
            <w:tcW w:w="535" w:type="dxa"/>
          </w:tcPr>
          <w:p w14:paraId="6F707C0D" w14:textId="77777777" w:rsidR="00AB780C" w:rsidRPr="007E28B2" w:rsidRDefault="00AB780C" w:rsidP="00AB780C">
            <w:pPr>
              <w:pStyle w:val="Base"/>
            </w:pPr>
          </w:p>
        </w:tc>
        <w:tc>
          <w:tcPr>
            <w:tcW w:w="715" w:type="dxa"/>
          </w:tcPr>
          <w:p w14:paraId="4953F602" w14:textId="77777777" w:rsidR="00AB780C" w:rsidRPr="007E28B2" w:rsidRDefault="00AB780C" w:rsidP="00AB780C">
            <w:pPr>
              <w:pStyle w:val="Base"/>
            </w:pPr>
          </w:p>
        </w:tc>
        <w:tc>
          <w:tcPr>
            <w:tcW w:w="720" w:type="dxa"/>
          </w:tcPr>
          <w:p w14:paraId="35118B29" w14:textId="77777777" w:rsidR="00AB780C" w:rsidRPr="007E28B2" w:rsidRDefault="00AB780C" w:rsidP="00AB780C">
            <w:pPr>
              <w:pStyle w:val="Base"/>
            </w:pPr>
          </w:p>
        </w:tc>
        <w:tc>
          <w:tcPr>
            <w:tcW w:w="1170" w:type="dxa"/>
          </w:tcPr>
          <w:p w14:paraId="7D1474F7" w14:textId="77777777" w:rsidR="00AB780C" w:rsidRPr="007E28B2" w:rsidRDefault="00AB780C" w:rsidP="00AB780C">
            <w:pPr>
              <w:pStyle w:val="Base"/>
            </w:pPr>
          </w:p>
        </w:tc>
        <w:tc>
          <w:tcPr>
            <w:tcW w:w="1530" w:type="dxa"/>
          </w:tcPr>
          <w:p w14:paraId="14D8161A" w14:textId="77777777" w:rsidR="00AB780C" w:rsidRPr="007E28B2" w:rsidRDefault="00AB780C" w:rsidP="00AB780C">
            <w:pPr>
              <w:pStyle w:val="Base"/>
              <w:jc w:val="right"/>
            </w:pPr>
          </w:p>
        </w:tc>
        <w:tc>
          <w:tcPr>
            <w:tcW w:w="270" w:type="dxa"/>
          </w:tcPr>
          <w:p w14:paraId="40D4AC5A" w14:textId="77777777" w:rsidR="00AB780C" w:rsidRPr="007E28B2" w:rsidRDefault="00AB780C" w:rsidP="00AB780C">
            <w:pPr>
              <w:pStyle w:val="Base"/>
            </w:pPr>
          </w:p>
        </w:tc>
        <w:tc>
          <w:tcPr>
            <w:tcW w:w="4842" w:type="dxa"/>
          </w:tcPr>
          <w:p w14:paraId="39E4C86B" w14:textId="77777777" w:rsidR="00AB780C" w:rsidRPr="007E28B2" w:rsidRDefault="00AB780C" w:rsidP="00AB780C">
            <w:pPr>
              <w:pStyle w:val="Base"/>
            </w:pPr>
          </w:p>
        </w:tc>
        <w:tc>
          <w:tcPr>
            <w:tcW w:w="1005" w:type="dxa"/>
          </w:tcPr>
          <w:p w14:paraId="18E994E7" w14:textId="77777777" w:rsidR="00AB780C" w:rsidRPr="007E28B2" w:rsidRDefault="00AB780C" w:rsidP="00AB780C">
            <w:pPr>
              <w:pStyle w:val="Base"/>
            </w:pPr>
          </w:p>
        </w:tc>
      </w:tr>
      <w:tr w:rsidR="00AB780C" w:rsidRPr="000E764C" w14:paraId="7A0BC3A6" w14:textId="77777777" w:rsidTr="00CC492B">
        <w:tblPrEx>
          <w:tblBorders>
            <w:bottom w:val="single" w:sz="2" w:space="0" w:color="auto"/>
          </w:tblBorders>
        </w:tblPrEx>
        <w:trPr>
          <w:trHeight w:val="290"/>
        </w:trPr>
        <w:tc>
          <w:tcPr>
            <w:tcW w:w="535" w:type="dxa"/>
          </w:tcPr>
          <w:p w14:paraId="7BFDA043" w14:textId="68F57323" w:rsidR="00AB780C" w:rsidRPr="007E28B2" w:rsidRDefault="00AB780C" w:rsidP="00AB780C">
            <w:pPr>
              <w:pStyle w:val="Base"/>
            </w:pPr>
            <w:r w:rsidRPr="00F67E59">
              <w:lastRenderedPageBreak/>
              <w:t>18</w:t>
            </w:r>
          </w:p>
        </w:tc>
        <w:tc>
          <w:tcPr>
            <w:tcW w:w="715" w:type="dxa"/>
          </w:tcPr>
          <w:p w14:paraId="4BFA230D" w14:textId="2B4EFB0E" w:rsidR="00AB780C" w:rsidRPr="007E28B2" w:rsidRDefault="00AB780C" w:rsidP="00AB780C">
            <w:pPr>
              <w:pStyle w:val="Base"/>
            </w:pPr>
            <w:r w:rsidRPr="00F67E59">
              <w:t>CSE</w:t>
            </w:r>
          </w:p>
        </w:tc>
        <w:tc>
          <w:tcPr>
            <w:tcW w:w="720" w:type="dxa"/>
          </w:tcPr>
          <w:p w14:paraId="561F752D" w14:textId="10020CCC" w:rsidR="00AB780C" w:rsidRPr="007E28B2" w:rsidRDefault="00AB780C" w:rsidP="00AB780C">
            <w:pPr>
              <w:pStyle w:val="Base"/>
            </w:pPr>
            <w:r w:rsidRPr="00F67E59">
              <w:t>06766</w:t>
            </w:r>
          </w:p>
        </w:tc>
        <w:tc>
          <w:tcPr>
            <w:tcW w:w="1170" w:type="dxa"/>
          </w:tcPr>
          <w:p w14:paraId="0FDF15D1" w14:textId="39B1B73D" w:rsidR="00AB780C" w:rsidRPr="007E28B2" w:rsidRDefault="00AB780C" w:rsidP="00AB780C">
            <w:pPr>
              <w:pStyle w:val="Base"/>
            </w:pPr>
            <w:r w:rsidRPr="00F67E59">
              <w:t>6/18/2019; 11/13/2019</w:t>
            </w:r>
          </w:p>
        </w:tc>
        <w:tc>
          <w:tcPr>
            <w:tcW w:w="1530" w:type="dxa"/>
          </w:tcPr>
          <w:p w14:paraId="7C54BDED" w14:textId="71CF83C9" w:rsidR="00AB780C" w:rsidRPr="007E28B2" w:rsidRDefault="00AB780C" w:rsidP="00AB780C">
            <w:pPr>
              <w:pStyle w:val="Base"/>
              <w:jc w:val="right"/>
            </w:pPr>
            <w:r w:rsidRPr="00F67E59">
              <w:t>Rodrick Barnwell</w:t>
            </w:r>
          </w:p>
        </w:tc>
        <w:tc>
          <w:tcPr>
            <w:tcW w:w="270" w:type="dxa"/>
          </w:tcPr>
          <w:p w14:paraId="5A07267B" w14:textId="40FFB40D" w:rsidR="00AB780C" w:rsidRPr="007E28B2" w:rsidRDefault="00AB780C" w:rsidP="00AB780C">
            <w:pPr>
              <w:pStyle w:val="Base"/>
            </w:pPr>
            <w:r w:rsidRPr="00F67E59">
              <w:t>v.</w:t>
            </w:r>
          </w:p>
        </w:tc>
        <w:tc>
          <w:tcPr>
            <w:tcW w:w="4842" w:type="dxa"/>
          </w:tcPr>
          <w:p w14:paraId="5F5C2069" w14:textId="2CAB1E48" w:rsidR="00AB780C" w:rsidRPr="007E28B2" w:rsidRDefault="00AB780C" w:rsidP="00AB780C">
            <w:pPr>
              <w:pStyle w:val="Base"/>
            </w:pPr>
            <w:r w:rsidRPr="00F67E59">
              <w:t>NC Department of Health and Human Services, Division of Social Services, Child Support Enforcement</w:t>
            </w:r>
          </w:p>
        </w:tc>
        <w:tc>
          <w:tcPr>
            <w:tcW w:w="1005" w:type="dxa"/>
          </w:tcPr>
          <w:p w14:paraId="6C545347" w14:textId="3BB5758A" w:rsidR="00AB780C" w:rsidRPr="007E28B2" w:rsidRDefault="00AB780C" w:rsidP="00AB780C">
            <w:pPr>
              <w:pStyle w:val="Base"/>
            </w:pPr>
            <w:r w:rsidRPr="00F67E59">
              <w:t>Malherbe</w:t>
            </w:r>
          </w:p>
        </w:tc>
      </w:tr>
      <w:tr w:rsidR="00AB780C" w:rsidRPr="000E764C" w14:paraId="2EE52752" w14:textId="77777777" w:rsidTr="00CC492B">
        <w:tblPrEx>
          <w:tblBorders>
            <w:bottom w:val="single" w:sz="2" w:space="0" w:color="auto"/>
          </w:tblBorders>
        </w:tblPrEx>
        <w:trPr>
          <w:trHeight w:val="290"/>
        </w:trPr>
        <w:tc>
          <w:tcPr>
            <w:tcW w:w="535" w:type="dxa"/>
          </w:tcPr>
          <w:p w14:paraId="305DB70F" w14:textId="3B6B109D" w:rsidR="00AB780C" w:rsidRPr="007E28B2" w:rsidRDefault="00AB780C" w:rsidP="00AB780C">
            <w:pPr>
              <w:pStyle w:val="Base"/>
            </w:pPr>
            <w:r w:rsidRPr="00F67E59">
              <w:t>18</w:t>
            </w:r>
          </w:p>
        </w:tc>
        <w:tc>
          <w:tcPr>
            <w:tcW w:w="715" w:type="dxa"/>
          </w:tcPr>
          <w:p w14:paraId="164488C1" w14:textId="15693CF1" w:rsidR="00AB780C" w:rsidRPr="007E28B2" w:rsidRDefault="00AB780C" w:rsidP="00AB780C">
            <w:pPr>
              <w:pStyle w:val="Base"/>
            </w:pPr>
            <w:r w:rsidRPr="00F67E59">
              <w:t>CSE</w:t>
            </w:r>
          </w:p>
        </w:tc>
        <w:tc>
          <w:tcPr>
            <w:tcW w:w="720" w:type="dxa"/>
          </w:tcPr>
          <w:p w14:paraId="5E3F0078" w14:textId="01539E3B" w:rsidR="00AB780C" w:rsidRPr="007E28B2" w:rsidRDefault="00AB780C" w:rsidP="00AB780C">
            <w:pPr>
              <w:pStyle w:val="Base"/>
            </w:pPr>
            <w:r w:rsidRPr="00F67E59">
              <w:t>06979</w:t>
            </w:r>
          </w:p>
        </w:tc>
        <w:tc>
          <w:tcPr>
            <w:tcW w:w="1170" w:type="dxa"/>
          </w:tcPr>
          <w:p w14:paraId="3201E9D0" w14:textId="7FE9E524" w:rsidR="00AB780C" w:rsidRPr="007E28B2" w:rsidRDefault="00AB780C" w:rsidP="00AB780C">
            <w:pPr>
              <w:pStyle w:val="Base"/>
            </w:pPr>
            <w:r w:rsidRPr="00F67E59">
              <w:t>4/22/2019; 11/20/2019</w:t>
            </w:r>
          </w:p>
        </w:tc>
        <w:tc>
          <w:tcPr>
            <w:tcW w:w="1530" w:type="dxa"/>
          </w:tcPr>
          <w:p w14:paraId="0E73B1D3" w14:textId="4B08A09F" w:rsidR="00AB780C" w:rsidRPr="007E28B2" w:rsidRDefault="00AB780C" w:rsidP="00AB780C">
            <w:pPr>
              <w:pStyle w:val="Base"/>
              <w:jc w:val="right"/>
            </w:pPr>
            <w:r w:rsidRPr="00F67E59">
              <w:t>Joshua K Jones</w:t>
            </w:r>
          </w:p>
        </w:tc>
        <w:tc>
          <w:tcPr>
            <w:tcW w:w="270" w:type="dxa"/>
          </w:tcPr>
          <w:p w14:paraId="0779964A" w14:textId="2506D399" w:rsidR="00AB780C" w:rsidRPr="007E28B2" w:rsidRDefault="00AB780C" w:rsidP="00AB780C">
            <w:pPr>
              <w:pStyle w:val="Base"/>
            </w:pPr>
            <w:r w:rsidRPr="00F67E59">
              <w:t>v.</w:t>
            </w:r>
          </w:p>
        </w:tc>
        <w:tc>
          <w:tcPr>
            <w:tcW w:w="4842" w:type="dxa"/>
          </w:tcPr>
          <w:p w14:paraId="5E8755EB" w14:textId="11F05446" w:rsidR="00AB780C" w:rsidRPr="007E28B2" w:rsidRDefault="00AB780C" w:rsidP="00AB780C">
            <w:pPr>
              <w:pStyle w:val="Base"/>
            </w:pPr>
            <w:r w:rsidRPr="00F67E59">
              <w:t>NC Department of Health and Human Services, Division of Social Services, Child Support Enforcement Section</w:t>
            </w:r>
          </w:p>
        </w:tc>
        <w:tc>
          <w:tcPr>
            <w:tcW w:w="1005" w:type="dxa"/>
          </w:tcPr>
          <w:p w14:paraId="08F80BB0" w14:textId="4BDDC40A" w:rsidR="00AB780C" w:rsidRPr="007E28B2" w:rsidRDefault="00AB780C" w:rsidP="00AB780C">
            <w:pPr>
              <w:pStyle w:val="Base"/>
            </w:pPr>
            <w:r w:rsidRPr="00F67E59">
              <w:t>Malherbe</w:t>
            </w:r>
          </w:p>
        </w:tc>
      </w:tr>
      <w:tr w:rsidR="00AB780C" w:rsidRPr="000E764C" w14:paraId="6CC2C9CF" w14:textId="77777777" w:rsidTr="00CC492B">
        <w:tblPrEx>
          <w:tblBorders>
            <w:bottom w:val="single" w:sz="2" w:space="0" w:color="auto"/>
          </w:tblBorders>
        </w:tblPrEx>
        <w:trPr>
          <w:trHeight w:val="290"/>
        </w:trPr>
        <w:tc>
          <w:tcPr>
            <w:tcW w:w="535" w:type="dxa"/>
          </w:tcPr>
          <w:p w14:paraId="28223A19" w14:textId="15B69FD5" w:rsidR="00AB780C" w:rsidRPr="007E28B2" w:rsidRDefault="00AB780C" w:rsidP="00AB780C">
            <w:pPr>
              <w:pStyle w:val="Base"/>
            </w:pPr>
            <w:r w:rsidRPr="00F67E59">
              <w:t>18</w:t>
            </w:r>
          </w:p>
        </w:tc>
        <w:tc>
          <w:tcPr>
            <w:tcW w:w="715" w:type="dxa"/>
          </w:tcPr>
          <w:p w14:paraId="441BAB98" w14:textId="1A1E6CF2" w:rsidR="00AB780C" w:rsidRPr="007E28B2" w:rsidRDefault="00AB780C" w:rsidP="00AB780C">
            <w:pPr>
              <w:pStyle w:val="Base"/>
            </w:pPr>
            <w:r w:rsidRPr="00F67E59">
              <w:t>CSE</w:t>
            </w:r>
          </w:p>
        </w:tc>
        <w:tc>
          <w:tcPr>
            <w:tcW w:w="720" w:type="dxa"/>
          </w:tcPr>
          <w:p w14:paraId="7492D03D" w14:textId="1C464D18" w:rsidR="00AB780C" w:rsidRPr="007E28B2" w:rsidRDefault="00AB780C" w:rsidP="00AB780C">
            <w:pPr>
              <w:pStyle w:val="Base"/>
            </w:pPr>
            <w:r w:rsidRPr="00F67E59">
              <w:t>07311</w:t>
            </w:r>
          </w:p>
        </w:tc>
        <w:tc>
          <w:tcPr>
            <w:tcW w:w="1170" w:type="dxa"/>
          </w:tcPr>
          <w:p w14:paraId="3F4BB530" w14:textId="500848A4" w:rsidR="00AB780C" w:rsidRPr="007E28B2" w:rsidRDefault="00AB780C" w:rsidP="00AB780C">
            <w:pPr>
              <w:pStyle w:val="Base"/>
            </w:pPr>
            <w:r w:rsidRPr="00F67E59">
              <w:t>5/28/2019; 11/20/2019</w:t>
            </w:r>
          </w:p>
        </w:tc>
        <w:tc>
          <w:tcPr>
            <w:tcW w:w="1530" w:type="dxa"/>
          </w:tcPr>
          <w:p w14:paraId="5672C42F" w14:textId="68D79AE2" w:rsidR="00AB780C" w:rsidRPr="007E28B2" w:rsidRDefault="00AB780C" w:rsidP="00AB780C">
            <w:pPr>
              <w:pStyle w:val="Base"/>
              <w:jc w:val="right"/>
            </w:pPr>
            <w:r w:rsidRPr="00F67E59">
              <w:t>Kelvin Jamison</w:t>
            </w:r>
          </w:p>
        </w:tc>
        <w:tc>
          <w:tcPr>
            <w:tcW w:w="270" w:type="dxa"/>
          </w:tcPr>
          <w:p w14:paraId="0BDD1F6F" w14:textId="325DD21A" w:rsidR="00AB780C" w:rsidRPr="007E28B2" w:rsidRDefault="00AB780C" w:rsidP="00AB780C">
            <w:pPr>
              <w:pStyle w:val="Base"/>
            </w:pPr>
            <w:r w:rsidRPr="00F67E59">
              <w:t>v.</w:t>
            </w:r>
          </w:p>
        </w:tc>
        <w:tc>
          <w:tcPr>
            <w:tcW w:w="4842" w:type="dxa"/>
          </w:tcPr>
          <w:p w14:paraId="3D0BAF6E" w14:textId="54520EE7" w:rsidR="00AB780C" w:rsidRPr="007E28B2" w:rsidRDefault="00AB780C" w:rsidP="00AB780C">
            <w:pPr>
              <w:pStyle w:val="Base"/>
            </w:pPr>
            <w:r w:rsidRPr="00F67E59">
              <w:t>NC Department of Health and Human Services, Division of Social Services, Child Support Enforcement</w:t>
            </w:r>
          </w:p>
        </w:tc>
        <w:tc>
          <w:tcPr>
            <w:tcW w:w="1005" w:type="dxa"/>
          </w:tcPr>
          <w:p w14:paraId="0455DB18" w14:textId="6B129D7D" w:rsidR="00AB780C" w:rsidRPr="007E28B2" w:rsidRDefault="00AB780C" w:rsidP="00AB780C">
            <w:pPr>
              <w:pStyle w:val="Base"/>
            </w:pPr>
            <w:r w:rsidRPr="00F67E59">
              <w:t>Malherbe</w:t>
            </w:r>
          </w:p>
        </w:tc>
      </w:tr>
      <w:tr w:rsidR="00AB780C" w:rsidRPr="000E764C" w14:paraId="04FD17A5" w14:textId="77777777" w:rsidTr="00CC492B">
        <w:tblPrEx>
          <w:tblBorders>
            <w:bottom w:val="single" w:sz="2" w:space="0" w:color="auto"/>
          </w:tblBorders>
        </w:tblPrEx>
        <w:trPr>
          <w:trHeight w:val="290"/>
        </w:trPr>
        <w:tc>
          <w:tcPr>
            <w:tcW w:w="535" w:type="dxa"/>
          </w:tcPr>
          <w:p w14:paraId="07C4FCD8" w14:textId="77777777" w:rsidR="00AB780C" w:rsidRPr="007E28B2" w:rsidRDefault="00AB780C" w:rsidP="00AB780C">
            <w:pPr>
              <w:pStyle w:val="Base"/>
            </w:pPr>
          </w:p>
        </w:tc>
        <w:tc>
          <w:tcPr>
            <w:tcW w:w="715" w:type="dxa"/>
          </w:tcPr>
          <w:p w14:paraId="2B249AA6" w14:textId="77777777" w:rsidR="00AB780C" w:rsidRPr="007E28B2" w:rsidRDefault="00AB780C" w:rsidP="00AB780C">
            <w:pPr>
              <w:pStyle w:val="Base"/>
            </w:pPr>
          </w:p>
        </w:tc>
        <w:tc>
          <w:tcPr>
            <w:tcW w:w="720" w:type="dxa"/>
          </w:tcPr>
          <w:p w14:paraId="364DA447" w14:textId="77777777" w:rsidR="00AB780C" w:rsidRPr="007E28B2" w:rsidRDefault="00AB780C" w:rsidP="00AB780C">
            <w:pPr>
              <w:pStyle w:val="Base"/>
            </w:pPr>
          </w:p>
        </w:tc>
        <w:tc>
          <w:tcPr>
            <w:tcW w:w="1170" w:type="dxa"/>
          </w:tcPr>
          <w:p w14:paraId="5BA406B1" w14:textId="77777777" w:rsidR="00AB780C" w:rsidRPr="007E28B2" w:rsidRDefault="00AB780C" w:rsidP="00AB780C">
            <w:pPr>
              <w:pStyle w:val="Base"/>
            </w:pPr>
          </w:p>
        </w:tc>
        <w:tc>
          <w:tcPr>
            <w:tcW w:w="1530" w:type="dxa"/>
          </w:tcPr>
          <w:p w14:paraId="3EA19868" w14:textId="77777777" w:rsidR="00AB780C" w:rsidRPr="007E28B2" w:rsidRDefault="00AB780C" w:rsidP="00AB780C">
            <w:pPr>
              <w:pStyle w:val="Base"/>
              <w:jc w:val="right"/>
            </w:pPr>
          </w:p>
        </w:tc>
        <w:tc>
          <w:tcPr>
            <w:tcW w:w="270" w:type="dxa"/>
          </w:tcPr>
          <w:p w14:paraId="58609B08" w14:textId="77777777" w:rsidR="00AB780C" w:rsidRPr="007E28B2" w:rsidRDefault="00AB780C" w:rsidP="00AB780C">
            <w:pPr>
              <w:pStyle w:val="Base"/>
            </w:pPr>
          </w:p>
        </w:tc>
        <w:tc>
          <w:tcPr>
            <w:tcW w:w="4842" w:type="dxa"/>
          </w:tcPr>
          <w:p w14:paraId="0D28662A" w14:textId="77777777" w:rsidR="00AB780C" w:rsidRPr="007E28B2" w:rsidRDefault="00AB780C" w:rsidP="00AB780C">
            <w:pPr>
              <w:pStyle w:val="Base"/>
            </w:pPr>
          </w:p>
        </w:tc>
        <w:tc>
          <w:tcPr>
            <w:tcW w:w="1005" w:type="dxa"/>
          </w:tcPr>
          <w:p w14:paraId="61E40E15" w14:textId="77777777" w:rsidR="00AB780C" w:rsidRPr="007E28B2" w:rsidRDefault="00AB780C" w:rsidP="00AB780C">
            <w:pPr>
              <w:pStyle w:val="Base"/>
            </w:pPr>
          </w:p>
        </w:tc>
      </w:tr>
      <w:tr w:rsidR="00AB780C" w:rsidRPr="000E764C" w14:paraId="2EDD78A4" w14:textId="77777777" w:rsidTr="00CC492B">
        <w:tblPrEx>
          <w:tblBorders>
            <w:bottom w:val="single" w:sz="2" w:space="0" w:color="auto"/>
          </w:tblBorders>
        </w:tblPrEx>
        <w:trPr>
          <w:trHeight w:val="290"/>
        </w:trPr>
        <w:tc>
          <w:tcPr>
            <w:tcW w:w="535" w:type="dxa"/>
          </w:tcPr>
          <w:p w14:paraId="63F0E770" w14:textId="4430C1FD" w:rsidR="00AB780C" w:rsidRPr="007E28B2" w:rsidRDefault="00AB780C" w:rsidP="00AB780C">
            <w:pPr>
              <w:pStyle w:val="Base"/>
            </w:pPr>
            <w:r w:rsidRPr="00F67E59">
              <w:t>19</w:t>
            </w:r>
          </w:p>
        </w:tc>
        <w:tc>
          <w:tcPr>
            <w:tcW w:w="715" w:type="dxa"/>
          </w:tcPr>
          <w:p w14:paraId="2BEB9911" w14:textId="1D8EF13C" w:rsidR="00AB780C" w:rsidRPr="007E28B2" w:rsidRDefault="00AB780C" w:rsidP="00AB780C">
            <w:pPr>
              <w:pStyle w:val="Base"/>
            </w:pPr>
            <w:r w:rsidRPr="00F67E59">
              <w:t>DHR</w:t>
            </w:r>
          </w:p>
        </w:tc>
        <w:tc>
          <w:tcPr>
            <w:tcW w:w="720" w:type="dxa"/>
          </w:tcPr>
          <w:p w14:paraId="085BF1CD" w14:textId="0FC95AF9" w:rsidR="00AB780C" w:rsidRPr="007E28B2" w:rsidRDefault="00AB780C" w:rsidP="00AB780C">
            <w:pPr>
              <w:pStyle w:val="Base"/>
            </w:pPr>
            <w:r w:rsidRPr="00F67E59">
              <w:t>04088</w:t>
            </w:r>
          </w:p>
        </w:tc>
        <w:tc>
          <w:tcPr>
            <w:tcW w:w="1170" w:type="dxa"/>
          </w:tcPr>
          <w:p w14:paraId="4A580A08" w14:textId="3AB3C392" w:rsidR="00AB780C" w:rsidRPr="007E28B2" w:rsidRDefault="00AB780C" w:rsidP="00AB780C">
            <w:pPr>
              <w:pStyle w:val="Base"/>
            </w:pPr>
            <w:r w:rsidRPr="00F67E59">
              <w:t>11/26/2019</w:t>
            </w:r>
          </w:p>
        </w:tc>
        <w:tc>
          <w:tcPr>
            <w:tcW w:w="1530" w:type="dxa"/>
          </w:tcPr>
          <w:p w14:paraId="2E85B677" w14:textId="1D628BF6" w:rsidR="00AB780C" w:rsidRPr="007E28B2" w:rsidRDefault="00AB780C" w:rsidP="00AB780C">
            <w:pPr>
              <w:pStyle w:val="Base"/>
              <w:jc w:val="right"/>
            </w:pPr>
            <w:r w:rsidRPr="00F67E59">
              <w:t>Tracy L Maye</w:t>
            </w:r>
          </w:p>
        </w:tc>
        <w:tc>
          <w:tcPr>
            <w:tcW w:w="270" w:type="dxa"/>
          </w:tcPr>
          <w:p w14:paraId="5AB5B9BD" w14:textId="68A020A0" w:rsidR="00AB780C" w:rsidRPr="007E28B2" w:rsidRDefault="00AB780C" w:rsidP="00AB780C">
            <w:pPr>
              <w:pStyle w:val="Base"/>
            </w:pPr>
            <w:r w:rsidRPr="00F67E59">
              <w:t>v.</w:t>
            </w:r>
          </w:p>
        </w:tc>
        <w:tc>
          <w:tcPr>
            <w:tcW w:w="4842" w:type="dxa"/>
          </w:tcPr>
          <w:p w14:paraId="08A35E95" w14:textId="6210862B" w:rsidR="00AB780C" w:rsidRPr="007E28B2" w:rsidRDefault="00AB780C" w:rsidP="00AB780C">
            <w:pPr>
              <w:pStyle w:val="Base"/>
            </w:pPr>
            <w:r w:rsidRPr="00F67E59">
              <w:t>Department of Health and Human Services, Division of Health Service Regulation</w:t>
            </w:r>
          </w:p>
        </w:tc>
        <w:tc>
          <w:tcPr>
            <w:tcW w:w="1005" w:type="dxa"/>
          </w:tcPr>
          <w:p w14:paraId="7E702236" w14:textId="2EF81CFA" w:rsidR="00AB780C" w:rsidRPr="007E28B2" w:rsidRDefault="00AB780C" w:rsidP="00AB780C">
            <w:pPr>
              <w:pStyle w:val="Base"/>
            </w:pPr>
            <w:r w:rsidRPr="00F67E59">
              <w:t>Ward</w:t>
            </w:r>
          </w:p>
        </w:tc>
      </w:tr>
      <w:tr w:rsidR="00AB780C" w:rsidRPr="000E764C" w14:paraId="4AF3E721" w14:textId="77777777" w:rsidTr="00CC492B">
        <w:tblPrEx>
          <w:tblBorders>
            <w:bottom w:val="single" w:sz="2" w:space="0" w:color="auto"/>
          </w:tblBorders>
        </w:tblPrEx>
        <w:trPr>
          <w:trHeight w:val="290"/>
        </w:trPr>
        <w:tc>
          <w:tcPr>
            <w:tcW w:w="535" w:type="dxa"/>
          </w:tcPr>
          <w:p w14:paraId="0169EB59" w14:textId="7F7C783C" w:rsidR="00AB780C" w:rsidRPr="007E28B2" w:rsidRDefault="00AB780C" w:rsidP="00AB780C">
            <w:pPr>
              <w:pStyle w:val="Base"/>
            </w:pPr>
            <w:r w:rsidRPr="00F67E59">
              <w:t>19</w:t>
            </w:r>
          </w:p>
        </w:tc>
        <w:tc>
          <w:tcPr>
            <w:tcW w:w="715" w:type="dxa"/>
          </w:tcPr>
          <w:p w14:paraId="5776588C" w14:textId="651D98B2" w:rsidR="00AB780C" w:rsidRPr="007E28B2" w:rsidRDefault="00AB780C" w:rsidP="00AB780C">
            <w:pPr>
              <w:pStyle w:val="Base"/>
            </w:pPr>
            <w:r w:rsidRPr="00F67E59">
              <w:t>DHR</w:t>
            </w:r>
          </w:p>
        </w:tc>
        <w:tc>
          <w:tcPr>
            <w:tcW w:w="720" w:type="dxa"/>
          </w:tcPr>
          <w:p w14:paraId="722FDAEF" w14:textId="3B77CB17" w:rsidR="00AB780C" w:rsidRPr="007E28B2" w:rsidRDefault="00AB780C" w:rsidP="00AB780C">
            <w:pPr>
              <w:pStyle w:val="Base"/>
            </w:pPr>
            <w:r w:rsidRPr="00F67E59">
              <w:t>04101</w:t>
            </w:r>
          </w:p>
        </w:tc>
        <w:tc>
          <w:tcPr>
            <w:tcW w:w="1170" w:type="dxa"/>
          </w:tcPr>
          <w:p w14:paraId="30EEF398" w14:textId="7DB716CE" w:rsidR="00AB780C" w:rsidRPr="007E28B2" w:rsidRDefault="00AB780C" w:rsidP="00AB780C">
            <w:pPr>
              <w:pStyle w:val="Base"/>
            </w:pPr>
            <w:r w:rsidRPr="00F67E59">
              <w:t>11/26/2019</w:t>
            </w:r>
          </w:p>
        </w:tc>
        <w:tc>
          <w:tcPr>
            <w:tcW w:w="1530" w:type="dxa"/>
          </w:tcPr>
          <w:p w14:paraId="5A03CFEE" w14:textId="73F2DACA" w:rsidR="00AB780C" w:rsidRPr="007E28B2" w:rsidRDefault="00AB780C" w:rsidP="00AB780C">
            <w:pPr>
              <w:pStyle w:val="Base"/>
              <w:jc w:val="right"/>
            </w:pPr>
            <w:r w:rsidRPr="00F67E59">
              <w:t>April S Ward</w:t>
            </w:r>
          </w:p>
        </w:tc>
        <w:tc>
          <w:tcPr>
            <w:tcW w:w="270" w:type="dxa"/>
          </w:tcPr>
          <w:p w14:paraId="5F4CC2C3" w14:textId="46C05E42" w:rsidR="00AB780C" w:rsidRPr="007E28B2" w:rsidRDefault="00AB780C" w:rsidP="00AB780C">
            <w:pPr>
              <w:pStyle w:val="Base"/>
            </w:pPr>
            <w:r w:rsidRPr="00F67E59">
              <w:t>v.</w:t>
            </w:r>
          </w:p>
        </w:tc>
        <w:tc>
          <w:tcPr>
            <w:tcW w:w="4842" w:type="dxa"/>
          </w:tcPr>
          <w:p w14:paraId="1ED8A2DC" w14:textId="5CECF2F3" w:rsidR="00AB780C" w:rsidRPr="007E28B2" w:rsidRDefault="00AB780C" w:rsidP="00AB780C">
            <w:pPr>
              <w:pStyle w:val="Base"/>
            </w:pPr>
            <w:r w:rsidRPr="00F67E59">
              <w:t>Department of Health and Human Services, Division of Health Service Regulation</w:t>
            </w:r>
          </w:p>
        </w:tc>
        <w:tc>
          <w:tcPr>
            <w:tcW w:w="1005" w:type="dxa"/>
          </w:tcPr>
          <w:p w14:paraId="77EC9A99" w14:textId="0931407A" w:rsidR="00AB780C" w:rsidRPr="007E28B2" w:rsidRDefault="00AB780C" w:rsidP="00AB780C">
            <w:pPr>
              <w:pStyle w:val="Base"/>
            </w:pPr>
            <w:r w:rsidRPr="00F67E59">
              <w:t>Ward</w:t>
            </w:r>
          </w:p>
        </w:tc>
      </w:tr>
      <w:tr w:rsidR="00AB780C" w:rsidRPr="000E764C" w14:paraId="1BF8FE15" w14:textId="77777777" w:rsidTr="00CC492B">
        <w:tblPrEx>
          <w:tblBorders>
            <w:bottom w:val="single" w:sz="2" w:space="0" w:color="auto"/>
          </w:tblBorders>
        </w:tblPrEx>
        <w:trPr>
          <w:trHeight w:val="290"/>
        </w:trPr>
        <w:tc>
          <w:tcPr>
            <w:tcW w:w="535" w:type="dxa"/>
          </w:tcPr>
          <w:p w14:paraId="09F6A719" w14:textId="418346E3" w:rsidR="00AB780C" w:rsidRPr="007E28B2" w:rsidRDefault="00AB780C" w:rsidP="00AB780C">
            <w:pPr>
              <w:pStyle w:val="Base"/>
            </w:pPr>
            <w:r w:rsidRPr="00F67E59">
              <w:t>19</w:t>
            </w:r>
          </w:p>
        </w:tc>
        <w:tc>
          <w:tcPr>
            <w:tcW w:w="715" w:type="dxa"/>
          </w:tcPr>
          <w:p w14:paraId="56750FD8" w14:textId="64433FA4" w:rsidR="00AB780C" w:rsidRPr="007E28B2" w:rsidRDefault="00AB780C" w:rsidP="00AB780C">
            <w:pPr>
              <w:pStyle w:val="Base"/>
            </w:pPr>
            <w:r w:rsidRPr="00F67E59">
              <w:t>DHR</w:t>
            </w:r>
          </w:p>
        </w:tc>
        <w:tc>
          <w:tcPr>
            <w:tcW w:w="720" w:type="dxa"/>
          </w:tcPr>
          <w:p w14:paraId="63EDC049" w14:textId="02ED53DE" w:rsidR="00AB780C" w:rsidRPr="007E28B2" w:rsidRDefault="00AB780C" w:rsidP="00AB780C">
            <w:pPr>
              <w:pStyle w:val="Base"/>
            </w:pPr>
            <w:r w:rsidRPr="00F67E59">
              <w:t>05339</w:t>
            </w:r>
          </w:p>
        </w:tc>
        <w:tc>
          <w:tcPr>
            <w:tcW w:w="1170" w:type="dxa"/>
          </w:tcPr>
          <w:p w14:paraId="32F6A329" w14:textId="65B72498" w:rsidR="00AB780C" w:rsidRPr="007E28B2" w:rsidRDefault="00AB780C" w:rsidP="00AB780C">
            <w:pPr>
              <w:pStyle w:val="Base"/>
            </w:pPr>
            <w:r w:rsidRPr="00F67E59">
              <w:t>11/8/2019</w:t>
            </w:r>
          </w:p>
        </w:tc>
        <w:tc>
          <w:tcPr>
            <w:tcW w:w="1530" w:type="dxa"/>
          </w:tcPr>
          <w:p w14:paraId="3ADE324A" w14:textId="3E03B6DC" w:rsidR="00AB780C" w:rsidRPr="007E28B2" w:rsidRDefault="00AB780C" w:rsidP="00AB780C">
            <w:pPr>
              <w:pStyle w:val="Base"/>
              <w:jc w:val="right"/>
            </w:pPr>
            <w:r w:rsidRPr="00F67E59">
              <w:t>First Baptist Day Care Inc</w:t>
            </w:r>
          </w:p>
        </w:tc>
        <w:tc>
          <w:tcPr>
            <w:tcW w:w="270" w:type="dxa"/>
          </w:tcPr>
          <w:p w14:paraId="793C04EA" w14:textId="2F8AE606" w:rsidR="00AB780C" w:rsidRPr="007E28B2" w:rsidRDefault="00AB780C" w:rsidP="00AB780C">
            <w:pPr>
              <w:pStyle w:val="Base"/>
            </w:pPr>
            <w:r w:rsidRPr="00F67E59">
              <w:t>v.</w:t>
            </w:r>
          </w:p>
        </w:tc>
        <w:tc>
          <w:tcPr>
            <w:tcW w:w="4842" w:type="dxa"/>
          </w:tcPr>
          <w:p w14:paraId="0E958284" w14:textId="7EA72E52" w:rsidR="00AB780C" w:rsidRPr="007E28B2" w:rsidRDefault="00AB780C" w:rsidP="00AB780C">
            <w:pPr>
              <w:pStyle w:val="Base"/>
            </w:pPr>
            <w:r w:rsidRPr="00F67E59">
              <w:t>NC Department of Health and Human Services, Division of Child Development and Early Education</w:t>
            </w:r>
          </w:p>
        </w:tc>
        <w:tc>
          <w:tcPr>
            <w:tcW w:w="1005" w:type="dxa"/>
          </w:tcPr>
          <w:p w14:paraId="18BCBF06" w14:textId="6EA8FE31" w:rsidR="00AB780C" w:rsidRPr="007E28B2" w:rsidRDefault="00AB780C" w:rsidP="00AB780C">
            <w:pPr>
              <w:pStyle w:val="Base"/>
            </w:pPr>
            <w:r w:rsidRPr="00F67E59">
              <w:t>Bawtinhimer</w:t>
            </w:r>
          </w:p>
        </w:tc>
      </w:tr>
      <w:tr w:rsidR="00CC492B" w:rsidRPr="000E764C" w14:paraId="3C51CCB7" w14:textId="77777777" w:rsidTr="00CC492B">
        <w:tblPrEx>
          <w:tblBorders>
            <w:bottom w:val="single" w:sz="2" w:space="0" w:color="auto"/>
          </w:tblBorders>
        </w:tblPrEx>
        <w:trPr>
          <w:trHeight w:val="290"/>
        </w:trPr>
        <w:tc>
          <w:tcPr>
            <w:tcW w:w="535" w:type="dxa"/>
          </w:tcPr>
          <w:p w14:paraId="78817191" w14:textId="77777777" w:rsidR="00CC492B" w:rsidRPr="00F67E59" w:rsidRDefault="00CC492B" w:rsidP="00AB780C">
            <w:pPr>
              <w:pStyle w:val="Base"/>
            </w:pPr>
          </w:p>
        </w:tc>
        <w:tc>
          <w:tcPr>
            <w:tcW w:w="715" w:type="dxa"/>
          </w:tcPr>
          <w:p w14:paraId="18EECD6D" w14:textId="77777777" w:rsidR="00CC492B" w:rsidRPr="00F67E59" w:rsidRDefault="00CC492B" w:rsidP="00AB780C">
            <w:pPr>
              <w:pStyle w:val="Base"/>
            </w:pPr>
          </w:p>
        </w:tc>
        <w:tc>
          <w:tcPr>
            <w:tcW w:w="720" w:type="dxa"/>
          </w:tcPr>
          <w:p w14:paraId="1C4B8AEB" w14:textId="77777777" w:rsidR="00CC492B" w:rsidRPr="00F67E59" w:rsidRDefault="00CC492B" w:rsidP="00AB780C">
            <w:pPr>
              <w:pStyle w:val="Base"/>
            </w:pPr>
          </w:p>
        </w:tc>
        <w:tc>
          <w:tcPr>
            <w:tcW w:w="1170" w:type="dxa"/>
          </w:tcPr>
          <w:p w14:paraId="191D1551" w14:textId="77777777" w:rsidR="00CC492B" w:rsidRPr="00F67E59" w:rsidRDefault="00CC492B" w:rsidP="00AB780C">
            <w:pPr>
              <w:pStyle w:val="Base"/>
            </w:pPr>
          </w:p>
        </w:tc>
        <w:tc>
          <w:tcPr>
            <w:tcW w:w="1530" w:type="dxa"/>
          </w:tcPr>
          <w:p w14:paraId="0BC783E5" w14:textId="77777777" w:rsidR="00CC492B" w:rsidRPr="00F67E59" w:rsidRDefault="00CC492B" w:rsidP="00AB780C">
            <w:pPr>
              <w:pStyle w:val="Base"/>
              <w:jc w:val="right"/>
            </w:pPr>
          </w:p>
        </w:tc>
        <w:tc>
          <w:tcPr>
            <w:tcW w:w="270" w:type="dxa"/>
          </w:tcPr>
          <w:p w14:paraId="001B95E7" w14:textId="77777777" w:rsidR="00CC492B" w:rsidRPr="00F67E59" w:rsidRDefault="00CC492B" w:rsidP="00AB780C">
            <w:pPr>
              <w:pStyle w:val="Base"/>
            </w:pPr>
          </w:p>
        </w:tc>
        <w:tc>
          <w:tcPr>
            <w:tcW w:w="4842" w:type="dxa"/>
          </w:tcPr>
          <w:p w14:paraId="3D526AC0" w14:textId="77777777" w:rsidR="00CC492B" w:rsidRPr="00F67E59" w:rsidRDefault="00CC492B" w:rsidP="00AB780C">
            <w:pPr>
              <w:pStyle w:val="Base"/>
            </w:pPr>
          </w:p>
        </w:tc>
        <w:tc>
          <w:tcPr>
            <w:tcW w:w="1005" w:type="dxa"/>
          </w:tcPr>
          <w:p w14:paraId="1DD62B8F" w14:textId="77777777" w:rsidR="00CC492B" w:rsidRPr="00F67E59" w:rsidRDefault="00CC492B" w:rsidP="00AB780C">
            <w:pPr>
              <w:pStyle w:val="Base"/>
            </w:pPr>
          </w:p>
        </w:tc>
      </w:tr>
      <w:tr w:rsidR="00AB780C" w:rsidRPr="000E764C" w14:paraId="17407F9D" w14:textId="77777777" w:rsidTr="00CC492B">
        <w:tblPrEx>
          <w:tblBorders>
            <w:bottom w:val="single" w:sz="2" w:space="0" w:color="auto"/>
          </w:tblBorders>
        </w:tblPrEx>
        <w:trPr>
          <w:trHeight w:val="290"/>
        </w:trPr>
        <w:tc>
          <w:tcPr>
            <w:tcW w:w="535" w:type="dxa"/>
          </w:tcPr>
          <w:p w14:paraId="3A38283F" w14:textId="25AAA5F3" w:rsidR="00AB780C" w:rsidRPr="007E28B2" w:rsidRDefault="00AB780C" w:rsidP="00AB780C">
            <w:pPr>
              <w:pStyle w:val="Base"/>
            </w:pPr>
            <w:r w:rsidRPr="00C77BE9">
              <w:t>19</w:t>
            </w:r>
          </w:p>
        </w:tc>
        <w:tc>
          <w:tcPr>
            <w:tcW w:w="715" w:type="dxa"/>
          </w:tcPr>
          <w:p w14:paraId="176CD0B5" w14:textId="1EAD2037" w:rsidR="00AB780C" w:rsidRPr="007E28B2" w:rsidRDefault="00AB780C" w:rsidP="00AB780C">
            <w:pPr>
              <w:pStyle w:val="Base"/>
            </w:pPr>
            <w:r w:rsidRPr="00C77BE9">
              <w:t>DOJ</w:t>
            </w:r>
          </w:p>
        </w:tc>
        <w:tc>
          <w:tcPr>
            <w:tcW w:w="720" w:type="dxa"/>
          </w:tcPr>
          <w:p w14:paraId="448F5EBC" w14:textId="72B9A127" w:rsidR="00AB780C" w:rsidRPr="007E28B2" w:rsidRDefault="00AB780C" w:rsidP="00AB780C">
            <w:pPr>
              <w:pStyle w:val="Base"/>
            </w:pPr>
            <w:r w:rsidRPr="00C77BE9">
              <w:t>04774</w:t>
            </w:r>
          </w:p>
        </w:tc>
        <w:tc>
          <w:tcPr>
            <w:tcW w:w="1170" w:type="dxa"/>
          </w:tcPr>
          <w:p w14:paraId="4B3227DD" w14:textId="56683C15" w:rsidR="00AB780C" w:rsidRPr="007E28B2" w:rsidRDefault="00AB780C" w:rsidP="00AB780C">
            <w:pPr>
              <w:pStyle w:val="Base"/>
            </w:pPr>
            <w:r w:rsidRPr="00C77BE9">
              <w:t>11/14/2019</w:t>
            </w:r>
          </w:p>
        </w:tc>
        <w:tc>
          <w:tcPr>
            <w:tcW w:w="1530" w:type="dxa"/>
          </w:tcPr>
          <w:p w14:paraId="5E3033C2" w14:textId="77D5CADE" w:rsidR="00AB780C" w:rsidRPr="007E28B2" w:rsidRDefault="00AB780C" w:rsidP="00AB780C">
            <w:pPr>
              <w:pStyle w:val="Base"/>
              <w:jc w:val="right"/>
            </w:pPr>
            <w:r w:rsidRPr="00C77BE9">
              <w:t>Robert Corbett</w:t>
            </w:r>
          </w:p>
        </w:tc>
        <w:tc>
          <w:tcPr>
            <w:tcW w:w="270" w:type="dxa"/>
          </w:tcPr>
          <w:p w14:paraId="7A3E7795" w14:textId="5FD48D4C" w:rsidR="00AB780C" w:rsidRPr="007E28B2" w:rsidRDefault="00AB780C" w:rsidP="00AB780C">
            <w:pPr>
              <w:pStyle w:val="Base"/>
            </w:pPr>
            <w:r w:rsidRPr="00C77BE9">
              <w:t>v.</w:t>
            </w:r>
          </w:p>
        </w:tc>
        <w:tc>
          <w:tcPr>
            <w:tcW w:w="4842" w:type="dxa"/>
          </w:tcPr>
          <w:p w14:paraId="497E94BA" w14:textId="783D971D" w:rsidR="00AB780C" w:rsidRPr="007E28B2" w:rsidRDefault="00AB780C" w:rsidP="00AB780C">
            <w:pPr>
              <w:pStyle w:val="Base"/>
            </w:pPr>
            <w:r w:rsidRPr="00C77BE9">
              <w:t>NC Sheriffs Education and Training Standards Commission</w:t>
            </w:r>
          </w:p>
        </w:tc>
        <w:tc>
          <w:tcPr>
            <w:tcW w:w="1005" w:type="dxa"/>
          </w:tcPr>
          <w:p w14:paraId="181C7851" w14:textId="6DDB3310" w:rsidR="00AB780C" w:rsidRPr="007E28B2" w:rsidRDefault="00AB780C" w:rsidP="00AB780C">
            <w:pPr>
              <w:pStyle w:val="Base"/>
            </w:pPr>
            <w:r w:rsidRPr="00C77BE9">
              <w:t>Jacobs</w:t>
            </w:r>
          </w:p>
        </w:tc>
      </w:tr>
      <w:tr w:rsidR="00AB780C" w:rsidRPr="000E764C" w14:paraId="3B346EC6" w14:textId="77777777" w:rsidTr="00CC492B">
        <w:tblPrEx>
          <w:tblBorders>
            <w:bottom w:val="single" w:sz="2" w:space="0" w:color="auto"/>
          </w:tblBorders>
        </w:tblPrEx>
        <w:trPr>
          <w:trHeight w:val="290"/>
        </w:trPr>
        <w:tc>
          <w:tcPr>
            <w:tcW w:w="535" w:type="dxa"/>
          </w:tcPr>
          <w:p w14:paraId="21E34AD4" w14:textId="77777777" w:rsidR="00AB780C" w:rsidRPr="007E28B2" w:rsidRDefault="00AB780C" w:rsidP="00AB780C">
            <w:pPr>
              <w:pStyle w:val="Base"/>
            </w:pPr>
          </w:p>
        </w:tc>
        <w:tc>
          <w:tcPr>
            <w:tcW w:w="715" w:type="dxa"/>
          </w:tcPr>
          <w:p w14:paraId="27BA71CC" w14:textId="77777777" w:rsidR="00AB780C" w:rsidRPr="007E28B2" w:rsidRDefault="00AB780C" w:rsidP="00AB780C">
            <w:pPr>
              <w:pStyle w:val="Base"/>
            </w:pPr>
          </w:p>
        </w:tc>
        <w:tc>
          <w:tcPr>
            <w:tcW w:w="720" w:type="dxa"/>
          </w:tcPr>
          <w:p w14:paraId="36AC5D3A" w14:textId="77777777" w:rsidR="00AB780C" w:rsidRPr="007E28B2" w:rsidRDefault="00AB780C" w:rsidP="00AB780C">
            <w:pPr>
              <w:pStyle w:val="Base"/>
            </w:pPr>
          </w:p>
        </w:tc>
        <w:tc>
          <w:tcPr>
            <w:tcW w:w="1170" w:type="dxa"/>
          </w:tcPr>
          <w:p w14:paraId="0D8143CE" w14:textId="77777777" w:rsidR="00AB780C" w:rsidRPr="007E28B2" w:rsidRDefault="00AB780C" w:rsidP="00AB780C">
            <w:pPr>
              <w:pStyle w:val="Base"/>
            </w:pPr>
          </w:p>
        </w:tc>
        <w:tc>
          <w:tcPr>
            <w:tcW w:w="1530" w:type="dxa"/>
          </w:tcPr>
          <w:p w14:paraId="3312DF1F" w14:textId="77777777" w:rsidR="00AB780C" w:rsidRPr="007E28B2" w:rsidRDefault="00AB780C" w:rsidP="00AB780C">
            <w:pPr>
              <w:pStyle w:val="Base"/>
              <w:jc w:val="right"/>
            </w:pPr>
          </w:p>
        </w:tc>
        <w:tc>
          <w:tcPr>
            <w:tcW w:w="270" w:type="dxa"/>
          </w:tcPr>
          <w:p w14:paraId="76068552" w14:textId="77777777" w:rsidR="00AB780C" w:rsidRPr="007E28B2" w:rsidRDefault="00AB780C" w:rsidP="00AB780C">
            <w:pPr>
              <w:pStyle w:val="Base"/>
            </w:pPr>
          </w:p>
        </w:tc>
        <w:tc>
          <w:tcPr>
            <w:tcW w:w="4842" w:type="dxa"/>
          </w:tcPr>
          <w:p w14:paraId="73358B8E" w14:textId="77777777" w:rsidR="00AB780C" w:rsidRPr="007E28B2" w:rsidRDefault="00AB780C" w:rsidP="00AB780C">
            <w:pPr>
              <w:pStyle w:val="Base"/>
            </w:pPr>
          </w:p>
        </w:tc>
        <w:tc>
          <w:tcPr>
            <w:tcW w:w="1005" w:type="dxa"/>
          </w:tcPr>
          <w:p w14:paraId="6837AEA9" w14:textId="77777777" w:rsidR="00AB780C" w:rsidRPr="007E28B2" w:rsidRDefault="00AB780C" w:rsidP="00AB780C">
            <w:pPr>
              <w:pStyle w:val="Base"/>
            </w:pPr>
          </w:p>
        </w:tc>
      </w:tr>
      <w:tr w:rsidR="00AB780C" w:rsidRPr="000E764C" w14:paraId="2C238A69" w14:textId="77777777" w:rsidTr="00CC492B">
        <w:tblPrEx>
          <w:tblBorders>
            <w:bottom w:val="single" w:sz="2" w:space="0" w:color="auto"/>
          </w:tblBorders>
        </w:tblPrEx>
        <w:trPr>
          <w:trHeight w:val="290"/>
        </w:trPr>
        <w:tc>
          <w:tcPr>
            <w:tcW w:w="535" w:type="dxa"/>
          </w:tcPr>
          <w:p w14:paraId="44F2784E" w14:textId="0D42CCA6" w:rsidR="00AB780C" w:rsidRPr="007E28B2" w:rsidRDefault="00AB780C" w:rsidP="00AB780C">
            <w:pPr>
              <w:pStyle w:val="Base"/>
            </w:pPr>
            <w:r w:rsidRPr="00C77BE9">
              <w:t>19</w:t>
            </w:r>
          </w:p>
        </w:tc>
        <w:tc>
          <w:tcPr>
            <w:tcW w:w="715" w:type="dxa"/>
          </w:tcPr>
          <w:p w14:paraId="24FE2D91" w14:textId="56B1BC11" w:rsidR="00AB780C" w:rsidRPr="007E28B2" w:rsidRDefault="00AB780C" w:rsidP="00AB780C">
            <w:pPr>
              <w:pStyle w:val="Base"/>
            </w:pPr>
            <w:r w:rsidRPr="00C77BE9">
              <w:t>EHR</w:t>
            </w:r>
          </w:p>
        </w:tc>
        <w:tc>
          <w:tcPr>
            <w:tcW w:w="720" w:type="dxa"/>
          </w:tcPr>
          <w:p w14:paraId="4626D65D" w14:textId="7B88C81E" w:rsidR="00AB780C" w:rsidRPr="007E28B2" w:rsidRDefault="00AB780C" w:rsidP="00AB780C">
            <w:pPr>
              <w:pStyle w:val="Base"/>
            </w:pPr>
            <w:r w:rsidRPr="00C77BE9">
              <w:t>05250</w:t>
            </w:r>
          </w:p>
        </w:tc>
        <w:tc>
          <w:tcPr>
            <w:tcW w:w="1170" w:type="dxa"/>
          </w:tcPr>
          <w:p w14:paraId="5AFA7A96" w14:textId="49720EF9" w:rsidR="00AB780C" w:rsidRPr="007E28B2" w:rsidRDefault="00AB780C" w:rsidP="00AB780C">
            <w:pPr>
              <w:pStyle w:val="Base"/>
            </w:pPr>
            <w:r w:rsidRPr="00C77BE9">
              <w:t>11/15/2019</w:t>
            </w:r>
          </w:p>
        </w:tc>
        <w:tc>
          <w:tcPr>
            <w:tcW w:w="1530" w:type="dxa"/>
          </w:tcPr>
          <w:p w14:paraId="563DAD4C" w14:textId="37B54BD6" w:rsidR="00AB780C" w:rsidRPr="007E28B2" w:rsidRDefault="00AB780C" w:rsidP="00AB780C">
            <w:pPr>
              <w:pStyle w:val="Base"/>
              <w:jc w:val="right"/>
            </w:pPr>
            <w:r w:rsidRPr="00C77BE9">
              <w:t>Duke Engery Carolina LLC and Duke Energy Progress LLC</w:t>
            </w:r>
          </w:p>
        </w:tc>
        <w:tc>
          <w:tcPr>
            <w:tcW w:w="270" w:type="dxa"/>
          </w:tcPr>
          <w:p w14:paraId="172E3087" w14:textId="412B215E" w:rsidR="00AB780C" w:rsidRPr="007E28B2" w:rsidRDefault="00AB780C" w:rsidP="00AB780C">
            <w:pPr>
              <w:pStyle w:val="Base"/>
            </w:pPr>
            <w:r w:rsidRPr="00C77BE9">
              <w:t>v.</w:t>
            </w:r>
          </w:p>
        </w:tc>
        <w:tc>
          <w:tcPr>
            <w:tcW w:w="4842" w:type="dxa"/>
          </w:tcPr>
          <w:p w14:paraId="62085E71" w14:textId="2EABD7B6" w:rsidR="00AB780C" w:rsidRPr="007E28B2" w:rsidRDefault="00AB780C" w:rsidP="00AB780C">
            <w:pPr>
              <w:pStyle w:val="Base"/>
            </w:pPr>
            <w:r w:rsidRPr="00C77BE9">
              <w:t>State of North Carolina ex rel North Carolina Department of Environmental Quality</w:t>
            </w:r>
          </w:p>
        </w:tc>
        <w:tc>
          <w:tcPr>
            <w:tcW w:w="1005" w:type="dxa"/>
          </w:tcPr>
          <w:p w14:paraId="761C061D" w14:textId="117F1C50" w:rsidR="00AB780C" w:rsidRPr="007E28B2" w:rsidRDefault="00AB780C" w:rsidP="00AB780C">
            <w:pPr>
              <w:pStyle w:val="Base"/>
            </w:pPr>
            <w:r w:rsidRPr="00C77BE9">
              <w:t>Malherbe</w:t>
            </w:r>
          </w:p>
        </w:tc>
      </w:tr>
      <w:tr w:rsidR="00AB780C" w:rsidRPr="000E764C" w14:paraId="1D687A42" w14:textId="77777777" w:rsidTr="00CC492B">
        <w:tblPrEx>
          <w:tblBorders>
            <w:bottom w:val="single" w:sz="2" w:space="0" w:color="auto"/>
          </w:tblBorders>
        </w:tblPrEx>
        <w:trPr>
          <w:trHeight w:val="290"/>
        </w:trPr>
        <w:tc>
          <w:tcPr>
            <w:tcW w:w="535" w:type="dxa"/>
          </w:tcPr>
          <w:p w14:paraId="6A81ABFE" w14:textId="77777777" w:rsidR="00AB780C" w:rsidRPr="007E28B2" w:rsidRDefault="00AB780C" w:rsidP="00AB780C">
            <w:pPr>
              <w:pStyle w:val="Base"/>
            </w:pPr>
          </w:p>
        </w:tc>
        <w:tc>
          <w:tcPr>
            <w:tcW w:w="715" w:type="dxa"/>
          </w:tcPr>
          <w:p w14:paraId="0BB024EA" w14:textId="77777777" w:rsidR="00AB780C" w:rsidRPr="007E28B2" w:rsidRDefault="00AB780C" w:rsidP="00AB780C">
            <w:pPr>
              <w:pStyle w:val="Base"/>
            </w:pPr>
          </w:p>
        </w:tc>
        <w:tc>
          <w:tcPr>
            <w:tcW w:w="720" w:type="dxa"/>
          </w:tcPr>
          <w:p w14:paraId="7F84DF39" w14:textId="77777777" w:rsidR="00AB780C" w:rsidRPr="007E28B2" w:rsidRDefault="00AB780C" w:rsidP="00AB780C">
            <w:pPr>
              <w:pStyle w:val="Base"/>
            </w:pPr>
          </w:p>
        </w:tc>
        <w:tc>
          <w:tcPr>
            <w:tcW w:w="1170" w:type="dxa"/>
          </w:tcPr>
          <w:p w14:paraId="27749315" w14:textId="77777777" w:rsidR="00AB780C" w:rsidRPr="007E28B2" w:rsidRDefault="00AB780C" w:rsidP="00AB780C">
            <w:pPr>
              <w:pStyle w:val="Base"/>
            </w:pPr>
          </w:p>
        </w:tc>
        <w:tc>
          <w:tcPr>
            <w:tcW w:w="1530" w:type="dxa"/>
          </w:tcPr>
          <w:p w14:paraId="3E3B4C65" w14:textId="77777777" w:rsidR="00AB780C" w:rsidRPr="007E28B2" w:rsidRDefault="00AB780C" w:rsidP="00AB780C">
            <w:pPr>
              <w:pStyle w:val="Base"/>
              <w:jc w:val="right"/>
            </w:pPr>
          </w:p>
        </w:tc>
        <w:tc>
          <w:tcPr>
            <w:tcW w:w="270" w:type="dxa"/>
          </w:tcPr>
          <w:p w14:paraId="03EE8846" w14:textId="77777777" w:rsidR="00AB780C" w:rsidRPr="007E28B2" w:rsidRDefault="00AB780C" w:rsidP="00AB780C">
            <w:pPr>
              <w:pStyle w:val="Base"/>
            </w:pPr>
          </w:p>
        </w:tc>
        <w:tc>
          <w:tcPr>
            <w:tcW w:w="4842" w:type="dxa"/>
          </w:tcPr>
          <w:p w14:paraId="70EEA724" w14:textId="77777777" w:rsidR="00AB780C" w:rsidRPr="007E28B2" w:rsidRDefault="00AB780C" w:rsidP="00AB780C">
            <w:pPr>
              <w:pStyle w:val="Base"/>
            </w:pPr>
          </w:p>
        </w:tc>
        <w:tc>
          <w:tcPr>
            <w:tcW w:w="1005" w:type="dxa"/>
          </w:tcPr>
          <w:p w14:paraId="0E8EF562" w14:textId="77777777" w:rsidR="00AB780C" w:rsidRPr="007E28B2" w:rsidRDefault="00AB780C" w:rsidP="00AB780C">
            <w:pPr>
              <w:pStyle w:val="Base"/>
            </w:pPr>
          </w:p>
        </w:tc>
      </w:tr>
      <w:tr w:rsidR="00AB780C" w:rsidRPr="000E764C" w14:paraId="28ECDB63" w14:textId="77777777" w:rsidTr="00CC492B">
        <w:tblPrEx>
          <w:tblBorders>
            <w:bottom w:val="single" w:sz="2" w:space="0" w:color="auto"/>
          </w:tblBorders>
        </w:tblPrEx>
        <w:trPr>
          <w:trHeight w:val="290"/>
        </w:trPr>
        <w:tc>
          <w:tcPr>
            <w:tcW w:w="535" w:type="dxa"/>
          </w:tcPr>
          <w:p w14:paraId="4B837F2A" w14:textId="546DEF92" w:rsidR="00AB780C" w:rsidRPr="007E28B2" w:rsidRDefault="00AB780C" w:rsidP="00AB780C">
            <w:pPr>
              <w:pStyle w:val="Base"/>
            </w:pPr>
            <w:r w:rsidRPr="00C77BE9">
              <w:t>19</w:t>
            </w:r>
          </w:p>
        </w:tc>
        <w:tc>
          <w:tcPr>
            <w:tcW w:w="715" w:type="dxa"/>
          </w:tcPr>
          <w:p w14:paraId="0EB253DD" w14:textId="188C8AF5" w:rsidR="00AB780C" w:rsidRPr="007E28B2" w:rsidRDefault="00AB780C" w:rsidP="00AB780C">
            <w:pPr>
              <w:pStyle w:val="Base"/>
            </w:pPr>
            <w:r w:rsidRPr="00C77BE9">
              <w:t>INS</w:t>
            </w:r>
          </w:p>
        </w:tc>
        <w:tc>
          <w:tcPr>
            <w:tcW w:w="720" w:type="dxa"/>
          </w:tcPr>
          <w:p w14:paraId="6A480473" w14:textId="62BBA774" w:rsidR="00AB780C" w:rsidRPr="007E28B2" w:rsidRDefault="00AB780C" w:rsidP="00AB780C">
            <w:pPr>
              <w:pStyle w:val="Base"/>
            </w:pPr>
            <w:r w:rsidRPr="00C77BE9">
              <w:t>05139</w:t>
            </w:r>
          </w:p>
        </w:tc>
        <w:tc>
          <w:tcPr>
            <w:tcW w:w="1170" w:type="dxa"/>
          </w:tcPr>
          <w:p w14:paraId="67DF8E56" w14:textId="5413EDCC" w:rsidR="00AB780C" w:rsidRPr="007E28B2" w:rsidRDefault="00AB780C" w:rsidP="00AB780C">
            <w:pPr>
              <w:pStyle w:val="Base"/>
            </w:pPr>
            <w:r w:rsidRPr="00C77BE9">
              <w:t>11/19/2019</w:t>
            </w:r>
          </w:p>
        </w:tc>
        <w:tc>
          <w:tcPr>
            <w:tcW w:w="1530" w:type="dxa"/>
          </w:tcPr>
          <w:p w14:paraId="06645BED" w14:textId="1B969117" w:rsidR="00AB780C" w:rsidRPr="007E28B2" w:rsidRDefault="00AB780C" w:rsidP="00AB780C">
            <w:pPr>
              <w:pStyle w:val="Base"/>
              <w:jc w:val="right"/>
            </w:pPr>
            <w:r w:rsidRPr="00C77BE9">
              <w:t>Bayada Home Health Care</w:t>
            </w:r>
          </w:p>
        </w:tc>
        <w:tc>
          <w:tcPr>
            <w:tcW w:w="270" w:type="dxa"/>
          </w:tcPr>
          <w:p w14:paraId="53274F0A" w14:textId="7A48DAFF" w:rsidR="00AB780C" w:rsidRPr="007E28B2" w:rsidRDefault="00AB780C" w:rsidP="00AB780C">
            <w:pPr>
              <w:pStyle w:val="Base"/>
            </w:pPr>
            <w:r w:rsidRPr="00C77BE9">
              <w:t>v.</w:t>
            </w:r>
          </w:p>
        </w:tc>
        <w:tc>
          <w:tcPr>
            <w:tcW w:w="4842" w:type="dxa"/>
          </w:tcPr>
          <w:p w14:paraId="26101876" w14:textId="580658F4" w:rsidR="00AB780C" w:rsidRPr="007E28B2" w:rsidRDefault="00AB780C" w:rsidP="00AB780C">
            <w:pPr>
              <w:pStyle w:val="Base"/>
            </w:pPr>
            <w:r w:rsidRPr="00C77BE9">
              <w:t>North Carolina State Health Plan</w:t>
            </w:r>
          </w:p>
        </w:tc>
        <w:tc>
          <w:tcPr>
            <w:tcW w:w="1005" w:type="dxa"/>
          </w:tcPr>
          <w:p w14:paraId="52873AF0" w14:textId="068F6D46" w:rsidR="00AB780C" w:rsidRPr="007E28B2" w:rsidRDefault="00AB780C" w:rsidP="00AB780C">
            <w:pPr>
              <w:pStyle w:val="Base"/>
            </w:pPr>
            <w:r w:rsidRPr="00C77BE9">
              <w:t>Malherbe</w:t>
            </w:r>
          </w:p>
        </w:tc>
      </w:tr>
      <w:tr w:rsidR="00AB780C" w:rsidRPr="000E764C" w14:paraId="1BA4AE2E" w14:textId="77777777" w:rsidTr="00CC492B">
        <w:tblPrEx>
          <w:tblBorders>
            <w:bottom w:val="single" w:sz="2" w:space="0" w:color="auto"/>
          </w:tblBorders>
        </w:tblPrEx>
        <w:trPr>
          <w:trHeight w:val="290"/>
        </w:trPr>
        <w:tc>
          <w:tcPr>
            <w:tcW w:w="535" w:type="dxa"/>
          </w:tcPr>
          <w:p w14:paraId="21A92269" w14:textId="77777777" w:rsidR="00AB780C" w:rsidRPr="007E28B2" w:rsidRDefault="00AB780C" w:rsidP="00AB780C">
            <w:pPr>
              <w:pStyle w:val="Base"/>
            </w:pPr>
          </w:p>
        </w:tc>
        <w:tc>
          <w:tcPr>
            <w:tcW w:w="715" w:type="dxa"/>
          </w:tcPr>
          <w:p w14:paraId="7099C785" w14:textId="77777777" w:rsidR="00AB780C" w:rsidRPr="007E28B2" w:rsidRDefault="00AB780C" w:rsidP="00AB780C">
            <w:pPr>
              <w:pStyle w:val="Base"/>
            </w:pPr>
          </w:p>
        </w:tc>
        <w:tc>
          <w:tcPr>
            <w:tcW w:w="720" w:type="dxa"/>
          </w:tcPr>
          <w:p w14:paraId="56882E0E" w14:textId="77777777" w:rsidR="00AB780C" w:rsidRPr="007E28B2" w:rsidRDefault="00AB780C" w:rsidP="00AB780C">
            <w:pPr>
              <w:pStyle w:val="Base"/>
            </w:pPr>
          </w:p>
        </w:tc>
        <w:tc>
          <w:tcPr>
            <w:tcW w:w="1170" w:type="dxa"/>
          </w:tcPr>
          <w:p w14:paraId="415BA8ED" w14:textId="77777777" w:rsidR="00AB780C" w:rsidRPr="007E28B2" w:rsidRDefault="00AB780C" w:rsidP="00AB780C">
            <w:pPr>
              <w:pStyle w:val="Base"/>
            </w:pPr>
          </w:p>
        </w:tc>
        <w:tc>
          <w:tcPr>
            <w:tcW w:w="1530" w:type="dxa"/>
          </w:tcPr>
          <w:p w14:paraId="746C5DC4" w14:textId="77777777" w:rsidR="00AB780C" w:rsidRPr="007E28B2" w:rsidRDefault="00AB780C" w:rsidP="00AB780C">
            <w:pPr>
              <w:pStyle w:val="Base"/>
              <w:jc w:val="right"/>
            </w:pPr>
          </w:p>
        </w:tc>
        <w:tc>
          <w:tcPr>
            <w:tcW w:w="270" w:type="dxa"/>
          </w:tcPr>
          <w:p w14:paraId="7C5627F4" w14:textId="77777777" w:rsidR="00AB780C" w:rsidRPr="007E28B2" w:rsidRDefault="00AB780C" w:rsidP="00AB780C">
            <w:pPr>
              <w:pStyle w:val="Base"/>
            </w:pPr>
          </w:p>
        </w:tc>
        <w:tc>
          <w:tcPr>
            <w:tcW w:w="4842" w:type="dxa"/>
          </w:tcPr>
          <w:p w14:paraId="1047B04F" w14:textId="77777777" w:rsidR="00AB780C" w:rsidRPr="007E28B2" w:rsidRDefault="00AB780C" w:rsidP="00AB780C">
            <w:pPr>
              <w:pStyle w:val="Base"/>
            </w:pPr>
          </w:p>
        </w:tc>
        <w:tc>
          <w:tcPr>
            <w:tcW w:w="1005" w:type="dxa"/>
          </w:tcPr>
          <w:p w14:paraId="29437322" w14:textId="77777777" w:rsidR="00AB780C" w:rsidRPr="007E28B2" w:rsidRDefault="00AB780C" w:rsidP="00AB780C">
            <w:pPr>
              <w:pStyle w:val="Base"/>
            </w:pPr>
          </w:p>
        </w:tc>
      </w:tr>
      <w:tr w:rsidR="00AB780C" w:rsidRPr="000E764C" w14:paraId="484C3B1F" w14:textId="77777777" w:rsidTr="00CC492B">
        <w:tblPrEx>
          <w:tblBorders>
            <w:bottom w:val="single" w:sz="2" w:space="0" w:color="auto"/>
          </w:tblBorders>
        </w:tblPrEx>
        <w:trPr>
          <w:trHeight w:val="290"/>
        </w:trPr>
        <w:tc>
          <w:tcPr>
            <w:tcW w:w="535" w:type="dxa"/>
          </w:tcPr>
          <w:p w14:paraId="0EC3C0E8" w14:textId="475FC7BB" w:rsidR="00AB780C" w:rsidRPr="007E28B2" w:rsidRDefault="00AB780C" w:rsidP="00AB780C">
            <w:pPr>
              <w:pStyle w:val="Base"/>
            </w:pPr>
            <w:r w:rsidRPr="00C77BE9">
              <w:t>19</w:t>
            </w:r>
          </w:p>
        </w:tc>
        <w:tc>
          <w:tcPr>
            <w:tcW w:w="715" w:type="dxa"/>
          </w:tcPr>
          <w:p w14:paraId="06CC495E" w14:textId="407E3EB4" w:rsidR="00AB780C" w:rsidRPr="007E28B2" w:rsidRDefault="00AB780C" w:rsidP="00AB780C">
            <w:pPr>
              <w:pStyle w:val="Base"/>
            </w:pPr>
            <w:r w:rsidRPr="00C77BE9">
              <w:t>OAH</w:t>
            </w:r>
          </w:p>
        </w:tc>
        <w:tc>
          <w:tcPr>
            <w:tcW w:w="720" w:type="dxa"/>
          </w:tcPr>
          <w:p w14:paraId="662760C1" w14:textId="46385D33" w:rsidR="00AB780C" w:rsidRPr="007E28B2" w:rsidRDefault="00AB780C" w:rsidP="00AB780C">
            <w:pPr>
              <w:pStyle w:val="Base"/>
            </w:pPr>
            <w:r w:rsidRPr="00C77BE9">
              <w:t>04846</w:t>
            </w:r>
          </w:p>
        </w:tc>
        <w:tc>
          <w:tcPr>
            <w:tcW w:w="1170" w:type="dxa"/>
          </w:tcPr>
          <w:p w14:paraId="0FB7C281" w14:textId="7B5C573F" w:rsidR="00AB780C" w:rsidRPr="007E28B2" w:rsidRDefault="00AB780C" w:rsidP="00AB780C">
            <w:pPr>
              <w:pStyle w:val="Base"/>
            </w:pPr>
            <w:r w:rsidRPr="00C77BE9">
              <w:t>11/14/2019</w:t>
            </w:r>
          </w:p>
        </w:tc>
        <w:tc>
          <w:tcPr>
            <w:tcW w:w="1530" w:type="dxa"/>
          </w:tcPr>
          <w:p w14:paraId="17AD820B" w14:textId="208C1768" w:rsidR="00AB780C" w:rsidRPr="007E28B2" w:rsidRDefault="00AB780C" w:rsidP="00AB780C">
            <w:pPr>
              <w:pStyle w:val="Base"/>
              <w:jc w:val="right"/>
            </w:pPr>
            <w:r w:rsidRPr="00C77BE9">
              <w:t>Gidget Renee Higgins</w:t>
            </w:r>
          </w:p>
        </w:tc>
        <w:tc>
          <w:tcPr>
            <w:tcW w:w="270" w:type="dxa"/>
          </w:tcPr>
          <w:p w14:paraId="766295CB" w14:textId="396AACA6" w:rsidR="00AB780C" w:rsidRPr="007E28B2" w:rsidRDefault="00AB780C" w:rsidP="00AB780C">
            <w:pPr>
              <w:pStyle w:val="Base"/>
            </w:pPr>
            <w:r w:rsidRPr="00C77BE9">
              <w:t>v.</w:t>
            </w:r>
          </w:p>
        </w:tc>
        <w:tc>
          <w:tcPr>
            <w:tcW w:w="4842" w:type="dxa"/>
          </w:tcPr>
          <w:p w14:paraId="3F19769F" w14:textId="4C6E3B2A" w:rsidR="00AB780C" w:rsidRPr="007E28B2" w:rsidRDefault="00AB780C" w:rsidP="00AB780C">
            <w:pPr>
              <w:pStyle w:val="Base"/>
            </w:pPr>
            <w:r w:rsidRPr="00C77BE9">
              <w:t>NC Office of Administrative Hearings</w:t>
            </w:r>
          </w:p>
        </w:tc>
        <w:tc>
          <w:tcPr>
            <w:tcW w:w="1005" w:type="dxa"/>
          </w:tcPr>
          <w:p w14:paraId="4EE87E90" w14:textId="3BE09273" w:rsidR="00AB780C" w:rsidRPr="007E28B2" w:rsidRDefault="00AB780C" w:rsidP="00AB780C">
            <w:pPr>
              <w:pStyle w:val="Base"/>
            </w:pPr>
            <w:r w:rsidRPr="00C77BE9">
              <w:t>Jacobs</w:t>
            </w:r>
          </w:p>
        </w:tc>
      </w:tr>
      <w:tr w:rsidR="00AB780C" w:rsidRPr="000E764C" w14:paraId="4E5D8C22" w14:textId="77777777" w:rsidTr="00CC492B">
        <w:tblPrEx>
          <w:tblBorders>
            <w:bottom w:val="single" w:sz="2" w:space="0" w:color="auto"/>
          </w:tblBorders>
        </w:tblPrEx>
        <w:trPr>
          <w:trHeight w:val="290"/>
        </w:trPr>
        <w:tc>
          <w:tcPr>
            <w:tcW w:w="535" w:type="dxa"/>
          </w:tcPr>
          <w:p w14:paraId="2F84E1D0" w14:textId="77777777" w:rsidR="00AB780C" w:rsidRPr="007E28B2" w:rsidRDefault="00AB780C" w:rsidP="00AB780C">
            <w:pPr>
              <w:pStyle w:val="Base"/>
            </w:pPr>
          </w:p>
        </w:tc>
        <w:tc>
          <w:tcPr>
            <w:tcW w:w="715" w:type="dxa"/>
          </w:tcPr>
          <w:p w14:paraId="17D7C254" w14:textId="77777777" w:rsidR="00AB780C" w:rsidRPr="007E28B2" w:rsidRDefault="00AB780C" w:rsidP="00AB780C">
            <w:pPr>
              <w:pStyle w:val="Base"/>
            </w:pPr>
          </w:p>
        </w:tc>
        <w:tc>
          <w:tcPr>
            <w:tcW w:w="720" w:type="dxa"/>
          </w:tcPr>
          <w:p w14:paraId="4B46DB38" w14:textId="77777777" w:rsidR="00AB780C" w:rsidRPr="007E28B2" w:rsidRDefault="00AB780C" w:rsidP="00AB780C">
            <w:pPr>
              <w:pStyle w:val="Base"/>
            </w:pPr>
          </w:p>
        </w:tc>
        <w:tc>
          <w:tcPr>
            <w:tcW w:w="1170" w:type="dxa"/>
          </w:tcPr>
          <w:p w14:paraId="7854D0DA" w14:textId="77777777" w:rsidR="00AB780C" w:rsidRPr="007E28B2" w:rsidRDefault="00AB780C" w:rsidP="00AB780C">
            <w:pPr>
              <w:pStyle w:val="Base"/>
            </w:pPr>
          </w:p>
        </w:tc>
        <w:tc>
          <w:tcPr>
            <w:tcW w:w="1530" w:type="dxa"/>
          </w:tcPr>
          <w:p w14:paraId="68DD2F68" w14:textId="77777777" w:rsidR="00AB780C" w:rsidRPr="007E28B2" w:rsidRDefault="00AB780C" w:rsidP="00AB780C">
            <w:pPr>
              <w:pStyle w:val="Base"/>
              <w:jc w:val="right"/>
            </w:pPr>
          </w:p>
        </w:tc>
        <w:tc>
          <w:tcPr>
            <w:tcW w:w="270" w:type="dxa"/>
          </w:tcPr>
          <w:p w14:paraId="08709E7F" w14:textId="77777777" w:rsidR="00AB780C" w:rsidRPr="007E28B2" w:rsidRDefault="00AB780C" w:rsidP="00AB780C">
            <w:pPr>
              <w:pStyle w:val="Base"/>
            </w:pPr>
          </w:p>
        </w:tc>
        <w:tc>
          <w:tcPr>
            <w:tcW w:w="4842" w:type="dxa"/>
          </w:tcPr>
          <w:p w14:paraId="637D2F53" w14:textId="77777777" w:rsidR="00AB780C" w:rsidRPr="007E28B2" w:rsidRDefault="00AB780C" w:rsidP="00AB780C">
            <w:pPr>
              <w:pStyle w:val="Base"/>
            </w:pPr>
          </w:p>
        </w:tc>
        <w:tc>
          <w:tcPr>
            <w:tcW w:w="1005" w:type="dxa"/>
          </w:tcPr>
          <w:p w14:paraId="548D5E0A" w14:textId="77777777" w:rsidR="00AB780C" w:rsidRPr="007E28B2" w:rsidRDefault="00AB780C" w:rsidP="00AB780C">
            <w:pPr>
              <w:pStyle w:val="Base"/>
            </w:pPr>
          </w:p>
        </w:tc>
      </w:tr>
      <w:tr w:rsidR="00AB780C" w:rsidRPr="000E764C" w14:paraId="6AF63193" w14:textId="77777777" w:rsidTr="00CC492B">
        <w:tblPrEx>
          <w:tblBorders>
            <w:bottom w:val="single" w:sz="2" w:space="0" w:color="auto"/>
          </w:tblBorders>
        </w:tblPrEx>
        <w:trPr>
          <w:trHeight w:val="290"/>
        </w:trPr>
        <w:tc>
          <w:tcPr>
            <w:tcW w:w="535" w:type="dxa"/>
          </w:tcPr>
          <w:p w14:paraId="1DABE76A" w14:textId="315F179A" w:rsidR="00AB780C" w:rsidRPr="007E28B2" w:rsidRDefault="00AB780C" w:rsidP="00AB780C">
            <w:pPr>
              <w:pStyle w:val="Base"/>
            </w:pPr>
            <w:r w:rsidRPr="00C77BE9">
              <w:t>19</w:t>
            </w:r>
          </w:p>
        </w:tc>
        <w:tc>
          <w:tcPr>
            <w:tcW w:w="715" w:type="dxa"/>
          </w:tcPr>
          <w:p w14:paraId="66D98A59" w14:textId="28192FE9" w:rsidR="00AB780C" w:rsidRPr="007E28B2" w:rsidRDefault="00AB780C" w:rsidP="00AB780C">
            <w:pPr>
              <w:pStyle w:val="Base"/>
            </w:pPr>
            <w:r w:rsidRPr="00C77BE9">
              <w:t>OSP</w:t>
            </w:r>
          </w:p>
        </w:tc>
        <w:tc>
          <w:tcPr>
            <w:tcW w:w="720" w:type="dxa"/>
          </w:tcPr>
          <w:p w14:paraId="429D650E" w14:textId="694FC3A0" w:rsidR="00AB780C" w:rsidRPr="007E28B2" w:rsidRDefault="00AB780C" w:rsidP="00AB780C">
            <w:pPr>
              <w:pStyle w:val="Base"/>
            </w:pPr>
            <w:r w:rsidRPr="00C77BE9">
              <w:t>04629</w:t>
            </w:r>
          </w:p>
        </w:tc>
        <w:tc>
          <w:tcPr>
            <w:tcW w:w="1170" w:type="dxa"/>
          </w:tcPr>
          <w:p w14:paraId="2B3A9311" w14:textId="3410C3FE" w:rsidR="00AB780C" w:rsidRPr="007E28B2" w:rsidRDefault="00AB780C" w:rsidP="00AB780C">
            <w:pPr>
              <w:pStyle w:val="Base"/>
            </w:pPr>
            <w:r w:rsidRPr="00C77BE9">
              <w:t>11/21/2019</w:t>
            </w:r>
          </w:p>
        </w:tc>
        <w:tc>
          <w:tcPr>
            <w:tcW w:w="1530" w:type="dxa"/>
          </w:tcPr>
          <w:p w14:paraId="0128C9DF" w14:textId="023BAC36" w:rsidR="00AB780C" w:rsidRPr="007E28B2" w:rsidRDefault="00AB780C" w:rsidP="00AB780C">
            <w:pPr>
              <w:pStyle w:val="Base"/>
              <w:jc w:val="right"/>
            </w:pPr>
            <w:r w:rsidRPr="00C77BE9">
              <w:t>Laketha S Southern</w:t>
            </w:r>
          </w:p>
        </w:tc>
        <w:tc>
          <w:tcPr>
            <w:tcW w:w="270" w:type="dxa"/>
          </w:tcPr>
          <w:p w14:paraId="14D5298F" w14:textId="464A4B4A" w:rsidR="00AB780C" w:rsidRPr="007E28B2" w:rsidRDefault="00AB780C" w:rsidP="00AB780C">
            <w:pPr>
              <w:pStyle w:val="Base"/>
            </w:pPr>
            <w:r w:rsidRPr="00C77BE9">
              <w:t>v.</w:t>
            </w:r>
          </w:p>
        </w:tc>
        <w:tc>
          <w:tcPr>
            <w:tcW w:w="4842" w:type="dxa"/>
          </w:tcPr>
          <w:p w14:paraId="50A8199B" w14:textId="2B372E27" w:rsidR="00AB780C" w:rsidRPr="007E28B2" w:rsidRDefault="00AB780C" w:rsidP="00AB780C">
            <w:pPr>
              <w:pStyle w:val="Base"/>
            </w:pPr>
            <w:r w:rsidRPr="00C77BE9">
              <w:t>Robeson County Department of Social Services</w:t>
            </w:r>
          </w:p>
        </w:tc>
        <w:tc>
          <w:tcPr>
            <w:tcW w:w="1005" w:type="dxa"/>
          </w:tcPr>
          <w:p w14:paraId="5BEB3FAA" w14:textId="7EF25798" w:rsidR="00AB780C" w:rsidRPr="007E28B2" w:rsidRDefault="00AB780C" w:rsidP="00AB780C">
            <w:pPr>
              <w:pStyle w:val="Base"/>
            </w:pPr>
            <w:r w:rsidRPr="00C77BE9">
              <w:t>Overby</w:t>
            </w:r>
          </w:p>
        </w:tc>
      </w:tr>
    </w:tbl>
    <w:p w14:paraId="6B5916E8" w14:textId="77777777" w:rsidR="004E667C" w:rsidRDefault="004E667C" w:rsidP="004E667C">
      <w:pPr>
        <w:pStyle w:val="Base"/>
      </w:pPr>
    </w:p>
    <w:p w14:paraId="5F598AD9" w14:textId="77777777" w:rsidR="00D52FD0" w:rsidRDefault="00D52FD0" w:rsidP="00D52FD0">
      <w:pPr>
        <w:pStyle w:val="Base"/>
      </w:pPr>
    </w:p>
    <w:p w14:paraId="09307EBA"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D52FD0">
      <w:pPr>
        <w:pStyle w:val="Base"/>
      </w:pPr>
    </w:p>
    <w:sectPr w:rsidR="00D52FD0" w:rsidSect="00D52FD0">
      <w:footerReference w:type="first" r:id="rId2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79DA" w14:textId="77777777" w:rsidR="001D2CEB" w:rsidRDefault="001D2CEB" w:rsidP="007B698D">
      <w:r>
        <w:separator/>
      </w:r>
    </w:p>
  </w:endnote>
  <w:endnote w:type="continuationSeparator" w:id="0">
    <w:p w14:paraId="0A944B3A" w14:textId="77777777" w:rsidR="001D2CEB" w:rsidRDefault="001D2CEB"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425A" w14:textId="77777777" w:rsidR="00A17BD3" w:rsidRDefault="00A17B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8D15" w14:textId="77A360E3" w:rsidR="001D2CEB" w:rsidRDefault="001D2CEB" w:rsidP="007B698D">
    <w:r>
      <w:fldChar w:fldCharType="begin"/>
    </w:r>
    <w:r>
      <w:fldChar w:fldCharType="begin"/>
    </w:r>
    <w:r>
      <w:instrText>NUMPAGES</w:instrText>
    </w:r>
    <w:r>
      <w:fldChar w:fldCharType="separate"/>
    </w:r>
    <w:r w:rsidR="005B0D62">
      <w:rPr>
        <w:noProof/>
      </w:rPr>
      <w:instrText>91</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A7B0" w14:textId="77777777" w:rsidR="00A17BD3" w:rsidRDefault="00A17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566A" w14:textId="77777777" w:rsidR="00A17BD3" w:rsidRDefault="00A17B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10BE" w14:textId="77777777" w:rsidR="001D2CEB" w:rsidRPr="005A121E" w:rsidRDefault="001D2CEB"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7113" w14:textId="77777777" w:rsidR="001D2CEB" w:rsidRPr="00F61BB9" w:rsidRDefault="001D2CEB" w:rsidP="006978AE">
    <w:pPr>
      <w:tabs>
        <w:tab w:val="center" w:pos="4320"/>
        <w:tab w:val="right" w:pos="8640"/>
        <w:tab w:val="left" w:pos="10386"/>
        <w:tab w:val="left" w:pos="10602"/>
      </w:tabs>
      <w:rPr>
        <w:kern w:val="0"/>
        <w:szCs w:val="22"/>
      </w:rPr>
    </w:pPr>
  </w:p>
  <w:p w14:paraId="49F79DF3" w14:textId="09CC5F6D" w:rsidR="001D2CEB" w:rsidRPr="00533688" w:rsidRDefault="005B0D62" w:rsidP="001908A6">
    <w:pPr>
      <w:pStyle w:val="RegisterHeaderFooterItalics"/>
    </w:pPr>
    <w:r>
      <w:fldChar w:fldCharType="begin"/>
    </w:r>
    <w:r>
      <w:instrText xml:space="preserve"> DOCPROPERTY  Volume  \* MERGEFORMAT </w:instrText>
    </w:r>
    <w:r>
      <w:fldChar w:fldCharType="separate"/>
    </w:r>
    <w:r>
      <w:t>34</w:t>
    </w:r>
    <w:r>
      <w:fldChar w:fldCharType="end"/>
    </w:r>
    <w:r w:rsidR="001D2CEB">
      <w:t>:</w:t>
    </w:r>
    <w:r>
      <w:fldChar w:fldCharType="begin"/>
    </w:r>
    <w:r>
      <w:instrText xml:space="preserve"> DOCPROPERTY  Issue  \* MERGEFORMAT </w:instrText>
    </w:r>
    <w:r>
      <w:fldChar w:fldCharType="separate"/>
    </w:r>
    <w:r>
      <w:t>15</w:t>
    </w:r>
    <w:r>
      <w:fldChar w:fldCharType="end"/>
    </w:r>
    <w:r w:rsidR="001D2CEB" w:rsidRPr="00533688">
      <w:tab/>
      <w:t>NORTH CAROLINA REGISTER</w:t>
    </w:r>
    <w:r w:rsidR="001D2CEB" w:rsidRPr="00533688">
      <w:tab/>
    </w:r>
    <w:r>
      <w:fldChar w:fldCharType="begin"/>
    </w:r>
    <w:r>
      <w:instrText xml:space="preserve"> DOCPROPERTY  IssueDate  \* MERGEFORMAT </w:instrText>
    </w:r>
    <w:r>
      <w:fldChar w:fldCharType="separate"/>
    </w:r>
    <w:r>
      <w:t>February 3, 2020</w:t>
    </w:r>
    <w:r>
      <w:fldChar w:fldCharType="end"/>
    </w:r>
  </w:p>
  <w:p w14:paraId="3B735F06" w14:textId="77777777" w:rsidR="001D2CEB" w:rsidRPr="00F61BB9" w:rsidRDefault="001D2CEB"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4786F" w14:textId="77777777" w:rsidR="001D2CEB" w:rsidRPr="00F61BB9" w:rsidRDefault="001D2CEB" w:rsidP="006978AE">
    <w:pPr>
      <w:tabs>
        <w:tab w:val="center" w:pos="4320"/>
        <w:tab w:val="right" w:pos="8640"/>
        <w:tab w:val="left" w:pos="10386"/>
        <w:tab w:val="left" w:pos="10602"/>
      </w:tabs>
      <w:rPr>
        <w:kern w:val="0"/>
        <w:szCs w:val="22"/>
      </w:rPr>
    </w:pPr>
  </w:p>
  <w:p w14:paraId="020D1F1B" w14:textId="7E9F5FBF" w:rsidR="001D2CEB" w:rsidRPr="00533688" w:rsidRDefault="005B0D62" w:rsidP="001908A6">
    <w:pPr>
      <w:pStyle w:val="RegisterHeaderFooterItalics"/>
    </w:pPr>
    <w:r>
      <w:fldChar w:fldCharType="begin"/>
    </w:r>
    <w:r>
      <w:instrText xml:space="preserve"> DOCPROPERTY  Volume  \* M</w:instrText>
    </w:r>
    <w:r>
      <w:instrText xml:space="preserve">ERGEFORMAT </w:instrText>
    </w:r>
    <w:r>
      <w:fldChar w:fldCharType="separate"/>
    </w:r>
    <w:r>
      <w:t>34</w:t>
    </w:r>
    <w:r>
      <w:fldChar w:fldCharType="end"/>
    </w:r>
    <w:r w:rsidR="001D2CEB">
      <w:t>:</w:t>
    </w:r>
    <w:r>
      <w:fldChar w:fldCharType="begin"/>
    </w:r>
    <w:r>
      <w:instrText xml:space="preserve"> DOCPROPERTY  Issue  \* MERGEFORMAT </w:instrText>
    </w:r>
    <w:r>
      <w:fldChar w:fldCharType="separate"/>
    </w:r>
    <w:r>
      <w:t>15</w:t>
    </w:r>
    <w:r>
      <w:fldChar w:fldCharType="end"/>
    </w:r>
    <w:r w:rsidR="001D2CEB" w:rsidRPr="00533688">
      <w:tab/>
      <w:t>NORTH CAROLINA REGISTER</w:t>
    </w:r>
    <w:r w:rsidR="001D2CEB" w:rsidRPr="00533688">
      <w:tab/>
    </w:r>
    <w:r>
      <w:fldChar w:fldCharType="begin"/>
    </w:r>
    <w:r>
      <w:instrText xml:space="preserve"> DOCPROPERTY  IssueDate  \* MERGEFORMAT </w:instrText>
    </w:r>
    <w:r>
      <w:fldChar w:fldCharType="separate"/>
    </w:r>
    <w:r>
      <w:t>February 3, 2020</w:t>
    </w:r>
    <w:r>
      <w:fldChar w:fldCharType="end"/>
    </w:r>
  </w:p>
  <w:p w14:paraId="4C6F0E1F" w14:textId="77777777" w:rsidR="001D2CEB" w:rsidRPr="00F61BB9" w:rsidRDefault="001D2CEB"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1870</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07EC" w14:textId="77777777" w:rsidR="001D2CEB" w:rsidRPr="00F61BB9" w:rsidRDefault="001D2CEB" w:rsidP="006978AE">
    <w:pPr>
      <w:tabs>
        <w:tab w:val="center" w:pos="4320"/>
        <w:tab w:val="right" w:pos="8640"/>
        <w:tab w:val="left" w:pos="10386"/>
        <w:tab w:val="left" w:pos="10602"/>
      </w:tabs>
      <w:rPr>
        <w:kern w:val="0"/>
        <w:szCs w:val="22"/>
      </w:rPr>
    </w:pPr>
  </w:p>
  <w:p w14:paraId="0869D9F4" w14:textId="7B2E4ADC" w:rsidR="001D2CEB" w:rsidRPr="00533688" w:rsidRDefault="005B0D62" w:rsidP="001908A6">
    <w:pPr>
      <w:pStyle w:val="RegisterHeaderFooterItalics"/>
    </w:pPr>
    <w:r>
      <w:fldChar w:fldCharType="begin"/>
    </w:r>
    <w:r>
      <w:instrText xml:space="preserve"> DOCPROPERTY  Volume  \* MERGEFORMAT </w:instrText>
    </w:r>
    <w:r>
      <w:fldChar w:fldCharType="separate"/>
    </w:r>
    <w:r>
      <w:t>34</w:t>
    </w:r>
    <w:r>
      <w:fldChar w:fldCharType="end"/>
    </w:r>
    <w:r w:rsidR="001D2CEB">
      <w:t>:</w:t>
    </w:r>
    <w:r>
      <w:fldChar w:fldCharType="begin"/>
    </w:r>
    <w:r>
      <w:instrText xml:space="preserve"> DOCPROPERTY  Issue  \* MERGEFORMAT </w:instrText>
    </w:r>
    <w:r>
      <w:fldChar w:fldCharType="separate"/>
    </w:r>
    <w:r>
      <w:t>15</w:t>
    </w:r>
    <w:r>
      <w:fldChar w:fldCharType="end"/>
    </w:r>
    <w:r w:rsidR="001D2CEB" w:rsidRPr="00533688">
      <w:tab/>
      <w:t>NORTH CAROLINA REGISTER</w:t>
    </w:r>
    <w:r w:rsidR="001D2CEB" w:rsidRPr="00533688">
      <w:tab/>
    </w:r>
    <w:r>
      <w:fldChar w:fldCharType="begin"/>
    </w:r>
    <w:r>
      <w:instrText xml:space="preserve"> DOCPROPERTY  IssueDate  \* MERGEFORMAT </w:instrText>
    </w:r>
    <w:r>
      <w:fldChar w:fldCharType="separate"/>
    </w:r>
    <w:r>
      <w:t>February 3, 2020</w:t>
    </w:r>
    <w:r>
      <w:fldChar w:fldCharType="end"/>
    </w:r>
  </w:p>
  <w:p w14:paraId="5FDB2AB9" w14:textId="77777777" w:rsidR="001D2CEB" w:rsidRPr="00F61BB9" w:rsidRDefault="001D2CEB"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A8CB" w14:textId="77777777" w:rsidR="001D2CEB" w:rsidRPr="00F61BB9" w:rsidRDefault="001D2CEB" w:rsidP="006978AE">
    <w:pPr>
      <w:tabs>
        <w:tab w:val="center" w:pos="4320"/>
        <w:tab w:val="right" w:pos="8640"/>
        <w:tab w:val="left" w:pos="10386"/>
        <w:tab w:val="left" w:pos="10602"/>
      </w:tabs>
      <w:rPr>
        <w:kern w:val="0"/>
        <w:szCs w:val="22"/>
      </w:rPr>
    </w:pPr>
  </w:p>
  <w:p w14:paraId="7D434078" w14:textId="68F353C7" w:rsidR="001D2CEB" w:rsidRPr="00533688" w:rsidRDefault="005B0D62" w:rsidP="001908A6">
    <w:pPr>
      <w:pStyle w:val="RegisterHeaderFooterItalics"/>
    </w:pPr>
    <w:r>
      <w:fldChar w:fldCharType="begin"/>
    </w:r>
    <w:r>
      <w:instrText xml:space="preserve"> DOCPROPERTY  Volume  \* MERGEFORMAT </w:instrText>
    </w:r>
    <w:r>
      <w:fldChar w:fldCharType="separate"/>
    </w:r>
    <w:r>
      <w:t>34</w:t>
    </w:r>
    <w:r>
      <w:fldChar w:fldCharType="end"/>
    </w:r>
    <w:r w:rsidR="001D2CEB">
      <w:t>:</w:t>
    </w:r>
    <w:r>
      <w:fldChar w:fldCharType="begin"/>
    </w:r>
    <w:r>
      <w:instrText xml:space="preserve"> DOCPROPERTY  Issue  \* MERGEFORMAT </w:instrText>
    </w:r>
    <w:r>
      <w:fldChar w:fldCharType="separate"/>
    </w:r>
    <w:r>
      <w:t>15</w:t>
    </w:r>
    <w:r>
      <w:fldChar w:fldCharType="end"/>
    </w:r>
    <w:r w:rsidR="001D2CEB" w:rsidRPr="00533688">
      <w:tab/>
      <w:t>NORTH CAROLINA REGISTER</w:t>
    </w:r>
    <w:r w:rsidR="001D2CEB" w:rsidRPr="00533688">
      <w:tab/>
    </w:r>
    <w:r>
      <w:fldChar w:fldCharType="begin"/>
    </w:r>
    <w:r>
      <w:instrText xml:space="preserve"> DOCPROPERTY  IssueDate  \* MERGEFORMAT </w:instrText>
    </w:r>
    <w:r>
      <w:fldChar w:fldCharType="separate"/>
    </w:r>
    <w:r>
      <w:t>February 3, 2020</w:t>
    </w:r>
    <w:r>
      <w:fldChar w:fldCharType="end"/>
    </w:r>
  </w:p>
  <w:p w14:paraId="180D3BCC" w14:textId="77777777" w:rsidR="001D2CEB" w:rsidRPr="00F61BB9" w:rsidRDefault="001D2CEB"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F83B" w14:textId="77777777" w:rsidR="001D2CEB" w:rsidRPr="00F61BB9" w:rsidRDefault="001D2CEB" w:rsidP="006978AE">
    <w:pPr>
      <w:tabs>
        <w:tab w:val="center" w:pos="4320"/>
        <w:tab w:val="right" w:pos="8640"/>
        <w:tab w:val="left" w:pos="10386"/>
        <w:tab w:val="left" w:pos="10602"/>
      </w:tabs>
      <w:rPr>
        <w:kern w:val="0"/>
        <w:szCs w:val="22"/>
      </w:rPr>
    </w:pPr>
  </w:p>
  <w:p w14:paraId="2F15E213" w14:textId="3E56D1CF" w:rsidR="001D2CEB" w:rsidRPr="00533688" w:rsidRDefault="005B0D62" w:rsidP="001908A6">
    <w:pPr>
      <w:pStyle w:val="RegisterHeaderFooterItalics"/>
    </w:pPr>
    <w:r>
      <w:fldChar w:fldCharType="begin"/>
    </w:r>
    <w:r>
      <w:instrText xml:space="preserve"> DOCPROPERTY  Volume  \* MERGEFORMAT </w:instrText>
    </w:r>
    <w:r>
      <w:fldChar w:fldCharType="separate"/>
    </w:r>
    <w:r>
      <w:t>34</w:t>
    </w:r>
    <w:r>
      <w:fldChar w:fldCharType="end"/>
    </w:r>
    <w:r w:rsidR="001D2CEB">
      <w:t>:</w:t>
    </w:r>
    <w:r>
      <w:fldChar w:fldCharType="begin"/>
    </w:r>
    <w:r>
      <w:instrText xml:space="preserve"> DOCPROPERTY  Issue  \* MERGEFORMAT </w:instrText>
    </w:r>
    <w:r>
      <w:fldChar w:fldCharType="separate"/>
    </w:r>
    <w:r>
      <w:t>15</w:t>
    </w:r>
    <w:r>
      <w:fldChar w:fldCharType="end"/>
    </w:r>
    <w:r w:rsidR="001D2CEB" w:rsidRPr="00533688">
      <w:tab/>
      <w:t>NORTH CAROLINA REGISTER</w:t>
    </w:r>
    <w:r w:rsidR="001D2CEB" w:rsidRPr="00533688">
      <w:tab/>
    </w:r>
    <w:r>
      <w:fldChar w:fldCharType="begin"/>
    </w:r>
    <w:r>
      <w:instrText xml:space="preserve"> DOCPROPERTY  IssueDate  \* MERGEFORMAT </w:instrText>
    </w:r>
    <w:r>
      <w:fldChar w:fldCharType="separate"/>
    </w:r>
    <w:r>
      <w:t>February 3, 2020</w:t>
    </w:r>
    <w:r>
      <w:fldChar w:fldCharType="end"/>
    </w:r>
  </w:p>
  <w:p w14:paraId="758EC94B" w14:textId="77777777" w:rsidR="001D2CEB" w:rsidRPr="00F61BB9" w:rsidRDefault="001D2CEB"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1873</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AF88" w14:textId="77777777" w:rsidR="001D2CEB" w:rsidRDefault="001D2CEB" w:rsidP="007B698D">
      <w:r>
        <w:separator/>
      </w:r>
    </w:p>
  </w:footnote>
  <w:footnote w:type="continuationSeparator" w:id="0">
    <w:p w14:paraId="635BD506" w14:textId="77777777" w:rsidR="001D2CEB" w:rsidRDefault="001D2CEB"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1ECC" w14:textId="77777777" w:rsidR="00A17BD3" w:rsidRDefault="00A17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3963" w14:textId="77777777" w:rsidR="001D2CEB" w:rsidRPr="00E212A1" w:rsidRDefault="001D2CEB"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9B34" w14:textId="77777777" w:rsidR="00A17BD3" w:rsidRDefault="00A17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8A37" w14:textId="77777777" w:rsidR="001D2CEB" w:rsidRPr="005A121E" w:rsidRDefault="001D2CEB"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AD4D" w14:textId="77777777" w:rsidR="001D2CEB" w:rsidRPr="00972C13" w:rsidRDefault="001D2CEB" w:rsidP="007B39D0">
    <w:pPr>
      <w:pStyle w:val="RegisterHeaderFooterItalics"/>
    </w:pPr>
    <w:r>
      <w:tab/>
      <w:t>PROPOSED</w:t>
    </w:r>
    <w:r w:rsidRPr="00246CE8">
      <w:t xml:space="preserve"> RULES</w:t>
    </w:r>
  </w:p>
  <w:p w14:paraId="28954F65" w14:textId="77777777" w:rsidR="001D2CEB" w:rsidRDefault="001D2CEB"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B1F2" w14:textId="77777777" w:rsidR="001D2CEB" w:rsidRPr="00972C13" w:rsidRDefault="001D2CEB" w:rsidP="007B39D0">
    <w:pPr>
      <w:pStyle w:val="RegisterHeaderFooterItalics"/>
    </w:pPr>
    <w:r>
      <w:tab/>
      <w:t>TEMPORARY</w:t>
    </w:r>
    <w:r w:rsidRPr="00246CE8">
      <w:t xml:space="preserve"> RULES</w:t>
    </w:r>
  </w:p>
  <w:p w14:paraId="05E17E9D" w14:textId="77777777" w:rsidR="001D2CEB" w:rsidRDefault="001D2CEB"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9AEEA" w14:textId="77777777" w:rsidR="001D2CEB" w:rsidRPr="00972C13" w:rsidRDefault="001D2CEB" w:rsidP="007B39D0">
    <w:pPr>
      <w:pStyle w:val="RegisterHeaderFooterItalics"/>
    </w:pPr>
    <w:r>
      <w:tab/>
      <w:t>APPROVED</w:t>
    </w:r>
    <w:r w:rsidRPr="00246CE8">
      <w:t xml:space="preserve"> RULES</w:t>
    </w:r>
  </w:p>
  <w:p w14:paraId="68D8475C" w14:textId="77777777" w:rsidR="001D2CEB" w:rsidRDefault="001D2CEB"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9FBB" w14:textId="77777777" w:rsidR="001D2CEB" w:rsidRPr="00972C13" w:rsidRDefault="001D2CEB" w:rsidP="007B39D0">
    <w:pPr>
      <w:pStyle w:val="RegisterHeaderFooterItalics"/>
    </w:pPr>
    <w:r>
      <w:tab/>
      <w:t>Rules review commission</w:t>
    </w:r>
  </w:p>
  <w:p w14:paraId="03DBC8D7" w14:textId="77777777" w:rsidR="001D2CEB" w:rsidRDefault="001D2CEB"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FBEB" w14:textId="77777777" w:rsidR="001D2CEB" w:rsidRPr="00972C13" w:rsidRDefault="001D2CEB" w:rsidP="007B39D0">
    <w:pPr>
      <w:pStyle w:val="RegisterHeaderFooterItalics"/>
    </w:pPr>
    <w:r>
      <w:tab/>
      <w:t>contested case Decisions</w:t>
    </w:r>
  </w:p>
  <w:p w14:paraId="6C913079" w14:textId="77777777" w:rsidR="001D2CEB" w:rsidRDefault="001D2CEB"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141F"/>
    <w:multiLevelType w:val="hybridMultilevel"/>
    <w:tmpl w:val="36A833B6"/>
    <w:lvl w:ilvl="0" w:tplc="39D4ECC4">
      <w:start w:val="1"/>
      <w:numFmt w:val="upperRoman"/>
      <w:lvlText w:val="%1."/>
      <w:lvlJc w:val="left"/>
      <w:pPr>
        <w:ind w:left="720" w:hanging="720"/>
      </w:pPr>
      <w:rPr>
        <w:rFonts w:hint="default"/>
        <w:strike w:val="0"/>
      </w:rPr>
    </w:lvl>
    <w:lvl w:ilvl="1" w:tplc="71C63374">
      <w:numFmt w:val="bullet"/>
      <w:lvlText w:val="•"/>
      <w:lvlJc w:val="left"/>
      <w:pPr>
        <w:ind w:left="1080" w:hanging="360"/>
      </w:pPr>
      <w:rPr>
        <w:rFonts w:ascii="Arial" w:eastAsia="Calibri"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465B3C"/>
    <w:multiLevelType w:val="hybridMultilevel"/>
    <w:tmpl w:val="93281210"/>
    <w:lvl w:ilvl="0" w:tplc="5824F2AE">
      <w:start w:val="1"/>
      <w:numFmt w:val="upperLetter"/>
      <w:lvlText w:val="%1."/>
      <w:lvlJc w:val="left"/>
      <w:pPr>
        <w:ind w:left="1080" w:hanging="360"/>
      </w:pPr>
      <w:rPr>
        <w:rFonts w:hint="default"/>
        <w:color w:val="000000" w:themeColor="text1"/>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0F78A2"/>
    <w:multiLevelType w:val="hybridMultilevel"/>
    <w:tmpl w:val="2BC20790"/>
    <w:lvl w:ilvl="0" w:tplc="83AA94E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C41AD5"/>
    <w:multiLevelType w:val="hybridMultilevel"/>
    <w:tmpl w:val="A43AE374"/>
    <w:lvl w:ilvl="0" w:tplc="7236E1FC">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927795"/>
    <w:multiLevelType w:val="hybridMultilevel"/>
    <w:tmpl w:val="DD3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isplayBackgroundShape/>
  <w:embedSystemFonts/>
  <w:mirrorMargins/>
  <w:bordersDoNotSurroundHeader/>
  <w:bordersDoNotSurroundFooter/>
  <w:proofState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601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8F8"/>
    <w:rsid w:val="00037311"/>
    <w:rsid w:val="00040658"/>
    <w:rsid w:val="00042352"/>
    <w:rsid w:val="00042929"/>
    <w:rsid w:val="0005731A"/>
    <w:rsid w:val="00070844"/>
    <w:rsid w:val="000753EC"/>
    <w:rsid w:val="000A3219"/>
    <w:rsid w:val="000A7F3D"/>
    <w:rsid w:val="000F12AA"/>
    <w:rsid w:val="000F5E9B"/>
    <w:rsid w:val="001132BF"/>
    <w:rsid w:val="0011650F"/>
    <w:rsid w:val="00116841"/>
    <w:rsid w:val="00116E76"/>
    <w:rsid w:val="00131537"/>
    <w:rsid w:val="00145BC8"/>
    <w:rsid w:val="00151C2A"/>
    <w:rsid w:val="001908A6"/>
    <w:rsid w:val="001A26C7"/>
    <w:rsid w:val="001C3275"/>
    <w:rsid w:val="001C4925"/>
    <w:rsid w:val="001C7098"/>
    <w:rsid w:val="001D2CEB"/>
    <w:rsid w:val="001D42CE"/>
    <w:rsid w:val="001D74E5"/>
    <w:rsid w:val="001E0D7D"/>
    <w:rsid w:val="002038B6"/>
    <w:rsid w:val="0022700B"/>
    <w:rsid w:val="002278C1"/>
    <w:rsid w:val="002334A7"/>
    <w:rsid w:val="002412EC"/>
    <w:rsid w:val="00262BBC"/>
    <w:rsid w:val="00285E85"/>
    <w:rsid w:val="002A056D"/>
    <w:rsid w:val="002B1DDA"/>
    <w:rsid w:val="002C15DC"/>
    <w:rsid w:val="002C3244"/>
    <w:rsid w:val="002C5B89"/>
    <w:rsid w:val="002C6772"/>
    <w:rsid w:val="002D46CC"/>
    <w:rsid w:val="002D6D8F"/>
    <w:rsid w:val="002E07A1"/>
    <w:rsid w:val="002F13FA"/>
    <w:rsid w:val="002F4BB1"/>
    <w:rsid w:val="00306851"/>
    <w:rsid w:val="00311D07"/>
    <w:rsid w:val="00321394"/>
    <w:rsid w:val="00324CBB"/>
    <w:rsid w:val="003344B3"/>
    <w:rsid w:val="00334C50"/>
    <w:rsid w:val="003513F4"/>
    <w:rsid w:val="003549DA"/>
    <w:rsid w:val="00354ACB"/>
    <w:rsid w:val="00367570"/>
    <w:rsid w:val="0037090C"/>
    <w:rsid w:val="00375918"/>
    <w:rsid w:val="00382004"/>
    <w:rsid w:val="003A67B9"/>
    <w:rsid w:val="004034A4"/>
    <w:rsid w:val="00433B6C"/>
    <w:rsid w:val="00443812"/>
    <w:rsid w:val="00447D51"/>
    <w:rsid w:val="00451CF6"/>
    <w:rsid w:val="0046175E"/>
    <w:rsid w:val="00461A28"/>
    <w:rsid w:val="00476268"/>
    <w:rsid w:val="004768BF"/>
    <w:rsid w:val="00482A05"/>
    <w:rsid w:val="00491579"/>
    <w:rsid w:val="00494958"/>
    <w:rsid w:val="0049778A"/>
    <w:rsid w:val="004A1A79"/>
    <w:rsid w:val="004A4A68"/>
    <w:rsid w:val="004D1647"/>
    <w:rsid w:val="004D375A"/>
    <w:rsid w:val="004E667C"/>
    <w:rsid w:val="004F2E90"/>
    <w:rsid w:val="0050536D"/>
    <w:rsid w:val="0051608F"/>
    <w:rsid w:val="005215BD"/>
    <w:rsid w:val="00533688"/>
    <w:rsid w:val="00572C19"/>
    <w:rsid w:val="005A121E"/>
    <w:rsid w:val="005B0D62"/>
    <w:rsid w:val="005C4925"/>
    <w:rsid w:val="005F0F1A"/>
    <w:rsid w:val="00623666"/>
    <w:rsid w:val="00636642"/>
    <w:rsid w:val="006458BB"/>
    <w:rsid w:val="00651440"/>
    <w:rsid w:val="00661091"/>
    <w:rsid w:val="00674C70"/>
    <w:rsid w:val="00683684"/>
    <w:rsid w:val="006920A4"/>
    <w:rsid w:val="0069220D"/>
    <w:rsid w:val="006978AE"/>
    <w:rsid w:val="006A0BDB"/>
    <w:rsid w:val="006A7245"/>
    <w:rsid w:val="006A7BC2"/>
    <w:rsid w:val="006C2082"/>
    <w:rsid w:val="006D0465"/>
    <w:rsid w:val="006E5BE6"/>
    <w:rsid w:val="006F4A59"/>
    <w:rsid w:val="007111B6"/>
    <w:rsid w:val="00727EA6"/>
    <w:rsid w:val="00770BAF"/>
    <w:rsid w:val="007A4C0C"/>
    <w:rsid w:val="007B39D0"/>
    <w:rsid w:val="007B698D"/>
    <w:rsid w:val="007D4CE1"/>
    <w:rsid w:val="007E5F94"/>
    <w:rsid w:val="007E61E8"/>
    <w:rsid w:val="007E657F"/>
    <w:rsid w:val="007F632D"/>
    <w:rsid w:val="00803AC4"/>
    <w:rsid w:val="00843621"/>
    <w:rsid w:val="00845EBF"/>
    <w:rsid w:val="00851281"/>
    <w:rsid w:val="00865117"/>
    <w:rsid w:val="0088135E"/>
    <w:rsid w:val="00884AA9"/>
    <w:rsid w:val="008D0049"/>
    <w:rsid w:val="008D1940"/>
    <w:rsid w:val="008D3156"/>
    <w:rsid w:val="008D7B44"/>
    <w:rsid w:val="008E3A8E"/>
    <w:rsid w:val="009457AC"/>
    <w:rsid w:val="00952545"/>
    <w:rsid w:val="009538D0"/>
    <w:rsid w:val="009576FF"/>
    <w:rsid w:val="00963E3A"/>
    <w:rsid w:val="00964506"/>
    <w:rsid w:val="0099228E"/>
    <w:rsid w:val="009D5E39"/>
    <w:rsid w:val="009E2899"/>
    <w:rsid w:val="009E7CBD"/>
    <w:rsid w:val="00A11528"/>
    <w:rsid w:val="00A13FE5"/>
    <w:rsid w:val="00A17BD3"/>
    <w:rsid w:val="00A6101E"/>
    <w:rsid w:val="00A62C0D"/>
    <w:rsid w:val="00A71FC9"/>
    <w:rsid w:val="00A90EB6"/>
    <w:rsid w:val="00A936F3"/>
    <w:rsid w:val="00A95C2C"/>
    <w:rsid w:val="00AB27B9"/>
    <w:rsid w:val="00AB780C"/>
    <w:rsid w:val="00AB7F86"/>
    <w:rsid w:val="00AD619A"/>
    <w:rsid w:val="00AF120C"/>
    <w:rsid w:val="00AF2B36"/>
    <w:rsid w:val="00B00D1B"/>
    <w:rsid w:val="00B1265F"/>
    <w:rsid w:val="00B27FB4"/>
    <w:rsid w:val="00B37F08"/>
    <w:rsid w:val="00B439BE"/>
    <w:rsid w:val="00B50191"/>
    <w:rsid w:val="00B5569C"/>
    <w:rsid w:val="00B56F84"/>
    <w:rsid w:val="00B85B2C"/>
    <w:rsid w:val="00B92ED4"/>
    <w:rsid w:val="00B933CB"/>
    <w:rsid w:val="00B975DB"/>
    <w:rsid w:val="00BA33C6"/>
    <w:rsid w:val="00BC7313"/>
    <w:rsid w:val="00BD0461"/>
    <w:rsid w:val="00BD2800"/>
    <w:rsid w:val="00BD6D55"/>
    <w:rsid w:val="00BE5545"/>
    <w:rsid w:val="00BE62E3"/>
    <w:rsid w:val="00BE7900"/>
    <w:rsid w:val="00BF431E"/>
    <w:rsid w:val="00BF63F1"/>
    <w:rsid w:val="00C029A0"/>
    <w:rsid w:val="00C2243A"/>
    <w:rsid w:val="00C42DAE"/>
    <w:rsid w:val="00C44D97"/>
    <w:rsid w:val="00C638AB"/>
    <w:rsid w:val="00C7719B"/>
    <w:rsid w:val="00C913A0"/>
    <w:rsid w:val="00C92084"/>
    <w:rsid w:val="00CA265E"/>
    <w:rsid w:val="00CC492B"/>
    <w:rsid w:val="00CC7E05"/>
    <w:rsid w:val="00CD4310"/>
    <w:rsid w:val="00D02816"/>
    <w:rsid w:val="00D1687E"/>
    <w:rsid w:val="00D24DA8"/>
    <w:rsid w:val="00D33D0B"/>
    <w:rsid w:val="00D35FB1"/>
    <w:rsid w:val="00D40874"/>
    <w:rsid w:val="00D45A1E"/>
    <w:rsid w:val="00D52FD0"/>
    <w:rsid w:val="00D65BF5"/>
    <w:rsid w:val="00D93C24"/>
    <w:rsid w:val="00DA74EB"/>
    <w:rsid w:val="00DE7797"/>
    <w:rsid w:val="00E212A1"/>
    <w:rsid w:val="00E22CEA"/>
    <w:rsid w:val="00E435B5"/>
    <w:rsid w:val="00E43A7C"/>
    <w:rsid w:val="00E65699"/>
    <w:rsid w:val="00E8351B"/>
    <w:rsid w:val="00E83C86"/>
    <w:rsid w:val="00E84F57"/>
    <w:rsid w:val="00E90753"/>
    <w:rsid w:val="00E91AE1"/>
    <w:rsid w:val="00EA5DB0"/>
    <w:rsid w:val="00EC7EA7"/>
    <w:rsid w:val="00ED32D6"/>
    <w:rsid w:val="00EE3FD1"/>
    <w:rsid w:val="00EE7238"/>
    <w:rsid w:val="00F037A9"/>
    <w:rsid w:val="00F04092"/>
    <w:rsid w:val="00F236E1"/>
    <w:rsid w:val="00F30218"/>
    <w:rsid w:val="00F5634B"/>
    <w:rsid w:val="00F834BC"/>
    <w:rsid w:val="00F84D63"/>
    <w:rsid w:val="00F97A77"/>
    <w:rsid w:val="00FA4C38"/>
    <w:rsid w:val="00FB04D4"/>
    <w:rsid w:val="00FB47D9"/>
    <w:rsid w:val="00FC7441"/>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86017"/>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Base">
    <w:name w:val="Base"/>
    <w:link w:val="BaseChar"/>
    <w:qFormat/>
    <w:rsid w:val="004768BF"/>
    <w:pPr>
      <w:jc w:val="both"/>
    </w:pPr>
  </w:style>
  <w:style w:type="character" w:customStyle="1" w:styleId="BaseChar">
    <w:name w:val="Base Char"/>
    <w:basedOn w:val="DefaultParagraphFont"/>
    <w:link w:val="Base"/>
    <w:rsid w:val="00E91AE1"/>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character" w:customStyle="1" w:styleId="HistoryChar">
    <w:name w:val="History Char"/>
    <w:link w:val="History"/>
    <w:locked/>
    <w:rsid w:val="00E91AE1"/>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character" w:customStyle="1" w:styleId="ParagraphChar">
    <w:name w:val="Paragraph Char"/>
    <w:link w:val="Paragraph"/>
    <w:rsid w:val="00E91AE1"/>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character" w:customStyle="1" w:styleId="RuleChar">
    <w:name w:val="Rule Char"/>
    <w:link w:val="Rule"/>
    <w:rsid w:val="00E91AE1"/>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character" w:customStyle="1" w:styleId="SubParagraphChar">
    <w:name w:val="SubParagraph Char"/>
    <w:link w:val="SubParagraph"/>
    <w:rsid w:val="00E91AE1"/>
  </w:style>
  <w:style w:type="paragraph" w:customStyle="1" w:styleId="SubPart">
    <w:name w:val="SubPart"/>
    <w:basedOn w:val="Base"/>
    <w:rsid w:val="00BC7313"/>
    <w:pPr>
      <w:tabs>
        <w:tab w:val="left" w:pos="3240"/>
      </w:tabs>
      <w:ind w:left="2880" w:hanging="720"/>
    </w:p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table" w:styleId="TableGrid">
    <w:name w:val="Table Grid"/>
    <w:basedOn w:val="TableNormal"/>
    <w:rsid w:val="007A4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A7C"/>
    <w:pPr>
      <w:ind w:left="1080" w:hanging="36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271816874">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reports.oah.state.nc.us/ncac.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C25D7-B9A9-4B49-A001-FABA2F9B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91</Pages>
  <Words>58896</Words>
  <Characters>325891</Characters>
  <Application>Microsoft Office Word</Application>
  <DocSecurity>0</DocSecurity>
  <Lines>2715</Lines>
  <Paragraphs>768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2020-01-27T14:01:00Z</dcterms:created>
  <dcterms:modified xsi:type="dcterms:W3CDTF">2020-01-27T20:06:00Z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34</vt:lpwstr>
  </property>
  <property fmtid="{D5CDD505-2E9C-101B-9397-08002B2CF9AE}" pid="3" name="Issue">
    <vt:lpwstr>15</vt:lpwstr>
  </property>
  <property fmtid="{D5CDD505-2E9C-101B-9397-08002B2CF9AE}" pid="4" name="IssueDate">
    <vt:lpwstr>February 3, 2020</vt:lpwstr>
  </property>
  <property fmtid="{D5CDD505-2E9C-101B-9397-08002B2CF9AE}" pid="5" name="StartPage">
    <vt:lpwstr>1334</vt:lpwstr>
  </property>
</Properties>
</file>